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AA88" w14:textId="77777777" w:rsidR="00151694" w:rsidRDefault="00964CFD">
      <w:pPr>
        <w:pStyle w:val="berschrift1"/>
        <w:spacing w:before="0" w:after="240"/>
      </w:pPr>
      <w:r>
        <w:t>Das troianische Pferd</w:t>
      </w:r>
    </w:p>
    <w:p w14:paraId="65F6F8D3" w14:textId="77777777" w:rsidR="00151694" w:rsidRDefault="00964CFD">
      <w:pPr>
        <w:rPr>
          <w:sz w:val="26"/>
          <w:szCs w:val="26"/>
        </w:rPr>
      </w:pPr>
      <w:r>
        <w:rPr>
          <w:sz w:val="26"/>
          <w:szCs w:val="26"/>
        </w:rPr>
        <w:t>Kapitel 4: Die List des Odysseus</w:t>
      </w:r>
    </w:p>
    <w:p w14:paraId="4EB49330" w14:textId="77777777" w:rsidR="00151694" w:rsidRDefault="00964CFD">
      <w:pPr>
        <w:pStyle w:val="StandardWeb"/>
        <w:jc w:val="right"/>
      </w:pPr>
      <w:r>
        <w:rPr>
          <w:rFonts w:ascii="Arial" w:hAnsi="Arial"/>
        </w:rPr>
        <w:t xml:space="preserve">Fortsetzung von </w:t>
      </w:r>
      <w:hyperlink r:id="rId6" w:history="1">
        <w:r>
          <w:rPr>
            <w:rStyle w:val="Hyperlink"/>
            <w:rFonts w:ascii="Arial" w:hAnsi="Arial"/>
          </w:rPr>
          <w:t>Kapitel 3</w:t>
        </w:r>
      </w:hyperlink>
      <w:r>
        <w:rPr>
          <w:rFonts w:ascii="Arial" w:hAnsi="Arial"/>
        </w:rPr>
        <w:t>: Der Beginn des troianischen Krieges</w:t>
      </w:r>
    </w:p>
    <w:p w14:paraId="007F7ECB" w14:textId="77777777" w:rsidR="00151694" w:rsidRDefault="00964CFD">
      <w:pPr>
        <w:pStyle w:val="StandardWeb"/>
        <w:spacing w:line="360" w:lineRule="auto"/>
      </w:pPr>
      <w:r>
        <w:rPr>
          <w:rStyle w:val="Hervorhebung"/>
          <w:rFonts w:ascii="Arial" w:hAnsi="Arial"/>
        </w:rPr>
        <w:t>Der Grieche Odysseus denkt sich eine List aus, mit der es seinen Landsleuten gelingen soll, Troia endlich zu erobern. Einige Troianer werden misstrauisch, aber die Mehrheit durchschaut die List nicht.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1694" w14:paraId="385F7680" w14:textId="77777777">
        <w:trPr>
          <w:cantSplit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FE9DE" w14:textId="77777777" w:rsidR="00151694" w:rsidRDefault="00964CFD">
            <w:pPr>
              <w:pStyle w:val="lbs-dokument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Post decem annos Ulixes dolum cogitavit: Iussit Graecos equum ligneum ex</w:t>
            </w:r>
            <w:r>
              <w:rPr>
                <w:rFonts w:eastAsia="Times New Roman" w:cs="Times New Roman"/>
                <w:sz w:val="24"/>
                <w:szCs w:val="24"/>
              </w:rPr>
              <w:t>s</w:t>
            </w:r>
            <w:r>
              <w:t>truere.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C55C" w14:textId="77777777" w:rsidR="00151694" w:rsidRDefault="00964CFD">
            <w:pPr>
              <w:pStyle w:val="Vokabelangabe-einrck"/>
              <w:spacing w:after="57"/>
              <w:ind w:left="0" w:firstLine="0"/>
            </w:pPr>
            <w:r>
              <w:t>Ulixēs, Ulixis, m.: Odysseus, ein griechischer Held, der als „der Listenreiche" galt</w:t>
            </w:r>
          </w:p>
          <w:p w14:paraId="153F4C51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dolus, dolī, m.: die List</w:t>
            </w:r>
          </w:p>
        </w:tc>
      </w:tr>
      <w:tr w:rsidR="00151694" w14:paraId="1467F839" w14:textId="77777777"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1D362" w14:textId="77777777" w:rsidR="00151694" w:rsidRDefault="00964CFD">
            <w:pPr>
              <w:pStyle w:val="lbs-dokument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Aeneas,</w:t>
            </w:r>
          </w:p>
          <w:p w14:paraId="7B2729FE" w14:textId="77777777" w:rsidR="00151694" w:rsidRDefault="00964CFD">
            <w:pPr>
              <w:pStyle w:val="lbs-dokumente"/>
              <w:ind w:left="709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postquam oras Africae tetigit,</w:t>
            </w:r>
          </w:p>
          <w:p w14:paraId="2882FBD9" w14:textId="77777777" w:rsidR="00151694" w:rsidRDefault="00964CFD">
            <w:pPr>
              <w:pStyle w:val="lbs-dokument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Didoni eiusque comitibus his fere verbis de dolo narravit: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47000" w14:textId="77777777" w:rsidR="00151694" w:rsidRDefault="00964CFD">
            <w:pPr>
              <w:pStyle w:val="Vokabelangabe-einrck"/>
              <w:spacing w:after="57"/>
              <w:ind w:left="0" w:firstLine="0"/>
            </w:pPr>
            <w:r>
              <w:t>tangere, tangō, tetigī, tāctum: berühren</w:t>
            </w:r>
          </w:p>
          <w:p w14:paraId="7949845E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ferē: ungefähr</w:t>
            </w:r>
          </w:p>
        </w:tc>
      </w:tr>
      <w:tr w:rsidR="00151694" w14:paraId="149C582F" w14:textId="77777777"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A4FBC" w14:textId="77777777" w:rsidR="00151694" w:rsidRDefault="00964CFD">
            <w:pPr>
              <w:pStyle w:val="lbs-dokumente"/>
            </w:pPr>
            <w:r>
              <w:rPr>
                <w:rFonts w:eastAsia="Times New Roman" w:cs="Times New Roman"/>
                <w:sz w:val="24"/>
                <w:szCs w:val="24"/>
              </w:rPr>
              <w:t>“Primo equum ligneum ante portas urbis positum vidimus,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tum crevimus naves Graecas a litore Troiae abesse.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1E5DE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crevimus kommt von cernere, cerno, crēvī, crētum: wahrnehmen, sehen</w:t>
            </w:r>
          </w:p>
        </w:tc>
      </w:tr>
      <w:tr w:rsidR="00151694" w14:paraId="0DE4A0BE" w14:textId="77777777"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B114" w14:textId="77777777" w:rsidR="00151694" w:rsidRDefault="00964CFD">
            <w:pPr>
              <w:pStyle w:val="lbs-dokumente"/>
            </w:pPr>
            <w:r>
              <w:t>Aderat Sinon quidam Graecus,</w:t>
            </w:r>
          </w:p>
          <w:p w14:paraId="22693A56" w14:textId="77777777" w:rsidR="00151694" w:rsidRDefault="00964CFD">
            <w:pPr>
              <w:pStyle w:val="lbs-dokumente"/>
              <w:ind w:left="709"/>
            </w:pPr>
            <w:r>
              <w:t>qui nobis persuasit Graecos in patriam navigavisse et equum donum Graecorum esse.</w:t>
            </w:r>
          </w:p>
          <w:p w14:paraId="39EFC890" w14:textId="77777777" w:rsidR="00151694" w:rsidRDefault="00964CFD">
            <w:pPr>
              <w:pStyle w:val="lbs-dokumente"/>
            </w:pPr>
            <w:r>
              <w:t>Nemo nostrum sciebat Sinonem ab Ulixe missum esse,</w:t>
            </w:r>
          </w:p>
          <w:p w14:paraId="3EEE158D" w14:textId="77777777" w:rsidR="00151694" w:rsidRDefault="00964CFD">
            <w:pPr>
              <w:pStyle w:val="lbs-dokumente"/>
              <w:ind w:left="709"/>
            </w:pPr>
            <w:r>
              <w:t>ut nobis hoc mendacio falleret.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A8E0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quidam: ein gewisser</w:t>
            </w:r>
          </w:p>
          <w:p w14:paraId="5D046D5E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mendacium, mendaciī, n.: die Lüge</w:t>
            </w:r>
          </w:p>
        </w:tc>
      </w:tr>
      <w:tr w:rsidR="00151694" w14:paraId="0E1F6C93" w14:textId="77777777">
        <w:trPr>
          <w:cantSplit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5A97" w14:textId="77777777" w:rsidR="00151694" w:rsidRDefault="00964CFD">
            <w:pPr>
              <w:pStyle w:val="lbs-dokumente"/>
              <w:ind w:left="709"/>
            </w:pPr>
            <w:r>
              <w:t>Si perspexissemus mendacium Sinonis,</w:t>
            </w:r>
          </w:p>
          <w:p w14:paraId="2A5B03DC" w14:textId="77777777" w:rsidR="00151694" w:rsidRDefault="00964CFD">
            <w:pPr>
              <w:pStyle w:val="lbs-dokumente"/>
            </w:pPr>
            <w:r>
              <w:t>fortasse Troia non occupata esset.”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FE0D3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fallere, fallo, fefellī (kein P.P.P.): täuschen</w:t>
            </w:r>
          </w:p>
          <w:p w14:paraId="7650A038" w14:textId="77777777" w:rsidR="00151694" w:rsidRDefault="00964CFD">
            <w:pPr>
              <w:pStyle w:val="Vokabelangabe-einrck"/>
              <w:spacing w:after="57"/>
              <w:ind w:left="0"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fortasse: vielleicht</w:t>
            </w:r>
          </w:p>
        </w:tc>
      </w:tr>
    </w:tbl>
    <w:p w14:paraId="6694F587" w14:textId="77777777" w:rsidR="00151694" w:rsidRDefault="00964CFD">
      <w:r>
        <w:rPr>
          <w:rStyle w:val="showbody"/>
          <w:noProof/>
        </w:rPr>
        <mc:AlternateContent>
          <mc:Choice Requires="wps">
            <w:drawing>
              <wp:inline distT="0" distB="0" distL="0" distR="0" wp14:anchorId="2C11B93B" wp14:editId="3EFBE560">
                <wp:extent cx="1080" cy="19440"/>
                <wp:effectExtent l="0" t="0" r="37020" b="18660"/>
                <wp:docPr id="2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" cy="19440"/>
                        </a:xfrm>
                        <a:prstGeom prst="rect">
                          <a:avLst/>
                        </a:prstGeom>
                        <a:noFill/>
                        <a:ln w="9360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09080A" w14:textId="77777777" w:rsidR="00151694" w:rsidRDefault="0015169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1B93B" id="Horizontal Line 1" o:spid="_x0000_s1026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" filled="f" strokecolor="#a0a0a0" strokeweight=".26mm">
                <v:textbox inset="0,0,0,0">
                  <w:txbxContent>
                    <w:p w14:paraId="2E09080A" w14:textId="77777777" w:rsidR="00151694" w:rsidRDefault="00151694"/>
                  </w:txbxContent>
                </v:textbox>
                <w10:anchorlock/>
              </v:rect>
            </w:pict>
          </mc:Fallback>
        </mc:AlternateContent>
      </w:r>
    </w:p>
    <w:p w14:paraId="7B9C29BC" w14:textId="77777777" w:rsidR="00151694" w:rsidRDefault="00964CFD">
      <w:pPr>
        <w:pStyle w:val="StandardWeb"/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609B5EA7" wp14:editId="438B1126">
            <wp:extent cx="3202920" cy="3515400"/>
            <wp:effectExtent l="0" t="0" r="0" b="8850"/>
            <wp:docPr id="3" name="Grafik 21" descr="Ein Bild, das Text, Buch enthält.&#10;&#10;Mit sehr hoher Zuverlässigkeit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2920" cy="3515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FA0E81" w14:textId="77777777" w:rsidR="00151694" w:rsidRDefault="00964CFD">
      <w:pPr>
        <w:pBdr>
          <w:bottom w:val="single" w:sz="2" w:space="2" w:color="000000"/>
        </w:pBdr>
      </w:pPr>
      <w:r>
        <w:t xml:space="preserve">Die Troianer entdecken das hölzerne Pferd. Das Bild stammt aus diesem Buch: Charles H. Sylvester, Journeys Through Bookland (Chicago: Bellows-Reeve Company, 1909) und wurde von der Künstlerin Gertrude S. Staller angefertigt. Die Abbildung wurde dem Landesbildungsserver mit freundlicher Genehmigung vom </w:t>
      </w:r>
      <w:hyperlink r:id="rId8" w:history="1">
        <w:r>
          <w:rPr>
            <w:rStyle w:val="Hyperlink"/>
          </w:rPr>
          <w:t>Florida Center for Instructional Technology</w:t>
        </w:r>
      </w:hyperlink>
      <w:r>
        <w:t xml:space="preserve"> zur Verfügung gestellt.</w:t>
      </w:r>
    </w:p>
    <w:p w14:paraId="040B326C" w14:textId="77777777" w:rsidR="00151694" w:rsidRDefault="00964CFD">
      <w:r>
        <w:rPr>
          <w:rStyle w:val="showbody"/>
          <w:noProof/>
        </w:rPr>
        <mc:AlternateContent>
          <mc:Choice Requires="wps">
            <w:drawing>
              <wp:inline distT="0" distB="0" distL="0" distR="0" wp14:anchorId="491DA889" wp14:editId="11D75F6C">
                <wp:extent cx="1080" cy="19440"/>
                <wp:effectExtent l="0" t="0" r="37020" b="18660"/>
                <wp:docPr id="4" name="Horizontal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" cy="19440"/>
                        </a:xfrm>
                        <a:prstGeom prst="rect">
                          <a:avLst/>
                        </a:prstGeom>
                        <a:noFill/>
                        <a:ln w="9360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8527E8" w14:textId="77777777" w:rsidR="00151694" w:rsidRDefault="00151694"/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DA889" id="Horizontal Line 2" o:spid="_x0000_s1027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" filled="f" strokecolor="#a0a0a0" strokeweight=".26mm">
                <v:textbox inset="0,0,0,0">
                  <w:txbxContent>
                    <w:p w14:paraId="568527E8" w14:textId="77777777" w:rsidR="00151694" w:rsidRDefault="00151694"/>
                  </w:txbxContent>
                </v:textbox>
                <w10:anchorlock/>
              </v:rect>
            </w:pict>
          </mc:Fallback>
        </mc:AlternateContent>
      </w:r>
    </w:p>
    <w:tbl>
      <w:tblPr>
        <w:tblW w:w="9643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817"/>
      </w:tblGrid>
      <w:tr w:rsidR="00151694" w14:paraId="471EFA79" w14:textId="77777777">
        <w:trPr>
          <w:cantSplit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A1E9E" w14:textId="77777777" w:rsidR="00151694" w:rsidRDefault="00964CFD">
            <w:pPr>
              <w:pStyle w:val="lbs-dokumente"/>
              <w:spacing w:after="57"/>
            </w:pPr>
            <w:r>
              <w:t>Plurimi Troianorum,</w:t>
            </w:r>
          </w:p>
          <w:p w14:paraId="7F9574E0" w14:textId="77777777" w:rsidR="00151694" w:rsidRDefault="00964CFD">
            <w:pPr>
              <w:pStyle w:val="lbs-dokumente"/>
              <w:spacing w:after="57"/>
              <w:ind w:left="709"/>
            </w:pPr>
            <w:r>
              <w:t>quia putabant naves Graecorum discessisse,</w:t>
            </w:r>
          </w:p>
          <w:p w14:paraId="23B1C1A5" w14:textId="77777777" w:rsidR="00151694" w:rsidRDefault="00964CFD">
            <w:pPr>
              <w:pStyle w:val="lbs-dokumente"/>
              <w:spacing w:after="57"/>
            </w:pPr>
            <w:r>
              <w:t>pro certo habebant bellum finitum esse.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8B9D" w14:textId="77777777" w:rsidR="00151694" w:rsidRDefault="00964CFD">
            <w:pPr>
              <w:pStyle w:val="Vokabelangabe-einrck"/>
              <w:ind w:left="0" w:firstLine="0"/>
            </w:pPr>
            <w:r>
              <w:t>prō certō habēre: etwas für sicher halten</w:t>
            </w:r>
          </w:p>
        </w:tc>
      </w:tr>
      <w:tr w:rsidR="00151694" w14:paraId="403F7CF9" w14:textId="77777777">
        <w:trPr>
          <w:cantSplit/>
        </w:trPr>
        <w:tc>
          <w:tcPr>
            <w:tcW w:w="48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BD84A" w14:textId="77777777" w:rsidR="00151694" w:rsidRDefault="00964CFD">
            <w:pPr>
              <w:pStyle w:val="lbs-dokumente"/>
              <w:spacing w:after="57"/>
            </w:pPr>
            <w:r>
              <w:t>Unus ex civibus:</w:t>
            </w:r>
            <w:r>
              <w:br/>
              <w:t>„Nunc in pace vivere possumus,</w:t>
            </w:r>
          </w:p>
          <w:p w14:paraId="4C254AAD" w14:textId="77777777" w:rsidR="00151694" w:rsidRDefault="00964CFD">
            <w:pPr>
              <w:pStyle w:val="lbs-dokumente"/>
              <w:spacing w:after="57"/>
              <w:ind w:left="709"/>
            </w:pPr>
            <w:r>
              <w:t>quia metu liberati sumus!“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EA6BD" w14:textId="77777777" w:rsidR="00151694" w:rsidRDefault="00964CFD">
            <w:pPr>
              <w:pStyle w:val="TableContents"/>
            </w:pPr>
            <w:r>
              <w:t>quia: weil</w:t>
            </w:r>
          </w:p>
        </w:tc>
      </w:tr>
      <w:tr w:rsidR="00151694" w14:paraId="1374F6CB" w14:textId="77777777" w:rsidTr="00D0784E">
        <w:trPr>
          <w:cantSplit/>
        </w:trPr>
        <w:tc>
          <w:tcPr>
            <w:tcW w:w="48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A2DE7" w14:textId="77777777" w:rsidR="00151694" w:rsidRDefault="00964CFD">
            <w:pPr>
              <w:pStyle w:val="Vokabelangabe-einrck"/>
              <w:spacing w:after="57"/>
              <w:ind w:left="0" w:firstLine="0"/>
            </w:pPr>
            <w:r>
              <w:t>Alios autem aspectus equi lignei in novum metum adduxit.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FE1C4" w14:textId="77777777" w:rsidR="00151694" w:rsidRDefault="00964CFD">
            <w:pPr>
              <w:pStyle w:val="Vokabelangabe-einrck"/>
              <w:spacing w:after="57"/>
              <w:ind w:left="0" w:firstLine="0"/>
            </w:pPr>
            <w:r>
              <w:t>aspectus, aspectūs, m.: der Anblick</w:t>
            </w:r>
          </w:p>
        </w:tc>
      </w:tr>
      <w:tr w:rsidR="00151694" w14:paraId="47BFD04C" w14:textId="77777777" w:rsidTr="00D0784E">
        <w:trPr>
          <w:cantSplit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C9461" w14:textId="77777777" w:rsidR="00151694" w:rsidRDefault="00964CFD">
            <w:pPr>
              <w:pStyle w:val="lbs-dokumente"/>
              <w:spacing w:after="57"/>
            </w:pPr>
            <w:r>
              <w:lastRenderedPageBreak/>
              <w:t>Laocoon sacerdos:</w:t>
            </w:r>
            <w:r>
              <w:br/>
              <w:t>„Timeo Danaos et dona ferentes.</w:t>
            </w:r>
          </w:p>
          <w:p w14:paraId="0E44FD6C" w14:textId="77777777" w:rsidR="00151694" w:rsidRDefault="00964CFD">
            <w:pPr>
              <w:pStyle w:val="lbs-dokumente"/>
              <w:spacing w:after="57"/>
            </w:pPr>
            <w:r>
              <w:t>Num creditis hostes abisse et in patriam eorum navigavisse?</w:t>
            </w:r>
          </w:p>
          <w:p w14:paraId="07BAC3D9" w14:textId="77777777" w:rsidR="00151694" w:rsidRDefault="00964CFD">
            <w:pPr>
              <w:pStyle w:val="lbs-dokumente"/>
              <w:spacing w:after="57"/>
            </w:pPr>
            <w:r>
              <w:t>Aut putatis ulla dona Graecorum carere dolis?</w:t>
            </w:r>
          </w:p>
          <w:p w14:paraId="22F8045F" w14:textId="77777777" w:rsidR="00151694" w:rsidRDefault="00964CFD">
            <w:pPr>
              <w:pStyle w:val="lbs-dokumente"/>
              <w:spacing w:after="57"/>
            </w:pPr>
            <w:r>
              <w:t>Metuo,</w:t>
            </w:r>
          </w:p>
          <w:p w14:paraId="1FCC6E41" w14:textId="77777777" w:rsidR="00151694" w:rsidRDefault="00964CFD">
            <w:pPr>
              <w:pStyle w:val="lbs-dokumente"/>
              <w:spacing w:after="57"/>
            </w:pPr>
            <w:r>
              <w:t>ne in hoc equo ligneo Achivi occultentur;</w:t>
            </w:r>
          </w:p>
          <w:p w14:paraId="00AE80DE" w14:textId="77777777" w:rsidR="00151694" w:rsidRDefault="00964CFD">
            <w:pPr>
              <w:pStyle w:val="lbs-dokumente"/>
              <w:spacing w:after="57"/>
            </w:pPr>
            <w:r>
              <w:t>ergo rogo vos, ne hunc in urbem trahatis.“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828A" w14:textId="77777777" w:rsidR="00151694" w:rsidRDefault="00151694">
            <w:pPr>
              <w:pStyle w:val="Vokabelangabe-einrck"/>
              <w:spacing w:after="57"/>
              <w:ind w:left="0" w:firstLine="0"/>
            </w:pPr>
          </w:p>
          <w:p w14:paraId="2CA6C353" w14:textId="77777777" w:rsidR="00151694" w:rsidRDefault="00964CFD" w:rsidP="00D0784E">
            <w:pPr>
              <w:pStyle w:val="Vokabelangabe-einrck"/>
              <w:spacing w:after="57" w:line="288" w:lineRule="auto"/>
              <w:ind w:left="0" w:firstLine="0"/>
            </w:pPr>
            <w:r>
              <w:t>Lāocoōn, Lāocoontis, m.: Laokoon, ein Priester</w:t>
            </w:r>
          </w:p>
          <w:p w14:paraId="14A00845" w14:textId="77777777" w:rsidR="00151694" w:rsidRDefault="00964CFD" w:rsidP="00D0784E">
            <w:pPr>
              <w:pStyle w:val="Vokabelangabe-einrck"/>
              <w:spacing w:after="57" w:line="288" w:lineRule="auto"/>
              <w:ind w:left="0" w:firstLine="0"/>
            </w:pPr>
            <w:r>
              <w:t>Danaī, Danaōrum, m. = Graecī, Graecōrum, m.</w:t>
            </w:r>
          </w:p>
          <w:p w14:paraId="5A69EC9F" w14:textId="77777777" w:rsidR="00151694" w:rsidRDefault="00964CFD" w:rsidP="00D0784E">
            <w:pPr>
              <w:pStyle w:val="Vokabelangabe-einrck"/>
              <w:spacing w:after="57" w:line="288" w:lineRule="auto"/>
              <w:ind w:left="0" w:firstLine="0"/>
            </w:pPr>
            <w:r>
              <w:t xml:space="preserve">et dona ferentes: Dieser Satz ist ein Zitat aus Vergils Epos "Aeneis", das in </w:t>
            </w:r>
            <w:r>
              <w:rPr>
                <w:rStyle w:val="Hyperlink"/>
                <w:color w:val="000000"/>
                <w:u w:val="none"/>
              </w:rPr>
              <w:t>Kapitel 2</w:t>
            </w:r>
            <w:r>
              <w:t xml:space="preserve"> erwähnt wird. Die Konjunktion </w:t>
            </w:r>
            <w:r>
              <w:rPr>
                <w:rStyle w:val="Hervorhebung"/>
              </w:rPr>
              <w:t>et</w:t>
            </w:r>
            <w:r>
              <w:t xml:space="preserve"> bedeutet hier "auch wenn".</w:t>
            </w:r>
          </w:p>
          <w:p w14:paraId="2CA77A63" w14:textId="77777777" w:rsidR="00151694" w:rsidRDefault="00964CFD" w:rsidP="00D0784E">
            <w:pPr>
              <w:pStyle w:val="Vokabelangabe-einrck"/>
              <w:spacing w:after="57" w:line="288" w:lineRule="auto"/>
              <w:ind w:left="0" w:firstLine="0"/>
            </w:pPr>
            <w:r>
              <w:t>navigāre, navigō, navigāvī, navigātum: segeln</w:t>
            </w:r>
          </w:p>
          <w:p w14:paraId="300EEDA6" w14:textId="77777777" w:rsidR="00151694" w:rsidRDefault="00964CFD" w:rsidP="00D0784E">
            <w:pPr>
              <w:pStyle w:val="Vokabelangabe-einrck"/>
              <w:spacing w:after="57" w:line="288" w:lineRule="auto"/>
              <w:ind w:left="0" w:firstLine="0"/>
            </w:pPr>
            <w:r>
              <w:t>Achīvī, Achīvōrum, m. = Graecī, Graecōrum, m.</w:t>
            </w:r>
          </w:p>
        </w:tc>
      </w:tr>
    </w:tbl>
    <w:p w14:paraId="24A6C908" w14:textId="77777777" w:rsidR="00151694" w:rsidRDefault="00964CFD" w:rsidP="00D0784E">
      <w:pPr>
        <w:pStyle w:val="Textbody"/>
        <w:spacing w:before="240" w:after="240" w:line="257" w:lineRule="auto"/>
      </w:pPr>
      <w:r>
        <w:t>Der Gott Apoll kommt den Griechen zu Hilfe, indem er den Priester durch Seeungeheuer vernichten lässt: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4868"/>
      </w:tblGrid>
      <w:tr w:rsidR="00151694" w14:paraId="724130FD" w14:textId="77777777">
        <w:tc>
          <w:tcPr>
            <w:tcW w:w="4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AEE15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Apollo deus autem Graecis subvenit:</w:t>
            </w:r>
          </w:p>
          <w:p w14:paraId="600C5B9E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Serpentes ingentes e mari in litum misit.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39AE2" w14:textId="77777777" w:rsidR="00151694" w:rsidRDefault="00964CFD">
            <w:pPr>
              <w:pStyle w:val="TableContents"/>
            </w:pPr>
            <w:r>
              <w:t>serpens, serpentis, m. : die Schlange</w:t>
            </w:r>
          </w:p>
          <w:p w14:paraId="51F9ABD0" w14:textId="77777777" w:rsidR="00151694" w:rsidRDefault="00964CFD">
            <w:pPr>
              <w:pStyle w:val="TableContents"/>
            </w:pPr>
            <w:r>
              <w:t>lītus, lītoris, n.: der Strand</w:t>
            </w:r>
          </w:p>
        </w:tc>
      </w:tr>
      <w:tr w:rsidR="00151694" w14:paraId="691CD51F" w14:textId="77777777">
        <w:tc>
          <w:tcPr>
            <w:tcW w:w="476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13F5D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Qui subito ad sacerdotem filiosque ruunt et eos crudeliter interficiunt.</w:t>
            </w:r>
          </w:p>
          <w:p w14:paraId="2CE8AA87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Troiani crediderunt hoc signum deorum esse verba Laocoontis improbantium.</w:t>
            </w:r>
          </w:p>
          <w:p w14:paraId="74E2CB6A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Itaque non desierunt fidem dono Graecorum habere.</w:t>
            </w:r>
          </w:p>
        </w:tc>
        <w:tc>
          <w:tcPr>
            <w:tcW w:w="4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2A190" w14:textId="77777777" w:rsidR="00151694" w:rsidRDefault="00964CFD">
            <w:pPr>
              <w:pStyle w:val="TableContents"/>
            </w:pPr>
            <w:r>
              <w:t xml:space="preserve">improbāre: das Gegenteil von </w:t>
            </w:r>
            <w:r>
              <w:rPr>
                <w:rStyle w:val="Hervorhebung"/>
              </w:rPr>
              <w:t>probare</w:t>
            </w:r>
            <w:r>
              <w:t xml:space="preserve">, also missbilligen, ablehnen. Zum Satzbau siehe die </w:t>
            </w:r>
            <w:hyperlink r:id="rId9" w:history="1">
              <w:r>
                <w:t>Erläuterung zum Partizip</w:t>
              </w:r>
            </w:hyperlink>
            <w:r>
              <w:t>.</w:t>
            </w:r>
            <w:r>
              <w:br/>
              <w:t>fidem habere (mit Dativ): (jemandem) vertrauen</w:t>
            </w:r>
          </w:p>
        </w:tc>
      </w:tr>
      <w:tr w:rsidR="00151694" w14:paraId="56F52FBF" w14:textId="77777777">
        <w:tc>
          <w:tcPr>
            <w:tcW w:w="476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A88F6" w14:textId="77777777" w:rsidR="00D0784E" w:rsidRDefault="00964CFD">
            <w:pPr>
              <w:pStyle w:val="TableContents"/>
              <w:rPr>
                <w:lang w:val="la-Latn"/>
              </w:rPr>
            </w:pPr>
            <w:bookmarkStart w:id="0" w:name="9"/>
            <w:bookmarkEnd w:id="0"/>
            <w:r w:rsidRPr="00D0784E">
              <w:rPr>
                <w:lang w:val="la-Latn"/>
              </w:rPr>
              <w:t>Non solum Laocoon dolum Graecorum timebat,</w:t>
            </w:r>
            <w:r w:rsidRPr="00D0784E">
              <w:rPr>
                <w:lang w:val="la-Latn"/>
              </w:rPr>
              <w:br/>
              <w:t>sed etiam Cassandra cives monuit,</w:t>
            </w:r>
          </w:p>
          <w:p w14:paraId="1228EEDD" w14:textId="123AE25B" w:rsidR="00151694" w:rsidRPr="00D0784E" w:rsidRDefault="00964CFD" w:rsidP="00D0784E">
            <w:pPr>
              <w:pStyle w:val="TableContents"/>
              <w:ind w:left="709"/>
              <w:rPr>
                <w:lang w:val="la-Latn"/>
              </w:rPr>
            </w:pPr>
            <w:bookmarkStart w:id="1" w:name="_GoBack"/>
            <w:bookmarkEnd w:id="1"/>
            <w:r w:rsidRPr="00D0784E">
              <w:rPr>
                <w:lang w:val="la-Latn"/>
              </w:rPr>
              <w:t>ut equum caverent.</w:t>
            </w:r>
          </w:p>
        </w:tc>
        <w:tc>
          <w:tcPr>
            <w:tcW w:w="4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605DA4" w14:textId="77777777" w:rsidR="00151694" w:rsidRDefault="00964CFD">
            <w:pPr>
              <w:pStyle w:val="TableContents"/>
            </w:pPr>
            <w:r>
              <w:t>Cassandra: Kassandra, eine Priesterin, Tochter des troianischen Königs Priamos (</w:t>
            </w:r>
            <w:hyperlink r:id="rId10" w:history="1">
              <w:r>
                <w:t>Wikipedia</w:t>
              </w:r>
            </w:hyperlink>
            <w:r>
              <w:t>)</w:t>
            </w:r>
          </w:p>
        </w:tc>
      </w:tr>
      <w:tr w:rsidR="00151694" w14:paraId="6B31DB4D" w14:textId="77777777">
        <w:tc>
          <w:tcPr>
            <w:tcW w:w="476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5A40E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Illi Cassandrae verba neglexerunt,</w:t>
            </w:r>
          </w:p>
          <w:p w14:paraId="7FE3759D" w14:textId="77777777" w:rsidR="00151694" w:rsidRPr="00D0784E" w:rsidRDefault="00964CFD">
            <w:pPr>
              <w:pStyle w:val="TableContents"/>
              <w:ind w:left="709"/>
              <w:rPr>
                <w:lang w:val="la-Latn"/>
              </w:rPr>
            </w:pPr>
            <w:r w:rsidRPr="00D0784E">
              <w:rPr>
                <w:lang w:val="la-Latn"/>
              </w:rPr>
              <w:t>cum gauderent donum a Graecis sibi datum esse.</w:t>
            </w:r>
          </w:p>
          <w:p w14:paraId="542401A5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Alii sacerdotes declaraverunt rem Graecam a deis adiuvari.</w:t>
            </w:r>
          </w:p>
          <w:p w14:paraId="045FE94B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Postremo equum magno cum labore in urbem traxerunt.</w:t>
            </w:r>
          </w:p>
        </w:tc>
        <w:tc>
          <w:tcPr>
            <w:tcW w:w="4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58742" w14:textId="77777777" w:rsidR="00151694" w:rsidRDefault="00964CFD">
            <w:pPr>
              <w:pStyle w:val="TableContents"/>
            </w:pPr>
            <w:r>
              <w:t>neglegere, neglegō, neglēxī, neglectum: missachten, vernachlässigen</w:t>
            </w:r>
          </w:p>
          <w:p w14:paraId="13A2E4D8" w14:textId="77777777" w:rsidR="00151694" w:rsidRDefault="00964CFD">
            <w:pPr>
              <w:pStyle w:val="TableContents"/>
            </w:pPr>
            <w:r>
              <w:t>gaudēre: sich freuen</w:t>
            </w:r>
          </w:p>
        </w:tc>
      </w:tr>
      <w:tr w:rsidR="00151694" w14:paraId="295420FC" w14:textId="77777777">
        <w:tc>
          <w:tcPr>
            <w:tcW w:w="4766" w:type="dxa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718F3" w14:textId="77777777" w:rsidR="00151694" w:rsidRPr="00D0784E" w:rsidRDefault="00964CFD">
            <w:pPr>
              <w:pStyle w:val="TableContents"/>
              <w:ind w:left="709"/>
              <w:rPr>
                <w:lang w:val="la-Latn"/>
              </w:rPr>
            </w:pPr>
            <w:r w:rsidRPr="00D0784E">
              <w:rPr>
                <w:lang w:val="la-Latn"/>
              </w:rPr>
              <w:t>Dum viri magno cum labore equum in urbem trahunt,</w:t>
            </w:r>
          </w:p>
          <w:p w14:paraId="75450568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pueri puellaeque carminibus deos laudabant.</w:t>
            </w:r>
          </w:p>
          <w:p w14:paraId="73ED4C9B" w14:textId="77777777" w:rsidR="00151694" w:rsidRPr="00D0784E" w:rsidRDefault="00964CFD">
            <w:pPr>
              <w:pStyle w:val="TableContents"/>
              <w:rPr>
                <w:lang w:val="la-Latn"/>
              </w:rPr>
            </w:pPr>
            <w:r w:rsidRPr="00D0784E">
              <w:rPr>
                <w:lang w:val="la-Latn"/>
              </w:rPr>
              <w:t>Postea Troiani labore defessi somno capti sunt.</w:t>
            </w:r>
          </w:p>
        </w:tc>
        <w:tc>
          <w:tcPr>
            <w:tcW w:w="4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0D0D0" w14:textId="77777777" w:rsidR="00151694" w:rsidRDefault="00964CFD">
            <w:pPr>
              <w:pStyle w:val="TableContents"/>
            </w:pPr>
            <w:r>
              <w:t>dormīre, dormiō , dormīvī, dormītum: schlafen</w:t>
            </w:r>
          </w:p>
          <w:p w14:paraId="4177BB2A" w14:textId="77777777" w:rsidR="00151694" w:rsidRDefault="00964CFD">
            <w:pPr>
              <w:pStyle w:val="TableContents"/>
            </w:pPr>
            <w:r>
              <w:t>dēfessus, dēfessa, dēfessum: müde, erschöpft</w:t>
            </w:r>
          </w:p>
        </w:tc>
      </w:tr>
    </w:tbl>
    <w:p w14:paraId="1B823E83" w14:textId="77777777" w:rsidR="00151694" w:rsidRDefault="00151694">
      <w:pPr>
        <w:pStyle w:val="lbs-dokumente"/>
      </w:pPr>
    </w:p>
    <w:p w14:paraId="6EA4EEB2" w14:textId="77777777" w:rsidR="00151694" w:rsidRDefault="00151694">
      <w:pPr>
        <w:pStyle w:val="lbs-dokumente"/>
      </w:pPr>
    </w:p>
    <w:p w14:paraId="48660AF7" w14:textId="77777777" w:rsidR="00151694" w:rsidRDefault="00151694">
      <w:pPr>
        <w:pStyle w:val="lbs-dokumente"/>
      </w:pPr>
    </w:p>
    <w:p w14:paraId="0DBF7994" w14:textId="77777777" w:rsidR="00151694" w:rsidRDefault="00151694">
      <w:pPr>
        <w:pStyle w:val="lbs-dokumente"/>
        <w:pBdr>
          <w:bottom w:val="single" w:sz="6" w:space="1" w:color="000000"/>
        </w:pBdr>
        <w:rPr>
          <w:szCs w:val="21"/>
        </w:rPr>
      </w:pPr>
    </w:p>
    <w:p w14:paraId="05A7E010" w14:textId="77777777" w:rsidR="00151694" w:rsidRDefault="00964CFD">
      <w:pPr>
        <w:pStyle w:val="lbs-dokumente"/>
      </w:pPr>
      <w:r>
        <w:t>Das HTML-Dokument enthält Links zu interaktiven Übungen.</w:t>
      </w:r>
    </w:p>
    <w:p w14:paraId="144B6942" w14:textId="77777777" w:rsidR="00151694" w:rsidRDefault="00964CFD">
      <w:pPr>
        <w:pStyle w:val="lbs-dokumente"/>
      </w:pPr>
      <w:r>
        <w:t xml:space="preserve">URL des HTML-Dokuments: </w:t>
      </w:r>
      <w:hyperlink r:id="rId11" w:history="1">
        <w:r>
          <w:rPr>
            <w:rStyle w:val="Hyperlink"/>
          </w:rPr>
          <w:t>http://www.schule-bw.de/faecher-und-schularten/sprachen-und-literatur/latein/texte-und-medien/uebungstexte-aeneas/das-troianische-pferd.html</w:t>
        </w:r>
      </w:hyperlink>
    </w:p>
    <w:sectPr w:rsidR="00151694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8442" w14:textId="77777777" w:rsidR="00182C82" w:rsidRDefault="00182C82">
      <w:pPr>
        <w:spacing w:after="0" w:line="240" w:lineRule="auto"/>
      </w:pPr>
      <w:r>
        <w:separator/>
      </w:r>
    </w:p>
  </w:endnote>
  <w:endnote w:type="continuationSeparator" w:id="0">
    <w:p w14:paraId="564C338E" w14:textId="77777777" w:rsidR="00182C82" w:rsidRDefault="0018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910EE" w14:textId="77777777" w:rsidR="00CE78F3" w:rsidRDefault="00182C82">
    <w:pPr>
      <w:pStyle w:val="Fuzeile"/>
    </w:pPr>
    <w:hyperlink r:id="rId1" w:history="1">
      <w:r w:rsidR="00964CFD">
        <w:rPr>
          <w:rFonts w:ascii="Verdana" w:hAnsi="Verdana"/>
          <w:color w:val="000080"/>
          <w:sz w:val="20"/>
          <w:szCs w:val="20"/>
        </w:rPr>
        <w:t>www.latein-bw.de</w:t>
      </w:r>
    </w:hyperlink>
    <w:r w:rsidR="00964CFD">
      <w:rPr>
        <w:rFonts w:ascii="Verdana" w:hAnsi="Verdana"/>
        <w:color w:val="0070C0"/>
        <w:sz w:val="20"/>
        <w:szCs w:val="20"/>
      </w:rPr>
      <w:t xml:space="preserve"> </w:t>
    </w:r>
    <w:r w:rsidR="00964CFD">
      <w:rPr>
        <w:rFonts w:ascii="Verdana" w:hAnsi="Verdana"/>
        <w:sz w:val="20"/>
        <w:szCs w:val="20"/>
      </w:rPr>
      <w:tab/>
    </w:r>
    <w:r w:rsidR="00964CFD">
      <w:rPr>
        <w:rFonts w:ascii="Verdana" w:hAnsi="Verdana"/>
        <w:sz w:val="20"/>
        <w:szCs w:val="20"/>
      </w:rPr>
      <w:tab/>
      <w:t xml:space="preserve">Seite </w:t>
    </w:r>
    <w:r w:rsidR="00964CFD">
      <w:rPr>
        <w:rFonts w:ascii="Verdana" w:hAnsi="Verdana"/>
        <w:sz w:val="20"/>
        <w:szCs w:val="20"/>
      </w:rPr>
      <w:fldChar w:fldCharType="begin"/>
    </w:r>
    <w:r w:rsidR="00964CFD">
      <w:rPr>
        <w:rFonts w:ascii="Verdana" w:hAnsi="Verdana"/>
        <w:sz w:val="20"/>
        <w:szCs w:val="20"/>
      </w:rPr>
      <w:instrText xml:space="preserve"> PAGE </w:instrText>
    </w:r>
    <w:r w:rsidR="00964CFD">
      <w:rPr>
        <w:rFonts w:ascii="Verdana" w:hAnsi="Verdana"/>
        <w:sz w:val="20"/>
        <w:szCs w:val="20"/>
      </w:rPr>
      <w:fldChar w:fldCharType="separate"/>
    </w:r>
    <w:r w:rsidR="00964CFD">
      <w:rPr>
        <w:rFonts w:ascii="Verdana" w:hAnsi="Verdana"/>
        <w:sz w:val="20"/>
        <w:szCs w:val="20"/>
      </w:rPr>
      <w:t>3</w:t>
    </w:r>
    <w:r w:rsidR="00964CFD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3DBD" w14:textId="77777777" w:rsidR="00182C82" w:rsidRDefault="00182C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CDA2FB" w14:textId="77777777" w:rsidR="00182C82" w:rsidRDefault="0018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CE78F3" w14:paraId="23D2B2F5" w14:textId="77777777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14151D0" w14:textId="77777777" w:rsidR="00CE78F3" w:rsidRDefault="00964CFD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1D0362" wp14:editId="7C1789A9">
                <wp:simplePos x="0" y="0"/>
                <wp:positionH relativeFrom="column">
                  <wp:posOffset>128160</wp:posOffset>
                </wp:positionH>
                <wp:positionV relativeFrom="paragraph">
                  <wp:posOffset>-16560</wp:posOffset>
                </wp:positionV>
                <wp:extent cx="1546920" cy="492840"/>
                <wp:effectExtent l="0" t="0" r="0" b="2460"/>
                <wp:wrapSquare wrapText="bothSides"/>
                <wp:docPr id="1" name="Bild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920" cy="492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1EC5F13" w14:textId="77777777" w:rsidR="00CE78F3" w:rsidRDefault="00182C82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080C74" w14:textId="77777777" w:rsidR="00CE78F3" w:rsidRDefault="00964CFD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  <w:t>Lektüre: Der Held Aeneas</w:t>
          </w:r>
          <w:r>
            <w:rPr>
              <w:rFonts w:ascii="Arial Rounded MT Bold" w:hAnsi="Arial Rounded MT Bold"/>
            </w:rPr>
            <w:br/>
          </w:r>
        </w:p>
      </w:tc>
    </w:tr>
  </w:tbl>
  <w:p w14:paraId="6528324D" w14:textId="77777777" w:rsidR="00CE78F3" w:rsidRDefault="00182C82">
    <w:pPr>
      <w:pStyle w:val="Kopfzeile"/>
      <w:spacing w:after="0" w:line="240" w:lineRule="aut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94"/>
    <w:rsid w:val="00151694"/>
    <w:rsid w:val="00161546"/>
    <w:rsid w:val="00182C82"/>
    <w:rsid w:val="00964CFD"/>
    <w:rsid w:val="00D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62DE"/>
  <w15:docId w15:val="{55C7CCA3-8459-4404-AD32-D083BD60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zh-CN" w:bidi="hi-IN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color w:val="262626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  <w:color w:val="404040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4"/>
    </w:pPr>
    <w:rPr>
      <w:color w:val="404040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berschrift9">
    <w:name w:val="heading 9"/>
    <w:basedOn w:val="Standard"/>
    <w:next w:val="Standard"/>
    <w:pPr>
      <w:keepNext/>
      <w:keepLines/>
      <w:spacing w:before="40" w:after="0"/>
      <w:outlineLvl w:val="8"/>
    </w:pPr>
    <w:rPr>
      <w:i/>
      <w:iCs/>
      <w:color w:val="262626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pPr>
      <w:spacing w:after="200" w:line="240" w:lineRule="auto"/>
    </w:pPr>
    <w:rPr>
      <w:i/>
      <w:iCs/>
      <w:color w:val="24285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eastAsia="Arial" w:cs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eastAsia="Arial" w:cs="Arial"/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spacing w:val="-10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color w:val="5A5A5A"/>
      <w:spacing w:val="15"/>
    </w:rPr>
  </w:style>
  <w:style w:type="paragraph" w:styleId="KeinLeerraum">
    <w:name w:val="No Spacing"/>
    <w:pPr>
      <w:spacing w:after="0" w:line="240" w:lineRule="auto"/>
    </w:pPr>
  </w:style>
  <w:style w:type="paragraph" w:customStyle="1" w:styleId="Quotations">
    <w:name w:val="Quotations"/>
    <w:basedOn w:val="Standard"/>
    <w:next w:val="Standard"/>
    <w:pPr>
      <w:spacing w:before="200"/>
      <w:ind w:left="864" w:right="864"/>
    </w:pPr>
    <w:rPr>
      <w:i/>
      <w:iCs/>
      <w:color w:val="404040"/>
    </w:rPr>
  </w:style>
  <w:style w:type="paragraph" w:styleId="IntensivesZitat">
    <w:name w:val="Intense Quote"/>
    <w:basedOn w:val="Standard"/>
    <w:next w:val="Standard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Inhaltsverzeichnisberschrift">
    <w:name w:val="TOC Heading"/>
    <w:basedOn w:val="berschrift1"/>
    <w:next w:val="Standard"/>
  </w:style>
  <w:style w:type="paragraph" w:customStyle="1" w:styleId="Vokabelangabe-einrck">
    <w:name w:val="Vokabelangabe-einrück"/>
    <w:basedOn w:val="Standard"/>
    <w:pPr>
      <w:spacing w:after="100" w:line="264" w:lineRule="auto"/>
      <w:ind w:left="1474" w:hanging="340"/>
    </w:pPr>
    <w:rPr>
      <w:rFonts w:eastAsia="Arial"/>
      <w:lang w:eastAsia="en-US" w:bidi="ar-SA"/>
    </w:rPr>
  </w:style>
  <w:style w:type="paragraph" w:styleId="Listenabsatz">
    <w:name w:val="List Paragraph"/>
    <w:basedOn w:val="Standard"/>
    <w:pPr>
      <w:ind w:left="720"/>
    </w:pPr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hAnsi="Times New Roman"/>
      <w:sz w:val="24"/>
      <w:szCs w:val="24"/>
      <w:lang w:eastAsia="de-DE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rPr>
      <w:i/>
      <w:iCs/>
    </w:rPr>
  </w:style>
  <w:style w:type="character" w:customStyle="1" w:styleId="berschrift2Zchn">
    <w:name w:val="Überschrift 2 Zchn"/>
    <w:basedOn w:val="Absatz-Standardschriftart"/>
    <w:rPr>
      <w:rFonts w:ascii="Arial" w:eastAsia="Times New Roman" w:hAnsi="Arial" w:cs="Times New Roman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ascii="Arial" w:eastAsia="Times New Roman" w:hAnsi="Arial" w:cs="Times New Roman"/>
      <w:i/>
      <w:iCs/>
      <w:color w:val="404040"/>
    </w:rPr>
  </w:style>
  <w:style w:type="character" w:customStyle="1" w:styleId="berschrift1Zchn">
    <w:name w:val="Überschrift 1 Zchn"/>
    <w:basedOn w:val="Absatz-Standardschriftart"/>
    <w:rPr>
      <w:rFonts w:ascii="Arial" w:eastAsia="Times New Roman" w:hAnsi="Arial" w:cs="Times New Roman"/>
      <w:color w:val="262626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ascii="Arial" w:eastAsia="Times New Roman" w:hAnsi="Arial" w:cs="Times New Roman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rPr>
      <w:rFonts w:ascii="Arial" w:eastAsia="Times New Roman" w:hAnsi="Arial" w:cs="Times New Roman"/>
      <w:color w:val="404040"/>
    </w:rPr>
  </w:style>
  <w:style w:type="character" w:customStyle="1" w:styleId="berschrift6Zchn">
    <w:name w:val="Überschrift 6 Zchn"/>
    <w:basedOn w:val="Absatz-Standardschriftart"/>
    <w:rPr>
      <w:rFonts w:ascii="Arial" w:eastAsia="Times New Roman" w:hAnsi="Arial" w:cs="Times New Roman"/>
    </w:rPr>
  </w:style>
  <w:style w:type="character" w:customStyle="1" w:styleId="berschrift7Zchn">
    <w:name w:val="Überschrift 7 Zchn"/>
    <w:basedOn w:val="Absatz-Standardschriftart"/>
    <w:rPr>
      <w:rFonts w:ascii="Arial" w:eastAsia="Times New Roman" w:hAnsi="Arial" w:cs="Times New Roman"/>
      <w:i/>
      <w:iCs/>
    </w:rPr>
  </w:style>
  <w:style w:type="character" w:customStyle="1" w:styleId="berschrift8Zchn">
    <w:name w:val="Überschrift 8 Zchn"/>
    <w:basedOn w:val="Absatz-Standardschriftart"/>
    <w:rPr>
      <w:rFonts w:ascii="Arial" w:eastAsia="Times New Roman" w:hAnsi="Arial" w:cs="Times New Roman"/>
      <w:color w:val="262626"/>
      <w:sz w:val="21"/>
      <w:szCs w:val="21"/>
    </w:rPr>
  </w:style>
  <w:style w:type="character" w:customStyle="1" w:styleId="berschrift9Zchn">
    <w:name w:val="Überschrift 9 Zchn"/>
    <w:basedOn w:val="Absatz-Standardschriftart"/>
    <w:rPr>
      <w:rFonts w:ascii="Arial" w:eastAsia="Times New Roman" w:hAnsi="Arial" w:cs="Times New Roman"/>
      <w:i/>
      <w:iCs/>
      <w:color w:val="262626"/>
      <w:sz w:val="21"/>
      <w:szCs w:val="21"/>
    </w:rPr>
  </w:style>
  <w:style w:type="character" w:customStyle="1" w:styleId="TitelZchn">
    <w:name w:val="Titel Zchn"/>
    <w:basedOn w:val="Absatz-Standardschriftart"/>
    <w:rPr>
      <w:rFonts w:ascii="Arial" w:eastAsia="Times New Roman" w:hAnsi="Arial" w:cs="Times New Roman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rPr>
      <w:color w:val="5A5A5A"/>
      <w:spacing w:val="15"/>
    </w:rPr>
  </w:style>
  <w:style w:type="character" w:styleId="Fett">
    <w:name w:val="Strong"/>
    <w:basedOn w:val="Absatz-Standardschriftart"/>
    <w:rPr>
      <w:b/>
      <w:bCs/>
      <w:color w:val="auto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character" w:customStyle="1" w:styleId="IntensivesZitatZchn">
    <w:name w:val="Intensives Zitat Zchn"/>
    <w:basedOn w:val="Absatz-Standardschriftart"/>
    <w:rPr>
      <w:i/>
      <w:iCs/>
      <w:color w:val="404040"/>
    </w:rPr>
  </w:style>
  <w:style w:type="character" w:styleId="SchwacheHervorhebung">
    <w:name w:val="Subtle Emphasis"/>
    <w:basedOn w:val="Absatz-Standardschriftart"/>
    <w:rPr>
      <w:i/>
      <w:iCs/>
      <w:color w:val="404040"/>
    </w:rPr>
  </w:style>
  <w:style w:type="character" w:styleId="IntensiveHervorhebung">
    <w:name w:val="Intense Emphasis"/>
    <w:basedOn w:val="Absatz-Standardschriftart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rPr>
      <w:smallCaps/>
      <w:color w:val="404040"/>
    </w:rPr>
  </w:style>
  <w:style w:type="character" w:styleId="IntensiverVerweis">
    <w:name w:val="Intense Reference"/>
    <w:basedOn w:val="Absatz-Standardschriftart"/>
    <w:rPr>
      <w:b/>
      <w:bCs/>
      <w:smallCaps/>
      <w:color w:val="404040"/>
      <w:spacing w:val="5"/>
    </w:rPr>
  </w:style>
  <w:style w:type="character" w:styleId="Buchtitel">
    <w:name w:val="Book Title"/>
    <w:basedOn w:val="Absatz-Standardschriftart"/>
    <w:rPr>
      <w:b/>
      <w:bCs/>
      <w:i/>
      <w:iCs/>
      <w:spacing w:val="5"/>
    </w:rPr>
  </w:style>
  <w:style w:type="character" w:styleId="Hyperlink">
    <w:name w:val="Hyperlink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rPr>
      <w:color w:val="808080"/>
      <w:shd w:val="clear" w:color="auto" w:fill="E6E6E6"/>
    </w:rPr>
  </w:style>
  <w:style w:type="character" w:customStyle="1" w:styleId="Vokabelangabe-einrckZchn">
    <w:name w:val="Vokabelangabe-einrück Zchn"/>
    <w:basedOn w:val="Absatz-Standardschriftart"/>
    <w:rPr>
      <w:rFonts w:eastAsia="Arial"/>
      <w:sz w:val="22"/>
      <w:szCs w:val="22"/>
      <w:lang w:eastAsia="en-US" w:bidi="ar-SA"/>
    </w:rPr>
  </w:style>
  <w:style w:type="character" w:customStyle="1" w:styleId="showbody">
    <w:name w:val="showbody"/>
    <w:basedOn w:val="Absatz-Standardschriftart"/>
  </w:style>
  <w:style w:type="character" w:styleId="BesuchterLink">
    <w:name w:val="FollowedHyperlink"/>
    <w:basedOn w:val="Absatz-Standardschriftart"/>
    <w:rPr>
      <w:color w:val="3EBBF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c.usf.edu/clipart/8000/8011/trojan_horse_8011.ht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ule-bw.de/faecher-und-schularten/sprachen-und-literatur/latein/texte-und-medien/uebungstexte-aeneas/beginn-des-troianischen-krieges.html" TargetMode="External"/><Relationship Id="rId11" Type="http://schemas.openxmlformats.org/officeDocument/2006/relationships/hyperlink" Target="http://www.schule-bw.de/faecher-und-schularten/sprachen-und-literatur/latein/texte-und-medien/uebungstexte-aeneas/das-troianische-pferd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e.wikipedia.org/wiki/Kassandra_(Mythologie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hule-bw.de/resolveuid/484779559cfa487c855305bfba0a751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List des Odysseus (Übersetzungstext)</dc:title>
  <dc:creator>admin</dc:creator>
  <cp:lastModifiedBy>Tilman</cp:lastModifiedBy>
  <cp:revision>4</cp:revision>
  <dcterms:created xsi:type="dcterms:W3CDTF">2020-03-17T12:47:00Z</dcterms:created>
  <dcterms:modified xsi:type="dcterms:W3CDTF">2020-03-17T12:50:00Z</dcterms:modified>
</cp:coreProperties>
</file>