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DA09" w14:textId="77777777" w:rsidR="00054E24" w:rsidRDefault="00ED472E">
      <w:pPr>
        <w:pStyle w:val="berschrift1"/>
        <w:tabs>
          <w:tab w:val="left" w:pos="0"/>
        </w:tabs>
        <w:spacing w:before="0" w:after="240"/>
      </w:pPr>
      <w:r>
        <w:t>Die Eroberung Troias</w:t>
      </w:r>
    </w:p>
    <w:p w14:paraId="7F38543F" w14:textId="77777777" w:rsidR="00054E24" w:rsidRDefault="00ED472E">
      <w:pPr>
        <w:pStyle w:val="berschrift4"/>
        <w:tabs>
          <w:tab w:val="left" w:pos="0"/>
        </w:tabs>
        <w:spacing w:before="57"/>
        <w:ind w:right="113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Kapitel 5: Die Griechen erobern Troia, und Aeneas begibt sich auf die Flucht</w:t>
      </w:r>
    </w:p>
    <w:p w14:paraId="2F04F1F2" w14:textId="77777777" w:rsidR="00054E24" w:rsidRDefault="00ED472E">
      <w:pPr>
        <w:pStyle w:val="lbs-dokumente"/>
        <w:spacing w:before="170"/>
      </w:pPr>
      <w:r>
        <w:t>Fortsetzung von Kapitel 4: Das trojanische Pferd</w:t>
      </w:r>
    </w:p>
    <w:p w14:paraId="6BC28A88" w14:textId="77777777" w:rsidR="00054E24" w:rsidRDefault="00ED472E">
      <w:pPr>
        <w:pStyle w:val="Textkrper"/>
        <w:spacing w:after="113"/>
      </w:pPr>
      <w:r>
        <w:rPr>
          <w:rStyle w:val="Betont"/>
        </w:rPr>
        <w:t>Die Griechen erobern die Stadt, und Aeneas macht sich auf die Flucht.</w:t>
      </w:r>
    </w:p>
    <w:tbl>
      <w:tblPr>
        <w:tblW w:w="963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2"/>
        <w:gridCol w:w="4546"/>
      </w:tblGrid>
      <w:tr w:rsidR="00054E24" w14:paraId="78C5494D" w14:textId="77777777">
        <w:trPr>
          <w:cantSplit/>
        </w:trPr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497766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Noctu viri Graeci,</w:t>
            </w:r>
          </w:p>
          <w:p w14:paraId="1A763E6D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 xml:space="preserve">qui se in </w:t>
            </w:r>
            <w:r>
              <w:rPr>
                <w:lang/>
              </w:rPr>
              <w:t>equum ligneum abdiderant,</w:t>
            </w:r>
          </w:p>
          <w:p w14:paraId="4545A22E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ex eo descenderunt et portas urbis Troiae aperuerunt militibus,</w:t>
            </w:r>
          </w:p>
          <w:p w14:paraId="1B6B9C99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qui in sinu maris initium impetus exspectaverant,</w:t>
            </w:r>
          </w:p>
          <w:p w14:paraId="0A6363EA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ut illi urbem occuparent et delerent.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CC2AE" w14:textId="77777777" w:rsidR="00054E24" w:rsidRDefault="00ED472E">
            <w:pPr>
              <w:pStyle w:val="Tabelleninhalt"/>
            </w:pPr>
            <w:proofErr w:type="spellStart"/>
            <w:r>
              <w:t>sē</w:t>
            </w:r>
            <w:proofErr w:type="spellEnd"/>
            <w:r>
              <w:t xml:space="preserve"> </w:t>
            </w:r>
            <w:proofErr w:type="spellStart"/>
            <w:r>
              <w:t>abdere</w:t>
            </w:r>
            <w:proofErr w:type="spellEnd"/>
            <w:r>
              <w:t xml:space="preserve">, </w:t>
            </w:r>
            <w:proofErr w:type="spellStart"/>
            <w:r>
              <w:t>abdō</w:t>
            </w:r>
            <w:proofErr w:type="spellEnd"/>
            <w:r>
              <w:t xml:space="preserve">, </w:t>
            </w:r>
            <w:proofErr w:type="spellStart"/>
            <w:r>
              <w:t>abdidī</w:t>
            </w:r>
            <w:proofErr w:type="spellEnd"/>
            <w:r>
              <w:t xml:space="preserve">, </w:t>
            </w:r>
            <w:proofErr w:type="spellStart"/>
            <w:r>
              <w:t>abditum</w:t>
            </w:r>
            <w:proofErr w:type="spellEnd"/>
            <w:r>
              <w:t xml:space="preserve"> (in </w:t>
            </w:r>
            <w:proofErr w:type="spellStart"/>
            <w:r>
              <w:t>locum</w:t>
            </w:r>
            <w:proofErr w:type="spellEnd"/>
            <w:r>
              <w:t>): sich (an einem Ort) verstecken</w:t>
            </w:r>
            <w:r>
              <w:br/>
            </w:r>
            <w:proofErr w:type="spellStart"/>
            <w:r>
              <w:t>ap</w:t>
            </w:r>
            <w:r>
              <w:t>erīre</w:t>
            </w:r>
            <w:proofErr w:type="spellEnd"/>
            <w:r>
              <w:t xml:space="preserve">, </w:t>
            </w:r>
            <w:proofErr w:type="spellStart"/>
            <w:r>
              <w:t>aperiō</w:t>
            </w:r>
            <w:proofErr w:type="spellEnd"/>
            <w:r>
              <w:t xml:space="preserve">, </w:t>
            </w:r>
            <w:proofErr w:type="spellStart"/>
            <w:r>
              <w:t>aperuī</w:t>
            </w:r>
            <w:proofErr w:type="spellEnd"/>
            <w:r>
              <w:t xml:space="preserve">, </w:t>
            </w:r>
            <w:proofErr w:type="spellStart"/>
            <w:r>
              <w:t>apertum</w:t>
            </w:r>
            <w:proofErr w:type="spellEnd"/>
            <w:r>
              <w:t>: öffnen</w:t>
            </w:r>
            <w:r>
              <w:br/>
            </w:r>
            <w:proofErr w:type="spellStart"/>
            <w:r>
              <w:t>sinus</w:t>
            </w:r>
            <w:proofErr w:type="spellEnd"/>
            <w:r>
              <w:t xml:space="preserve">, </w:t>
            </w:r>
            <w:proofErr w:type="spellStart"/>
            <w:r>
              <w:t>sinūs</w:t>
            </w:r>
            <w:proofErr w:type="spellEnd"/>
            <w:r>
              <w:t xml:space="preserve">, </w:t>
            </w:r>
            <w:proofErr w:type="gramStart"/>
            <w:r>
              <w:t>m. :</w:t>
            </w:r>
            <w:proofErr w:type="gramEnd"/>
            <w:r>
              <w:t xml:space="preserve"> der Bogen, die Bucht</w:t>
            </w:r>
          </w:p>
        </w:tc>
      </w:tr>
      <w:tr w:rsidR="00054E24" w14:paraId="38567663" w14:textId="77777777">
        <w:trPr>
          <w:cantSplit/>
        </w:trPr>
        <w:tc>
          <w:tcPr>
            <w:tcW w:w="50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9A02BD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Mox magna turba virorum Graecorum urbem invasit,</w:t>
            </w:r>
          </w:p>
          <w:p w14:paraId="0667D891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domos incendit,</w:t>
            </w:r>
          </w:p>
          <w:p w14:paraId="58EBE63A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incolas interfecit.</w:t>
            </w:r>
          </w:p>
        </w:tc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C17B5" w14:textId="77777777" w:rsidR="00054E24" w:rsidRDefault="00ED472E">
            <w:pPr>
              <w:pStyle w:val="Tabelleninhalt"/>
            </w:pPr>
            <w:proofErr w:type="spellStart"/>
            <w:r>
              <w:t>incendere</w:t>
            </w:r>
            <w:proofErr w:type="spellEnd"/>
            <w:r>
              <w:t xml:space="preserve">, </w:t>
            </w:r>
            <w:proofErr w:type="spellStart"/>
            <w:r>
              <w:t>incendō</w:t>
            </w:r>
            <w:proofErr w:type="spellEnd"/>
            <w:r>
              <w:t xml:space="preserve">, </w:t>
            </w:r>
            <w:proofErr w:type="spellStart"/>
            <w:r>
              <w:t>incendī</w:t>
            </w:r>
            <w:proofErr w:type="spellEnd"/>
            <w:r>
              <w:t xml:space="preserve">, </w:t>
            </w:r>
            <w:proofErr w:type="spellStart"/>
            <w:r>
              <w:t>incēnsum</w:t>
            </w:r>
            <w:proofErr w:type="spellEnd"/>
            <w:r>
              <w:t>: anzünden</w:t>
            </w:r>
            <w:r>
              <w:br/>
            </w:r>
            <w:proofErr w:type="spellStart"/>
            <w:r>
              <w:t>incola</w:t>
            </w:r>
            <w:proofErr w:type="spellEnd"/>
            <w:r>
              <w:t xml:space="preserve">, </w:t>
            </w:r>
            <w:proofErr w:type="spellStart"/>
            <w:r>
              <w:t>incolae</w:t>
            </w:r>
            <w:proofErr w:type="spellEnd"/>
            <w:r>
              <w:t xml:space="preserve">, </w:t>
            </w:r>
            <w:proofErr w:type="gramStart"/>
            <w:r>
              <w:rPr>
                <w:rStyle w:val="Starkbetont"/>
              </w:rPr>
              <w:t>m</w:t>
            </w:r>
            <w:r>
              <w:t>. :</w:t>
            </w:r>
            <w:proofErr w:type="gramEnd"/>
            <w:r>
              <w:t xml:space="preserve">  der </w:t>
            </w:r>
            <w:r>
              <w:t>Einwohner</w:t>
            </w:r>
          </w:p>
        </w:tc>
      </w:tr>
      <w:tr w:rsidR="00054E24" w14:paraId="73E72A80" w14:textId="77777777">
        <w:trPr>
          <w:cantSplit/>
        </w:trPr>
        <w:tc>
          <w:tcPr>
            <w:tcW w:w="50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0882B6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Ut primum Aeneas intellexit rem Troianam perditam esse,</w:t>
            </w:r>
          </w:p>
          <w:p w14:paraId="298B7CA6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decrevit cum Ascanio filio parvo, Creusa uxore, patre Anchise ex urbe Troia fugere.</w:t>
            </w:r>
          </w:p>
        </w:tc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9C1CC" w14:textId="77777777" w:rsidR="00054E24" w:rsidRDefault="00ED472E">
            <w:pPr>
              <w:pStyle w:val="Tabelleninhalt"/>
            </w:pPr>
            <w:proofErr w:type="spellStart"/>
            <w:r>
              <w:t>Ut</w:t>
            </w:r>
            <w:proofErr w:type="spellEnd"/>
            <w:r>
              <w:t xml:space="preserve"> </w:t>
            </w:r>
            <w:proofErr w:type="spellStart"/>
            <w:r>
              <w:t>primum</w:t>
            </w:r>
            <w:proofErr w:type="spellEnd"/>
            <w:r>
              <w:t>: sobald</w:t>
            </w:r>
          </w:p>
          <w:p w14:paraId="2DCC929E" w14:textId="77777777" w:rsidR="00054E24" w:rsidRDefault="00ED472E">
            <w:pPr>
              <w:pStyle w:val="Tabelleninhalt"/>
            </w:pPr>
            <w:proofErr w:type="spellStart"/>
            <w:r>
              <w:t>decrevit</w:t>
            </w:r>
            <w:proofErr w:type="spellEnd"/>
            <w:r>
              <w:t xml:space="preserve">: von </w:t>
            </w:r>
            <w:proofErr w:type="spellStart"/>
            <w:r>
              <w:t>decernere</w:t>
            </w:r>
            <w:proofErr w:type="spellEnd"/>
            <w:r>
              <w:t>, beschließen</w:t>
            </w:r>
          </w:p>
          <w:p w14:paraId="1C217345" w14:textId="77777777" w:rsidR="00054E24" w:rsidRDefault="00ED472E">
            <w:pPr>
              <w:pStyle w:val="Tabelleninhalt"/>
            </w:pPr>
            <w:r>
              <w:t>Eigennamen:</w:t>
            </w:r>
          </w:p>
          <w:p w14:paraId="4A4FD690" w14:textId="77777777" w:rsidR="00054E24" w:rsidRDefault="00ED472E">
            <w:pPr>
              <w:pStyle w:val="Tabelleninhalt"/>
              <w:ind w:left="709"/>
            </w:pPr>
            <w:proofErr w:type="spellStart"/>
            <w:r>
              <w:t>Ascanius</w:t>
            </w:r>
            <w:proofErr w:type="spellEnd"/>
            <w:r>
              <w:t xml:space="preserve"> (Aeneas' und Creusas Sohn; er</w:t>
            </w:r>
            <w:r>
              <w:t xml:space="preserve"> wird auch </w:t>
            </w:r>
            <w:proofErr w:type="spellStart"/>
            <w:r>
              <w:rPr>
                <w:i/>
                <w:iCs/>
              </w:rPr>
              <w:t>Iulus</w:t>
            </w:r>
            <w:proofErr w:type="spellEnd"/>
            <w:r>
              <w:t xml:space="preserve"> genannt)</w:t>
            </w:r>
            <w:r>
              <w:br/>
              <w:t>Creusa (Aeneas' Frau)</w:t>
            </w:r>
            <w:r>
              <w:br/>
            </w:r>
            <w:proofErr w:type="spellStart"/>
            <w:r>
              <w:t>Anchises</w:t>
            </w:r>
            <w:proofErr w:type="spellEnd"/>
            <w:r>
              <w:t xml:space="preserve">, </w:t>
            </w:r>
            <w:proofErr w:type="spellStart"/>
            <w:r>
              <w:t>Anchisis</w:t>
            </w:r>
            <w:proofErr w:type="spellEnd"/>
            <w:r>
              <w:t xml:space="preserve"> (Aeneas' Vater) </w:t>
            </w:r>
          </w:p>
        </w:tc>
      </w:tr>
      <w:tr w:rsidR="00054E24" w14:paraId="23C5ABE7" w14:textId="77777777">
        <w:trPr>
          <w:cantSplit/>
        </w:trPr>
        <w:tc>
          <w:tcPr>
            <w:tcW w:w="50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668B0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Pater Anchises autem recusabat cum filio ex urbe exire.</w:t>
            </w:r>
          </w:p>
        </w:tc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AE8E7" w14:textId="77777777" w:rsidR="00054E24" w:rsidRDefault="00ED472E">
            <w:pPr>
              <w:pStyle w:val="Tabelleninhalt"/>
            </w:pPr>
            <w:proofErr w:type="spellStart"/>
            <w:r>
              <w:t>resusāre</w:t>
            </w:r>
            <w:proofErr w:type="spellEnd"/>
            <w:r>
              <w:t>: sich weigern</w:t>
            </w:r>
          </w:p>
        </w:tc>
      </w:tr>
      <w:tr w:rsidR="00054E24" w14:paraId="253F7943" w14:textId="77777777">
        <w:trPr>
          <w:cantSplit/>
        </w:trPr>
        <w:tc>
          <w:tcPr>
            <w:tcW w:w="50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60896B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 xml:space="preserve">Subito flammae divinitus supra caput Acanii filii visae sunt, </w:t>
            </w:r>
          </w:p>
          <w:p w14:paraId="1F84B92C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ut ille tandem dubitare desi</w:t>
            </w:r>
            <w:r>
              <w:rPr>
                <w:lang/>
              </w:rPr>
              <w:t>steret et declararet se paratum esse ad fugam.</w:t>
            </w:r>
          </w:p>
        </w:tc>
        <w:tc>
          <w:tcPr>
            <w:tcW w:w="4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084A8" w14:textId="77777777" w:rsidR="00054E24" w:rsidRDefault="00ED472E">
            <w:pPr>
              <w:pStyle w:val="Tabelleninhalt"/>
            </w:pPr>
            <w:proofErr w:type="spellStart"/>
            <w:r>
              <w:t>dīvīnitus</w:t>
            </w:r>
            <w:proofErr w:type="spellEnd"/>
            <w:r>
              <w:t xml:space="preserve"> (Adverb): durch göttliche Fügung</w:t>
            </w:r>
          </w:p>
          <w:p w14:paraId="11ADF94D" w14:textId="77777777" w:rsidR="00054E24" w:rsidRDefault="00ED472E">
            <w:pPr>
              <w:pStyle w:val="Tabelleninhalt"/>
            </w:pPr>
            <w:proofErr w:type="spellStart"/>
            <w:r>
              <w:t>supra</w:t>
            </w:r>
            <w:proofErr w:type="spellEnd"/>
            <w:r>
              <w:t>: oberhalb</w:t>
            </w:r>
          </w:p>
          <w:p w14:paraId="5A41B166" w14:textId="77777777" w:rsidR="00054E24" w:rsidRDefault="00ED472E">
            <w:pPr>
              <w:pStyle w:val="Tabelleninhalt"/>
            </w:pPr>
            <w:proofErr w:type="spellStart"/>
            <w:r>
              <w:t>desistere</w:t>
            </w:r>
            <w:proofErr w:type="spellEnd"/>
            <w:r>
              <w:t>: aufhören</w:t>
            </w:r>
          </w:p>
        </w:tc>
      </w:tr>
    </w:tbl>
    <w:p w14:paraId="0F1BC5B3" w14:textId="77777777" w:rsidR="00054E24" w:rsidRDefault="00054E24">
      <w:pPr>
        <w:pStyle w:val="lbs-dokumente"/>
        <w:spacing w:after="113"/>
      </w:pPr>
    </w:p>
    <w:p w14:paraId="377C2D02" w14:textId="77777777" w:rsidR="00054E24" w:rsidRDefault="00ED472E">
      <w:pPr>
        <w:pStyle w:val="lbs-dokumente"/>
        <w:jc w:val="center"/>
        <w:rPr>
          <w:lang w:val="la"/>
        </w:rPr>
      </w:pPr>
      <w:r>
        <w:rPr>
          <w:noProof/>
          <w:lang w:val="la"/>
        </w:rPr>
        <w:lastRenderedPageBreak/>
        <w:drawing>
          <wp:inline distT="0" distB="101600" distL="0" distR="0" wp14:anchorId="1C36D1FE" wp14:editId="7E22AB33">
            <wp:extent cx="2766060" cy="5753735"/>
            <wp:effectExtent l="0" t="0" r="0" b="0"/>
            <wp:docPr id="1" name="Grafik 14" descr="Ein Bild, das Gebäude, Wand, Foto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4" descr="Ein Bild, das Gebäude, Wand, Foto enthält.&#10;&#10;Mit sehr hoher Zuverlässigkeit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77C6B" w14:textId="77777777" w:rsidR="00054E24" w:rsidRDefault="00ED472E">
      <w:r>
        <w:rPr>
          <w:lang w:val="la"/>
        </w:rPr>
        <w:t xml:space="preserve">Aeneas trägt seinen Vater Anchises aus dem brennenden Troia. Relief am Winterpalais des Prinzen Eugen in Wien (1. Bezirk, Himmelpfortgasse). Weitere Informationen bei </w:t>
      </w:r>
      <w:r>
        <w:fldChar w:fldCharType="begin"/>
      </w:r>
      <w:r>
        <w:instrText xml:space="preserve"> HYPERLINK "https://www.geschichtewiki.wien.gv.at/Winterpalais" \t "_blank" \h </w:instrText>
      </w:r>
      <w:r>
        <w:fldChar w:fldCharType="separate"/>
      </w:r>
      <w:r>
        <w:rPr>
          <w:rStyle w:val="Hyperlink"/>
          <w:lang w:val="la"/>
        </w:rPr>
        <w:t>Wien Ge</w:t>
      </w:r>
      <w:r>
        <w:rPr>
          <w:rStyle w:val="Hyperlink"/>
          <w:lang w:val="la"/>
        </w:rPr>
        <w:t>schichte Wiki</w:t>
      </w:r>
      <w:r>
        <w:rPr>
          <w:rStyle w:val="Hyperlink"/>
          <w:lang w:val="la"/>
        </w:rPr>
        <w:fldChar w:fldCharType="end"/>
      </w:r>
      <w:r>
        <w:rPr>
          <w:lang w:val="la"/>
        </w:rPr>
        <w:t xml:space="preserve"> und bei der </w:t>
      </w:r>
      <w:r>
        <w:fldChar w:fldCharType="begin"/>
      </w:r>
      <w:r>
        <w:instrText xml:space="preserve"> HYPERLINK "https://de.wikipedia.org/wiki/Winterpalais_Prinz_Eugen" \t "_blank" \h </w:instrText>
      </w:r>
      <w:r>
        <w:fldChar w:fldCharType="separate"/>
      </w:r>
      <w:r>
        <w:rPr>
          <w:rStyle w:val="Hyperlink"/>
          <w:lang w:val="la"/>
        </w:rPr>
        <w:t>Wikipedia</w:t>
      </w:r>
      <w:r>
        <w:rPr>
          <w:rStyle w:val="Hyperlink"/>
          <w:lang w:val="la"/>
        </w:rPr>
        <w:fldChar w:fldCharType="end"/>
      </w:r>
      <w:r>
        <w:rPr>
          <w:lang w:val="la"/>
        </w:rPr>
        <w:t>. Geschaffen wurde dieses Relief von dem Barock-Künstler Lorenzo Matielli.</w:t>
      </w:r>
    </w:p>
    <w:p w14:paraId="32CCF4C8" w14:textId="77777777" w:rsidR="00054E24" w:rsidRDefault="00054E24">
      <w:pPr>
        <w:pStyle w:val="lbs-dokumente"/>
        <w:pBdr>
          <w:bottom w:val="single" w:sz="6" w:space="1" w:color="000000"/>
        </w:pBdr>
        <w:rPr>
          <w:szCs w:val="21"/>
        </w:rPr>
      </w:pPr>
    </w:p>
    <w:p w14:paraId="7BD7634F" w14:textId="77777777" w:rsidR="00054E24" w:rsidRDefault="00ED472E">
      <w:pPr>
        <w:spacing w:after="113"/>
        <w:rPr>
          <w:i/>
          <w:iCs/>
        </w:rPr>
      </w:pPr>
      <w:r>
        <w:rPr>
          <w:i/>
          <w:iCs/>
        </w:rPr>
        <w:t xml:space="preserve">Die Troianer um Aeneas machen sich jetzt auf die </w:t>
      </w:r>
      <w:r>
        <w:rPr>
          <w:i/>
          <w:iCs/>
        </w:rPr>
        <w:t>Flucht. Sie laufen zum Meer, um dort Schiffe zu besteigen. Aber nicht allen gelingt die Flucht durch die brennende Stadt.</w:t>
      </w:r>
    </w:p>
    <w:tbl>
      <w:tblPr>
        <w:tblW w:w="9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5"/>
        <w:gridCol w:w="4113"/>
      </w:tblGrid>
      <w:tr w:rsidR="00054E24" w14:paraId="2881A4F0" w14:textId="77777777" w:rsidTr="00CD1A25">
        <w:trPr>
          <w:cantSplit/>
        </w:trPr>
        <w:tc>
          <w:tcPr>
            <w:tcW w:w="5525" w:type="dxa"/>
            <w:shd w:val="clear" w:color="auto" w:fill="auto"/>
            <w:vAlign w:val="center"/>
          </w:tcPr>
          <w:p w14:paraId="1109D8EB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Omnes Troiani tunc ad litus properabant.</w:t>
            </w:r>
          </w:p>
          <w:p w14:paraId="41D375BB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Quia pater currere non poterat,</w:t>
            </w:r>
          </w:p>
          <w:p w14:paraId="68584FE9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Aeneas eum umeris ferebat filium parvum secum trahens.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1EFE9AB4" w14:textId="77777777" w:rsidR="00054E24" w:rsidRDefault="00ED472E">
            <w:pPr>
              <w:pStyle w:val="Tabelleninhalt"/>
            </w:pPr>
            <w:proofErr w:type="spellStart"/>
            <w:r>
              <w:t>umerus</w:t>
            </w:r>
            <w:proofErr w:type="spellEnd"/>
            <w:r>
              <w:t xml:space="preserve">, </w:t>
            </w:r>
            <w:proofErr w:type="spellStart"/>
            <w:r>
              <w:t>umerī</w:t>
            </w:r>
            <w:proofErr w:type="spellEnd"/>
            <w:r>
              <w:t>, m.: die Schulter</w:t>
            </w:r>
          </w:p>
        </w:tc>
      </w:tr>
      <w:tr w:rsidR="00054E24" w14:paraId="4F463BF3" w14:textId="77777777" w:rsidTr="00CD1A25">
        <w:trPr>
          <w:cantSplit/>
        </w:trPr>
        <w:tc>
          <w:tcPr>
            <w:tcW w:w="5525" w:type="dxa"/>
            <w:shd w:val="clear" w:color="auto" w:fill="auto"/>
            <w:vAlign w:val="center"/>
          </w:tcPr>
          <w:p w14:paraId="10A151D9" w14:textId="77777777" w:rsidR="00054E24" w:rsidRDefault="00ED472E">
            <w:pPr>
              <w:pStyle w:val="Tabelleninhalt"/>
              <w:rPr>
                <w:lang/>
              </w:rPr>
            </w:pPr>
            <w:bookmarkStart w:id="0" w:name="3"/>
            <w:bookmarkEnd w:id="0"/>
            <w:r>
              <w:rPr>
                <w:lang/>
              </w:rPr>
              <w:lastRenderedPageBreak/>
              <w:t>Aeneas,</w:t>
            </w:r>
          </w:p>
          <w:p w14:paraId="17CDB053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cum in via uxorem amisisset,</w:t>
            </w:r>
          </w:p>
          <w:p w14:paraId="48F2265C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valde doluit et de salute paene desperavit.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0CB678D5" w14:textId="77777777" w:rsidR="00054E24" w:rsidRDefault="00ED472E">
            <w:pPr>
              <w:pStyle w:val="Tabelleninhalt"/>
            </w:pPr>
            <w:proofErr w:type="spellStart"/>
            <w:r>
              <w:t>āmittere</w:t>
            </w:r>
            <w:proofErr w:type="spellEnd"/>
            <w:r>
              <w:t xml:space="preserve">, </w:t>
            </w:r>
            <w:proofErr w:type="spellStart"/>
            <w:r>
              <w:t>āmittō</w:t>
            </w:r>
            <w:proofErr w:type="spellEnd"/>
            <w:r>
              <w:t xml:space="preserve">, </w:t>
            </w:r>
            <w:proofErr w:type="spellStart"/>
            <w:r>
              <w:t>āmīsī</w:t>
            </w:r>
            <w:proofErr w:type="spellEnd"/>
            <w:r>
              <w:t xml:space="preserve">, </w:t>
            </w:r>
            <w:proofErr w:type="spellStart"/>
            <w:r>
              <w:t>āmissum</w:t>
            </w:r>
            <w:proofErr w:type="spellEnd"/>
            <w:r>
              <w:t>: verlieren</w:t>
            </w:r>
          </w:p>
        </w:tc>
      </w:tr>
      <w:tr w:rsidR="00054E24" w14:paraId="70A95763" w14:textId="77777777" w:rsidTr="00CD1A25">
        <w:trPr>
          <w:cantSplit/>
        </w:trPr>
        <w:tc>
          <w:tcPr>
            <w:tcW w:w="5525" w:type="dxa"/>
            <w:shd w:val="clear" w:color="auto" w:fill="auto"/>
            <w:vAlign w:val="center"/>
          </w:tcPr>
          <w:p w14:paraId="5476B86F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Subito autem umbram uxoris aspexit,</w:t>
            </w:r>
          </w:p>
          <w:p w14:paraId="698E6E63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quae ei persuasit,</w:t>
            </w:r>
          </w:p>
          <w:p w14:paraId="182DB3AB" w14:textId="77777777" w:rsidR="00054E24" w:rsidRDefault="00ED472E">
            <w:pPr>
              <w:pStyle w:val="Tabelleninhalt"/>
              <w:ind w:left="1418"/>
              <w:rPr>
                <w:lang/>
              </w:rPr>
            </w:pPr>
            <w:r>
              <w:rPr>
                <w:lang/>
              </w:rPr>
              <w:t>ne cessaret: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2C526996" w14:textId="77777777" w:rsidR="00054E24" w:rsidRDefault="00ED472E">
            <w:pPr>
              <w:pStyle w:val="Tabelleninhalt"/>
            </w:pPr>
            <w:proofErr w:type="spellStart"/>
            <w:r>
              <w:t>umbra</w:t>
            </w:r>
            <w:proofErr w:type="spellEnd"/>
            <w:r>
              <w:t xml:space="preserve">, </w:t>
            </w:r>
            <w:proofErr w:type="spellStart"/>
            <w:r>
              <w:t>umbrae</w:t>
            </w:r>
            <w:proofErr w:type="spellEnd"/>
            <w:r>
              <w:t xml:space="preserve">, f.: der </w:t>
            </w:r>
            <w:r>
              <w:t>Schatten</w:t>
            </w:r>
            <w:r>
              <w:br/>
            </w:r>
            <w:proofErr w:type="spellStart"/>
            <w:r>
              <w:t>cessāre</w:t>
            </w:r>
            <w:proofErr w:type="spellEnd"/>
            <w:r>
              <w:t xml:space="preserve">, </w:t>
            </w:r>
            <w:proofErr w:type="spellStart"/>
            <w:r>
              <w:t>cessō</w:t>
            </w:r>
            <w:proofErr w:type="spellEnd"/>
            <w:r>
              <w:t xml:space="preserve">, </w:t>
            </w:r>
            <w:proofErr w:type="spellStart"/>
            <w:r>
              <w:t>cessāvī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cessātum</w:t>
            </w:r>
            <w:proofErr w:type="spellEnd"/>
            <w:r>
              <w:t xml:space="preserve"> :</w:t>
            </w:r>
            <w:proofErr w:type="gramEnd"/>
            <w:r>
              <w:t xml:space="preserve"> zögern</w:t>
            </w:r>
          </w:p>
        </w:tc>
      </w:tr>
      <w:tr w:rsidR="00054E24" w14:paraId="1279A049" w14:textId="77777777" w:rsidTr="00CD1A25">
        <w:trPr>
          <w:cantSplit/>
        </w:trPr>
        <w:tc>
          <w:tcPr>
            <w:tcW w:w="5525" w:type="dxa"/>
            <w:shd w:val="clear" w:color="auto" w:fill="auto"/>
            <w:vAlign w:val="center"/>
          </w:tcPr>
          <w:p w14:paraId="2B8A5E23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„Opto,</w:t>
            </w:r>
          </w:p>
          <w:p w14:paraId="764A3137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ut filium nostrum et patrem tuum serves et in novas sedes ducas!</w:t>
            </w:r>
          </w:p>
          <w:p w14:paraId="174EF648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Num vis gentem Troianam interire?“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4B4ADFD4" w14:textId="77777777" w:rsidR="00054E24" w:rsidRDefault="00ED472E">
            <w:pPr>
              <w:pStyle w:val="Tabelleninhalt"/>
            </w:pPr>
            <w:proofErr w:type="spellStart"/>
            <w:r>
              <w:t>interīre</w:t>
            </w:r>
            <w:proofErr w:type="spellEnd"/>
            <w:r>
              <w:t xml:space="preserve">, </w:t>
            </w:r>
            <w:proofErr w:type="spellStart"/>
            <w:r>
              <w:t>intereō</w:t>
            </w:r>
            <w:proofErr w:type="spellEnd"/>
            <w:r>
              <w:t xml:space="preserve">, </w:t>
            </w:r>
            <w:proofErr w:type="spellStart"/>
            <w:r>
              <w:t>interiī</w:t>
            </w:r>
            <w:proofErr w:type="spellEnd"/>
            <w:r>
              <w:t xml:space="preserve">, </w:t>
            </w:r>
            <w:proofErr w:type="spellStart"/>
            <w:r>
              <w:t>interitum</w:t>
            </w:r>
            <w:proofErr w:type="spellEnd"/>
            <w:r>
              <w:t>: untergehen</w:t>
            </w:r>
          </w:p>
        </w:tc>
      </w:tr>
      <w:tr w:rsidR="00054E24" w14:paraId="3F13D9FC" w14:textId="77777777" w:rsidTr="00CD1A25">
        <w:trPr>
          <w:cantSplit/>
        </w:trPr>
        <w:tc>
          <w:tcPr>
            <w:tcW w:w="5525" w:type="dxa"/>
            <w:shd w:val="clear" w:color="auto" w:fill="auto"/>
            <w:vAlign w:val="center"/>
          </w:tcPr>
          <w:p w14:paraId="5F06C2F2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Cum illis comitibus,</w:t>
            </w:r>
          </w:p>
          <w:p w14:paraId="2171A11F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quibus contigerat ad lit</w:t>
            </w:r>
            <w:r>
              <w:rPr>
                <w:lang/>
              </w:rPr>
              <w:t>us pervenire,</w:t>
            </w:r>
          </w:p>
          <w:p w14:paraId="1F3EE89F" w14:textId="77777777" w:rsidR="00054E24" w:rsidRDefault="00ED472E">
            <w:pPr>
              <w:pStyle w:val="Tabelleninhalt"/>
              <w:rPr>
                <w:lang/>
              </w:rPr>
            </w:pPr>
            <w:r>
              <w:rPr>
                <w:lang/>
              </w:rPr>
              <w:t>Aeneas naves struxit,</w:t>
            </w:r>
          </w:p>
          <w:p w14:paraId="4B6EE4BE" w14:textId="77777777" w:rsidR="00054E24" w:rsidRDefault="00ED472E">
            <w:pPr>
              <w:pStyle w:val="Tabelleninhalt"/>
              <w:ind w:left="709"/>
              <w:rPr>
                <w:lang/>
              </w:rPr>
            </w:pPr>
            <w:r>
              <w:rPr>
                <w:lang/>
              </w:rPr>
              <w:t>ut patriam novam peterent.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784A23B6" w14:textId="77777777" w:rsidR="00054E24" w:rsidRDefault="00ED472E">
            <w:pPr>
              <w:pStyle w:val="Tabelleninhalt"/>
            </w:pPr>
            <w:proofErr w:type="spellStart"/>
            <w:r>
              <w:t>contingit</w:t>
            </w:r>
            <w:proofErr w:type="spellEnd"/>
            <w:r>
              <w:t xml:space="preserve">, </w:t>
            </w:r>
            <w:proofErr w:type="spellStart"/>
            <w:r>
              <w:t>contigit</w:t>
            </w:r>
            <w:proofErr w:type="spellEnd"/>
            <w:r>
              <w:t>: es gelingt</w:t>
            </w:r>
          </w:p>
          <w:p w14:paraId="4F490363" w14:textId="77777777" w:rsidR="00054E24" w:rsidRDefault="00ED472E">
            <w:pPr>
              <w:pStyle w:val="Tabelleninhalt"/>
            </w:pPr>
            <w:proofErr w:type="spellStart"/>
            <w:r>
              <w:t>struere</w:t>
            </w:r>
            <w:proofErr w:type="spellEnd"/>
            <w:r>
              <w:t xml:space="preserve">, </w:t>
            </w:r>
            <w:proofErr w:type="spellStart"/>
            <w:r>
              <w:t>struō</w:t>
            </w:r>
            <w:proofErr w:type="spellEnd"/>
            <w:r>
              <w:t xml:space="preserve">, </w:t>
            </w:r>
            <w:proofErr w:type="spellStart"/>
            <w:r>
              <w:t>struxī</w:t>
            </w:r>
            <w:proofErr w:type="spellEnd"/>
            <w:r>
              <w:t xml:space="preserve">, </w:t>
            </w:r>
            <w:proofErr w:type="spellStart"/>
            <w:r>
              <w:t>structum</w:t>
            </w:r>
            <w:proofErr w:type="spellEnd"/>
            <w:r>
              <w:t>: erbauen, bauen</w:t>
            </w:r>
          </w:p>
        </w:tc>
      </w:tr>
    </w:tbl>
    <w:p w14:paraId="779E7D66" w14:textId="77777777" w:rsidR="00054E24" w:rsidRDefault="00054E24">
      <w:pPr>
        <w:pStyle w:val="lbs-dokumente"/>
      </w:pPr>
    </w:p>
    <w:p w14:paraId="163D9EA1" w14:textId="77777777" w:rsidR="00054E24" w:rsidRDefault="00ED472E">
      <w:pPr>
        <w:pStyle w:val="lbs-dokumente"/>
      </w:pPr>
      <w:r>
        <w:t xml:space="preserve">URL des HTML-Dokuments: </w:t>
      </w:r>
      <w:hyperlink r:id="rId8">
        <w:r>
          <w:rPr>
            <w:rStyle w:val="Internetverknpfung"/>
          </w:rPr>
          <w:t>www.schule-bw.de/faecher-und-schularten/sprachen-und-literatur/latein/texte-und-medien/uebungstexte-ae</w:t>
        </w:r>
        <w:r>
          <w:rPr>
            <w:rStyle w:val="Internetverknpfung"/>
          </w:rPr>
          <w:t>neas/eroberung-troias.html</w:t>
        </w:r>
      </w:hyperlink>
    </w:p>
    <w:p w14:paraId="54FB419B" w14:textId="77777777" w:rsidR="00054E24" w:rsidRDefault="00ED472E">
      <w:pPr>
        <w:pStyle w:val="lbs-dokumente"/>
      </w:pPr>
      <w:r>
        <w:rPr>
          <w:rStyle w:val="Hyperlink"/>
          <w:b/>
          <w:bCs/>
          <w:color w:val="000000"/>
          <w:sz w:val="24"/>
          <w:szCs w:val="24"/>
          <w:u w:val="none"/>
        </w:rPr>
        <w:t>Das HTML-Dokument enthält Links zu interaktiven Übungen.</w:t>
      </w:r>
    </w:p>
    <w:p w14:paraId="4610BD36" w14:textId="77777777" w:rsidR="00054E24" w:rsidRDefault="00054E24">
      <w:pPr>
        <w:pStyle w:val="lbs-dokumente"/>
        <w:rPr>
          <w:rStyle w:val="Hyperlink"/>
          <w:b/>
          <w:bCs/>
          <w:color w:val="000000"/>
          <w:sz w:val="24"/>
          <w:szCs w:val="24"/>
          <w:u w:val="none"/>
        </w:rPr>
      </w:pPr>
    </w:p>
    <w:p w14:paraId="0B379BA9" w14:textId="77777777" w:rsidR="00054E24" w:rsidRDefault="00ED472E">
      <w:pPr>
        <w:pStyle w:val="lbs-dokumente"/>
        <w:spacing w:after="40" w:line="240" w:lineRule="auto"/>
      </w:pPr>
      <w:r>
        <w:rPr>
          <w:rFonts w:ascii="Arial;sans-serif" w:hAnsi="Arial;sans-serif"/>
        </w:rPr>
        <w:t>Lizenz</w:t>
      </w:r>
      <w:r>
        <w:rPr>
          <w:rFonts w:ascii="Arial;sans-serif" w:hAnsi="Arial;sans-serif"/>
          <w:sz w:val="18"/>
        </w:rPr>
        <w:t xml:space="preserve">: </w:t>
      </w:r>
      <w:hyperlink r:id="rId9" w:tgtFrame="_top">
        <w:r>
          <w:t>www.schule-bw.de/ueber-uns/urheberrechtsinformationen/urheberrechtliche-hinweise</w:t>
        </w:r>
      </w:hyperlink>
      <w:r>
        <w:rPr>
          <w:rFonts w:ascii="Arial;sans-serif" w:hAnsi="Arial;sans-serif"/>
          <w:color w:val="ACCBF9"/>
          <w:sz w:val="18"/>
          <w:u w:val="single"/>
        </w:rPr>
        <w:t xml:space="preserve"> </w:t>
      </w:r>
    </w:p>
    <w:p w14:paraId="6F5B4A1B" w14:textId="77777777" w:rsidR="00054E24" w:rsidRDefault="00054E24">
      <w:pPr>
        <w:pStyle w:val="Textkrper"/>
        <w:rPr>
          <w:rFonts w:ascii="Arial;sans-serif" w:hAnsi="Arial;sans-serif"/>
          <w:color w:val="ACCBF9"/>
          <w:sz w:val="18"/>
          <w:u w:val="single"/>
        </w:rPr>
      </w:pPr>
    </w:p>
    <w:sectPr w:rsidR="00054E24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6E7E" w14:textId="77777777" w:rsidR="00ED472E" w:rsidRDefault="00ED472E">
      <w:pPr>
        <w:spacing w:after="0" w:line="240" w:lineRule="auto"/>
      </w:pPr>
      <w:r>
        <w:separator/>
      </w:r>
    </w:p>
  </w:endnote>
  <w:endnote w:type="continuationSeparator" w:id="0">
    <w:p w14:paraId="61C19C56" w14:textId="77777777" w:rsidR="00ED472E" w:rsidRDefault="00ED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4449" w14:textId="77777777" w:rsidR="00054E24" w:rsidRDefault="00ED472E">
    <w:pPr>
      <w:pStyle w:val="Fuzeile"/>
    </w:pPr>
    <w:hyperlink r:id="rId1" w:tgtFrame="_blank">
      <w:r>
        <w:rPr>
          <w:rFonts w:ascii="Verdana" w:hAnsi="Verdana"/>
          <w:color w:val="00008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7F92" w14:textId="77777777" w:rsidR="00ED472E" w:rsidRDefault="00ED472E">
      <w:pPr>
        <w:spacing w:after="0" w:line="240" w:lineRule="auto"/>
      </w:pPr>
      <w:r>
        <w:separator/>
      </w:r>
    </w:p>
  </w:footnote>
  <w:footnote w:type="continuationSeparator" w:id="0">
    <w:p w14:paraId="5E8F3E71" w14:textId="77777777" w:rsidR="00ED472E" w:rsidRDefault="00ED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054E24" w14:paraId="49617646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68BD46FC" w14:textId="77777777" w:rsidR="00054E24" w:rsidRDefault="00ED472E">
          <w:pPr>
            <w:pStyle w:val="Tabelleninhalt"/>
            <w:spacing w:after="0" w:line="240" w:lineRule="auto"/>
          </w:pPr>
          <w:r>
            <w:rPr>
              <w:noProof/>
            </w:rPr>
            <w:drawing>
              <wp:anchor distT="0" distB="101600" distL="0" distR="0" simplePos="0" relativeHeight="5" behindDoc="0" locked="0" layoutInCell="1" allowOverlap="1" wp14:anchorId="5C036935" wp14:editId="09E7F198">
                <wp:simplePos x="0" y="0"/>
                <wp:positionH relativeFrom="column">
                  <wp:posOffset>67310</wp:posOffset>
                </wp:positionH>
                <wp:positionV relativeFrom="paragraph">
                  <wp:posOffset>635</wp:posOffset>
                </wp:positionV>
                <wp:extent cx="1600200" cy="509905"/>
                <wp:effectExtent l="0" t="0" r="0" b="0"/>
                <wp:wrapSquare wrapText="bothSides"/>
                <wp:docPr id="2" name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405922EA" w14:textId="77777777" w:rsidR="00054E24" w:rsidRDefault="00054E24">
          <w:pPr>
            <w:pStyle w:val="Tabelleninhalt"/>
            <w:spacing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369D3E07" w14:textId="77777777" w:rsidR="00054E24" w:rsidRDefault="00ED472E">
          <w:pPr>
            <w:pStyle w:val="Tabelleninhalt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 xml:space="preserve">Lektüre: Der Held </w:t>
          </w:r>
          <w:r>
            <w:rPr>
              <w:rFonts w:ascii="Arial Rounded MT Bold" w:hAnsi="Arial Rounded MT Bold"/>
            </w:rPr>
            <w:t>Aeneas</w:t>
          </w:r>
          <w:r>
            <w:rPr>
              <w:rFonts w:ascii="Arial Rounded MT Bold" w:hAnsi="Arial Rounded MT Bold"/>
            </w:rPr>
            <w:br/>
          </w:r>
        </w:p>
      </w:tc>
    </w:tr>
  </w:tbl>
  <w:p w14:paraId="3B032C34" w14:textId="77777777" w:rsidR="00054E24" w:rsidRDefault="00054E24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E12"/>
    <w:multiLevelType w:val="multilevel"/>
    <w:tmpl w:val="F528BA0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24"/>
    <w:rsid w:val="00054E24"/>
    <w:rsid w:val="00CD1A25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D89"/>
  <w15:docId w15:val="{D3A6C301-6920-4DEA-88E3-803565B6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spacing w:before="240" w:after="0"/>
      <w:outlineLvl w:val="0"/>
    </w:pPr>
    <w:rPr>
      <w:color w:val="262626"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qFormat/>
    <w:rPr>
      <w:i/>
      <w:iCs/>
      <w:color w:val="auto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olor w:val="262626"/>
      <w:sz w:val="32"/>
      <w:szCs w:val="32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qFormat/>
    <w:rPr>
      <w:color w:val="5A5A5A"/>
      <w:spacing w:val="15"/>
    </w:rPr>
  </w:style>
  <w:style w:type="character" w:styleId="Fett">
    <w:name w:val="Strong"/>
    <w:basedOn w:val="Absatz-Standardschriftart"/>
    <w:qFormat/>
    <w:rPr>
      <w:b/>
      <w:bCs/>
      <w:color w:val="auto"/>
    </w:rPr>
  </w:style>
  <w:style w:type="character" w:customStyle="1" w:styleId="ZitatZchn">
    <w:name w:val="Zitat Zchn"/>
    <w:basedOn w:val="Absatz-Standardschriftart"/>
    <w:qFormat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qFormat/>
    <w:rPr>
      <w:i/>
      <w:iCs/>
      <w:color w:val="404040"/>
    </w:rPr>
  </w:style>
  <w:style w:type="character" w:styleId="SchwacheHervorhebung">
    <w:name w:val="Subtle Emphasis"/>
    <w:basedOn w:val="Absatz-Standardschriftart"/>
    <w:qFormat/>
    <w:rPr>
      <w:i/>
      <w:iCs/>
      <w:color w:val="404040"/>
    </w:rPr>
  </w:style>
  <w:style w:type="character" w:styleId="IntensiveHervorhebung">
    <w:name w:val="Intense Emphasis"/>
    <w:basedOn w:val="Absatz-Standardschriftart"/>
    <w:qFormat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qFormat/>
    <w:rPr>
      <w:smallCaps/>
      <w:color w:val="404040"/>
    </w:rPr>
  </w:style>
  <w:style w:type="character" w:styleId="IntensiverVerweis">
    <w:name w:val="Intense Reference"/>
    <w:basedOn w:val="Absatz-Standardschriftart"/>
    <w:qFormat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qFormat/>
    <w:rPr>
      <w:b/>
      <w:bCs/>
      <w:i/>
      <w:iCs/>
      <w:spacing w:val="5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customStyle="1" w:styleId="Vokabelangabe-einrckZchn">
    <w:name w:val="Vokabelangabe-einrück Zchn"/>
    <w:basedOn w:val="Absatz-Standardschriftart"/>
    <w:qFormat/>
    <w:rPr>
      <w:rFonts w:eastAsia="Arial"/>
      <w:sz w:val="22"/>
      <w:szCs w:val="22"/>
      <w:lang w:eastAsia="en-US" w:bidi="ar-SA"/>
    </w:rPr>
  </w:style>
  <w:style w:type="character" w:customStyle="1" w:styleId="showbody">
    <w:name w:val="showbody"/>
    <w:basedOn w:val="Absatz-Standardschriftart"/>
    <w:qFormat/>
  </w:style>
  <w:style w:type="character" w:styleId="BesuchterLink">
    <w:name w:val="FollowedHyperlink"/>
    <w:basedOn w:val="Absatz-Standardschriftart"/>
    <w:qFormat/>
    <w:rPr>
      <w:color w:val="3EBBF0"/>
      <w:u w:val="single"/>
    </w:rPr>
  </w:style>
  <w:style w:type="character" w:customStyle="1" w:styleId="WWCharLFO1LVL2">
    <w:name w:val="WW_CharLFO1LVL2"/>
    <w:qFormat/>
    <w:rPr>
      <w:rFonts w:ascii="StarSymbol" w:eastAsia="OpenSymbol" w:hAnsi="StarSymbol" w:cs="OpenSymbol"/>
    </w:rPr>
  </w:style>
  <w:style w:type="character" w:customStyle="1" w:styleId="WWCharLFO1LVL3">
    <w:name w:val="WW_CharLFO1LVL3"/>
    <w:qFormat/>
    <w:rPr>
      <w:rFonts w:ascii="StarSymbol" w:eastAsia="OpenSymbol" w:hAnsi="Star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StarSymbol" w:eastAsia="OpenSymbol" w:hAnsi="StarSymbol" w:cs="OpenSymbol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Symbol" w:hAnsi="Symbol"/>
    </w:rPr>
  </w:style>
  <w:style w:type="character" w:customStyle="1" w:styleId="WWCharLFO4LVL3">
    <w:name w:val="WW_CharLFO4LVL3"/>
    <w:qFormat/>
    <w:rPr>
      <w:rFonts w:ascii="StarSymbol" w:eastAsia="OpenSymbol" w:hAnsi="Star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  <w:sz w:val="20"/>
    </w:rPr>
  </w:style>
  <w:style w:type="character" w:customStyle="1" w:styleId="WWCharLFO10LVL2">
    <w:name w:val="WW_CharLFO10LVL2"/>
    <w:qFormat/>
    <w:rPr>
      <w:rFonts w:ascii="Courier New" w:hAnsi="Courier New"/>
      <w:sz w:val="20"/>
    </w:rPr>
  </w:style>
  <w:style w:type="character" w:customStyle="1" w:styleId="WWCharLFO10LVL3">
    <w:name w:val="WW_CharLFO10LVL3"/>
    <w:qFormat/>
    <w:rPr>
      <w:rFonts w:ascii="Wingdings" w:hAnsi="Wingdings"/>
      <w:sz w:val="20"/>
    </w:rPr>
  </w:style>
  <w:style w:type="character" w:customStyle="1" w:styleId="WWCharLFO10LVL4">
    <w:name w:val="WW_CharLFO10LVL4"/>
    <w:qFormat/>
    <w:rPr>
      <w:rFonts w:ascii="Wingdings" w:hAnsi="Wingdings"/>
      <w:sz w:val="20"/>
    </w:rPr>
  </w:style>
  <w:style w:type="character" w:customStyle="1" w:styleId="WWCharLFO10LVL5">
    <w:name w:val="WW_CharLFO10LVL5"/>
    <w:qFormat/>
    <w:rPr>
      <w:rFonts w:ascii="Wingdings" w:hAnsi="Wingdings"/>
      <w:sz w:val="20"/>
    </w:rPr>
  </w:style>
  <w:style w:type="character" w:customStyle="1" w:styleId="WWCharLFO10LVL6">
    <w:name w:val="WW_CharLFO10LVL6"/>
    <w:qFormat/>
    <w:rPr>
      <w:rFonts w:ascii="Wingdings" w:hAnsi="Wingdings"/>
      <w:sz w:val="20"/>
    </w:rPr>
  </w:style>
  <w:style w:type="character" w:customStyle="1" w:styleId="WWCharLFO10LVL7">
    <w:name w:val="WW_CharLFO10LVL7"/>
    <w:qFormat/>
    <w:rPr>
      <w:rFonts w:ascii="Wingdings" w:hAnsi="Wingdings"/>
      <w:sz w:val="20"/>
    </w:rPr>
  </w:style>
  <w:style w:type="character" w:customStyle="1" w:styleId="WWCharLFO10LVL8">
    <w:name w:val="WW_CharLFO10LVL8"/>
    <w:qFormat/>
    <w:rPr>
      <w:rFonts w:ascii="Wingdings" w:hAnsi="Wingdings"/>
      <w:sz w:val="20"/>
    </w:rPr>
  </w:style>
  <w:style w:type="character" w:customStyle="1" w:styleId="WWCharLFO10LVL9">
    <w:name w:val="WW_CharLFO10LVL9"/>
    <w:qFormat/>
    <w:rPr>
      <w:rFonts w:ascii="Wingdings" w:hAnsi="Wingdings"/>
      <w:sz w:val="20"/>
    </w:rPr>
  </w:style>
  <w:style w:type="character" w:customStyle="1" w:styleId="Betont">
    <w:name w:val="Betont"/>
    <w:qFormat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customStyle="1" w:styleId="Vokabelangabe-einrck">
    <w:name w:val="Vokabelangabe-einrück"/>
    <w:basedOn w:val="Standard"/>
    <w:qFormat/>
    <w:pPr>
      <w:spacing w:after="100" w:line="264" w:lineRule="auto"/>
      <w:ind w:left="1474" w:hanging="340"/>
    </w:pPr>
    <w:rPr>
      <w:rFonts w:eastAsia="Arial"/>
      <w:lang w:eastAsia="en-US" w:bidi="ar-S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tandardWeb">
    <w:name w:val="Normal (Web)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  <w:lang w:eastAsia="de-DE" w:bidi="ar-SA"/>
    </w:r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texte-und-medien/uebungstexte-aeneas/eroberung-troia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Tilman Bechthold-Hengelhaupt</cp:lastModifiedBy>
  <cp:revision>3</cp:revision>
  <dcterms:created xsi:type="dcterms:W3CDTF">2020-04-10T14:59:00Z</dcterms:created>
  <dcterms:modified xsi:type="dcterms:W3CDTF">2020-04-10T13:01:00Z</dcterms:modified>
  <dc:language>de-DE</dc:language>
</cp:coreProperties>
</file>