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343D" w14:textId="539C2152" w:rsidR="001308D3" w:rsidRDefault="00D821A4">
      <w:pPr>
        <w:pStyle w:val="berschrift1"/>
        <w:spacing w:before="0" w:after="240"/>
      </w:pPr>
      <w:r>
        <w:t>Der Held Aeneas und seine Aufgabe, Rom zu gründen</w:t>
      </w:r>
    </w:p>
    <w:p w14:paraId="3869E299" w14:textId="77777777" w:rsidR="001308D3" w:rsidRDefault="00D821A4">
      <w:pPr>
        <w:pStyle w:val="berschrift2"/>
        <w:spacing w:before="0" w:after="240"/>
      </w:pPr>
      <w:r>
        <w:t>Kapitel 1: Eine Übersicht über die Handlung – das Schicksal des Aeneas</w:t>
      </w:r>
    </w:p>
    <w:p w14:paraId="5126EAA3" w14:textId="77777777" w:rsidR="001308D3" w:rsidRDefault="00D821A4">
      <w:pPr>
        <w:spacing w:after="240"/>
      </w:pPr>
      <w:r>
        <w:t>Alle Nebensätze sind eingerückt.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308D3" w14:paraId="78701B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44DFF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Troia oppugnata Aeneas profugus primum Carthaginem,</w:t>
            </w:r>
          </w:p>
          <w:p w14:paraId="0931273A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deinde in Italiam venit.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8BA6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prōfugus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prōfugī</w:t>
            </w:r>
            <w:proofErr w:type="spellEnd"/>
            <w:r>
              <w:t xml:space="preserve"> ,</w:t>
            </w:r>
            <w:proofErr w:type="gramEnd"/>
            <w:r>
              <w:t xml:space="preserve"> m.: der Flüchtling</w:t>
            </w:r>
          </w:p>
          <w:p w14:paraId="388C4642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Carthāgo</w:t>
            </w:r>
            <w:proofErr w:type="spellEnd"/>
            <w:r>
              <w:t xml:space="preserve">, </w:t>
            </w:r>
            <w:proofErr w:type="spellStart"/>
            <w:r>
              <w:t>Carthāginis</w:t>
            </w:r>
            <w:proofErr w:type="spellEnd"/>
            <w:r>
              <w:t xml:space="preserve">, f.: Karthago, die Hauptstadt der Punier in Nordafrika, auf dem Gebiet </w:t>
            </w:r>
            <w:proofErr w:type="gramStart"/>
            <w:r>
              <w:t>des heutigen Tunesien</w:t>
            </w:r>
            <w:proofErr w:type="gramEnd"/>
          </w:p>
        </w:tc>
      </w:tr>
      <w:tr w:rsidR="001308D3" w14:paraId="159C8E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1EC9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Nemo ei adesse potuit praeter Venerem matrem,</w:t>
            </w:r>
          </w:p>
          <w:p w14:paraId="143914CF" w14:textId="77777777" w:rsidR="001308D3" w:rsidRDefault="00D821A4">
            <w:pPr>
              <w:pStyle w:val="lbs-dokumente"/>
              <w:ind w:left="709"/>
            </w:pPr>
            <w:r>
              <w:rPr>
                <w:rFonts w:eastAsia="Times New Roman"/>
                <w:lang/>
              </w:rPr>
              <w:t xml:space="preserve">quae filio apparebat officiaque ei </w:t>
            </w:r>
            <w:r>
              <w:rPr>
                <w:rFonts w:eastAsia="Times New Roman"/>
                <w:lang/>
              </w:rPr>
              <w:t>ostendebat.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128D" w14:textId="77777777" w:rsidR="001308D3" w:rsidRDefault="00D821A4">
            <w:pPr>
              <w:pStyle w:val="Vokabelangabe-einrck"/>
              <w:ind w:left="0" w:firstLine="0"/>
            </w:pPr>
            <w:r>
              <w:t xml:space="preserve">Venus, </w:t>
            </w:r>
            <w:proofErr w:type="spellStart"/>
            <w:r>
              <w:t>Veneris</w:t>
            </w:r>
            <w:proofErr w:type="spellEnd"/>
            <w:r>
              <w:t>, f.: Venus, die Göttin der Liebe. Die Götter der Griechen und Römer sind auf der Seite Götter und Göttinnen der Antike dargestellt.</w:t>
            </w:r>
          </w:p>
          <w:p w14:paraId="6B34A4C1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fātum</w:t>
            </w:r>
            <w:proofErr w:type="spellEnd"/>
            <w:r>
              <w:t xml:space="preserve">, </w:t>
            </w:r>
            <w:proofErr w:type="spellStart"/>
            <w:r>
              <w:t>fāti</w:t>
            </w:r>
            <w:proofErr w:type="spellEnd"/>
            <w:r>
              <w:t>, n.: das Schicksal, die Schicksalsgötter</w:t>
            </w:r>
          </w:p>
          <w:p w14:paraId="5DA171EE" w14:textId="77777777" w:rsidR="001308D3" w:rsidRDefault="001308D3">
            <w:pPr>
              <w:pStyle w:val="Vokabelangabe-einrck"/>
              <w:ind w:left="0" w:firstLine="0"/>
            </w:pPr>
          </w:p>
        </w:tc>
      </w:tr>
      <w:tr w:rsidR="001308D3" w14:paraId="2817E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08E56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Fata enim statuer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lang/>
              </w:rPr>
              <w:t>nt,</w:t>
            </w:r>
          </w:p>
          <w:p w14:paraId="5A614824" w14:textId="77777777" w:rsidR="001308D3" w:rsidRDefault="00D821A4">
            <w:pPr>
              <w:pStyle w:val="lbs-dokumente"/>
              <w:ind w:left="709"/>
            </w:pPr>
            <w:r>
              <w:rPr>
                <w:rFonts w:eastAsia="Times New Roman"/>
                <w:lang/>
              </w:rPr>
              <w:t xml:space="preserve">ut gens Romana </w:t>
            </w:r>
            <w:r>
              <w:rPr>
                <w:rFonts w:eastAsia="Times New Roman"/>
                <w:lang/>
              </w:rPr>
              <w:t>Italiam regeret et Aeneas ad Tiberim flumen urbem conderet.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712E" w14:textId="77777777" w:rsidR="001308D3" w:rsidRDefault="00D821A4">
            <w:pPr>
              <w:pStyle w:val="Vokabelangabe-einrck"/>
              <w:ind w:left="0" w:firstLine="0"/>
            </w:pPr>
            <w:r>
              <w:t>Tiber, Tiberis, m.: der Fluss, der durch Rom fließt. Der Akkusativ endet auf -im.</w:t>
            </w:r>
          </w:p>
        </w:tc>
      </w:tr>
      <w:tr w:rsidR="001308D3" w14:paraId="5FC234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58568" w14:textId="77777777" w:rsidR="001308D3" w:rsidRDefault="00D821A4">
            <w:pPr>
              <w:pStyle w:val="lbs-dokumente"/>
            </w:pPr>
            <w:r>
              <w:rPr>
                <w:rStyle w:val="showbody"/>
                <w:lang/>
              </w:rPr>
              <w:t>Aeneas,</w:t>
            </w:r>
          </w:p>
          <w:p w14:paraId="2F9BC1F8" w14:textId="77777777" w:rsidR="001308D3" w:rsidRDefault="00D821A4">
            <w:pPr>
              <w:pStyle w:val="lbs-dokumente"/>
              <w:ind w:left="709"/>
            </w:pPr>
            <w:r>
              <w:rPr>
                <w:rStyle w:val="showbody"/>
                <w:lang/>
              </w:rPr>
              <w:t>postquam cum comitibus suis ad oras Libyae advenit,</w:t>
            </w:r>
          </w:p>
          <w:p w14:paraId="056D231C" w14:textId="77777777" w:rsidR="001308D3" w:rsidRDefault="00D821A4">
            <w:pPr>
              <w:pStyle w:val="lbs-dokumente"/>
            </w:pPr>
            <w:r>
              <w:rPr>
                <w:rStyle w:val="showbody"/>
                <w:lang/>
              </w:rPr>
              <w:t>Carthagine manere decrevit,</w:t>
            </w:r>
          </w:p>
          <w:p w14:paraId="46E89EBF" w14:textId="77777777" w:rsidR="001308D3" w:rsidRDefault="00D821A4">
            <w:pPr>
              <w:pStyle w:val="lbs-dokumente"/>
              <w:ind w:left="709"/>
            </w:pPr>
            <w:r>
              <w:rPr>
                <w:rStyle w:val="showbody"/>
                <w:lang/>
              </w:rPr>
              <w:t>quia Dido,</w:t>
            </w:r>
          </w:p>
          <w:p w14:paraId="651EDA5A" w14:textId="77777777" w:rsidR="001308D3" w:rsidRDefault="00D821A4">
            <w:pPr>
              <w:pStyle w:val="lbs-dokumente"/>
              <w:ind w:left="1418"/>
            </w:pPr>
            <w:r>
              <w:rPr>
                <w:rStyle w:val="showbody"/>
                <w:lang/>
              </w:rPr>
              <w:t>quae regebat u</w:t>
            </w:r>
            <w:r>
              <w:rPr>
                <w:rStyle w:val="showbody"/>
                <w:lang/>
              </w:rPr>
              <w:t>rbem Carthaginem,</w:t>
            </w:r>
          </w:p>
          <w:p w14:paraId="6BABAE25" w14:textId="77777777" w:rsidR="001308D3" w:rsidRDefault="00D821A4">
            <w:pPr>
              <w:pStyle w:val="lbs-dokumente"/>
              <w:ind w:left="709"/>
            </w:pPr>
            <w:r>
              <w:rPr>
                <w:rStyle w:val="showbody"/>
                <w:lang/>
              </w:rPr>
              <w:t>eum amabat.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4C085" w14:textId="77777777" w:rsidR="001308D3" w:rsidRDefault="00D821A4">
            <w:pPr>
              <w:pStyle w:val="Vokabelangabe-einrck"/>
              <w:ind w:left="0" w:firstLine="0"/>
            </w:pPr>
            <w:r>
              <w:rPr>
                <w:lang/>
              </w:rPr>
              <w:t>ōra</w:t>
            </w:r>
            <w:r>
              <w:t xml:space="preserve">, </w:t>
            </w:r>
            <w:proofErr w:type="spellStart"/>
            <w:r>
              <w:t>ōrae</w:t>
            </w:r>
            <w:proofErr w:type="spellEnd"/>
            <w:r>
              <w:t>, f.: die Küste</w:t>
            </w:r>
          </w:p>
          <w:p w14:paraId="4C9A8A8D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comes</w:t>
            </w:r>
            <w:proofErr w:type="spellEnd"/>
            <w:r>
              <w:t xml:space="preserve">, </w:t>
            </w:r>
            <w:proofErr w:type="spellStart"/>
            <w:r>
              <w:t>comitis</w:t>
            </w:r>
            <w:proofErr w:type="spellEnd"/>
            <w:r>
              <w:t>, m.: der Gefährte, der Begleiter</w:t>
            </w:r>
          </w:p>
        </w:tc>
      </w:tr>
      <w:tr w:rsidR="001308D3" w14:paraId="37A0DF1D" w14:textId="77777777" w:rsidTr="008D3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438C8" w14:textId="77777777" w:rsidR="001308D3" w:rsidRDefault="00D821A4">
            <w:pPr>
              <w:pStyle w:val="lbs-dokumente"/>
              <w:ind w:left="709"/>
            </w:pPr>
            <w:r>
              <w:rPr>
                <w:rFonts w:eastAsia="Times New Roman"/>
                <w:lang/>
              </w:rPr>
              <w:t>Quod Iuppiter, rex deorum, vidit Aeneam officia neglegere,</w:t>
            </w:r>
          </w:p>
          <w:p w14:paraId="12132ADF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Mercurium deum ad Aeneam misit.</w:t>
            </w:r>
          </w:p>
          <w:p w14:paraId="04607B2A" w14:textId="77777777" w:rsidR="001308D3" w:rsidRDefault="00D821A4">
            <w:pPr>
              <w:pStyle w:val="lbs-dokumente"/>
            </w:pPr>
            <w:r>
              <w:rPr>
                <w:lang/>
              </w:rPr>
              <w:t>A Mercurio admonitus Aeneas Didonem reliquit,</w:t>
            </w:r>
          </w:p>
          <w:p w14:paraId="0461BF0C" w14:textId="77777777" w:rsidR="001308D3" w:rsidRDefault="00D821A4">
            <w:pPr>
              <w:pStyle w:val="lbs-dokumente"/>
              <w:ind w:left="709"/>
            </w:pPr>
            <w:r>
              <w:rPr>
                <w:lang/>
              </w:rPr>
              <w:t xml:space="preserve">ut </w:t>
            </w:r>
            <w:r>
              <w:rPr>
                <w:lang/>
              </w:rPr>
              <w:t>Italiam peteret</w:t>
            </w:r>
            <w:r>
              <w:t>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D918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neglegere</w:t>
            </w:r>
            <w:proofErr w:type="spellEnd"/>
            <w:r>
              <w:t xml:space="preserve">, </w:t>
            </w:r>
            <w:proofErr w:type="spellStart"/>
            <w:r>
              <w:t>neglegō</w:t>
            </w:r>
            <w:proofErr w:type="spellEnd"/>
            <w:r>
              <w:t xml:space="preserve">, </w:t>
            </w:r>
            <w:proofErr w:type="spellStart"/>
            <w:r>
              <w:t>neglēxī</w:t>
            </w:r>
            <w:proofErr w:type="spellEnd"/>
            <w:r>
              <w:t xml:space="preserve">, </w:t>
            </w:r>
            <w:proofErr w:type="spellStart"/>
            <w:r>
              <w:t>neglēctum</w:t>
            </w:r>
            <w:proofErr w:type="spellEnd"/>
            <w:r>
              <w:t>: missachten, vernachlässigen</w:t>
            </w:r>
          </w:p>
          <w:p w14:paraId="30974E3A" w14:textId="77777777" w:rsidR="001308D3" w:rsidRDefault="00D821A4">
            <w:pPr>
              <w:pStyle w:val="Vokabelangabe-einrck"/>
              <w:ind w:left="0" w:firstLine="0"/>
            </w:pPr>
            <w:r>
              <w:t xml:space="preserve">Iuppiter, Mercurius: Götter. </w:t>
            </w:r>
            <w:r>
              <w:t>Merkur war der Götterbote.</w:t>
            </w:r>
          </w:p>
        </w:tc>
      </w:tr>
      <w:tr w:rsidR="001308D3" w14:paraId="4DA958ED" w14:textId="77777777" w:rsidTr="008D3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1F6C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lastRenderedPageBreak/>
              <w:t>Pater Anchises,</w:t>
            </w:r>
          </w:p>
          <w:p w14:paraId="4D6E3B70" w14:textId="77777777" w:rsidR="001308D3" w:rsidRDefault="00D821A4">
            <w:pPr>
              <w:pStyle w:val="lbs-dokumente"/>
              <w:ind w:left="709"/>
            </w:pPr>
            <w:r>
              <w:rPr>
                <w:rFonts w:eastAsia="Times New Roman"/>
                <w:lang/>
              </w:rPr>
              <w:t>quem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/>
              </w:rPr>
              <w:t>Aeneas e Troia ardente servaverat,</w:t>
            </w:r>
          </w:p>
          <w:p w14:paraId="18EB234A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in illo itinere mortuus est.</w:t>
            </w:r>
          </w:p>
          <w:p w14:paraId="0FB57B11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Aeneas,</w:t>
            </w:r>
            <w:bookmarkStart w:id="0" w:name="_GoBack"/>
            <w:bookmarkEnd w:id="0"/>
          </w:p>
          <w:p w14:paraId="403F02F5" w14:textId="77777777" w:rsidR="001308D3" w:rsidRDefault="00D821A4">
            <w:pPr>
              <w:pStyle w:val="lbs-dokumente"/>
              <w:ind w:left="709"/>
            </w:pPr>
            <w:r>
              <w:rPr>
                <w:rFonts w:eastAsia="Times New Roman"/>
                <w:lang/>
              </w:rPr>
              <w:t>ubi primum oras Italiae tetigit,</w:t>
            </w:r>
          </w:p>
          <w:p w14:paraId="4C614B4B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deis immolavit et cum Sybilla sacerdote ad sedes mortuorum descendit,</w:t>
            </w:r>
          </w:p>
          <w:p w14:paraId="4B92515D" w14:textId="77777777" w:rsidR="001308D3" w:rsidRDefault="00D821A4">
            <w:pPr>
              <w:pStyle w:val="lbs-dokumente"/>
              <w:ind w:left="709"/>
            </w:pPr>
            <w:r>
              <w:rPr>
                <w:rFonts w:eastAsia="Times New Roman"/>
                <w:lang/>
              </w:rPr>
              <w:t>ut res futuras cognosceret.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43D0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ardēre</w:t>
            </w:r>
            <w:proofErr w:type="spellEnd"/>
            <w:r>
              <w:t xml:space="preserve">, </w:t>
            </w:r>
            <w:proofErr w:type="spellStart"/>
            <w:r>
              <w:t>ardeō</w:t>
            </w:r>
            <w:proofErr w:type="spellEnd"/>
            <w:r>
              <w:t xml:space="preserve">, </w:t>
            </w:r>
            <w:proofErr w:type="spellStart"/>
            <w:r>
              <w:t>arsī</w:t>
            </w:r>
            <w:proofErr w:type="spellEnd"/>
            <w:r>
              <w:t xml:space="preserve">, </w:t>
            </w:r>
            <w:proofErr w:type="spellStart"/>
            <w:r>
              <w:t>arsum</w:t>
            </w:r>
            <w:proofErr w:type="spellEnd"/>
            <w:r>
              <w:t>: brennen</w:t>
            </w:r>
          </w:p>
          <w:p w14:paraId="3A5E5309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mortuus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>: Er</w:t>
            </w:r>
            <w:r>
              <w:t xml:space="preserve"> ist gestorben (Deponens; diese Art von Verben wird erst später eingeführt).</w:t>
            </w:r>
          </w:p>
          <w:p w14:paraId="4FA45D41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ubī</w:t>
            </w:r>
            <w:proofErr w:type="spellEnd"/>
            <w:r>
              <w:t xml:space="preserve"> </w:t>
            </w:r>
            <w:proofErr w:type="spellStart"/>
            <w:r>
              <w:t>prīmum</w:t>
            </w:r>
            <w:proofErr w:type="spellEnd"/>
            <w:r>
              <w:t>: sobald</w:t>
            </w:r>
          </w:p>
          <w:p w14:paraId="6F9A7069" w14:textId="77777777" w:rsidR="001308D3" w:rsidRDefault="00D821A4">
            <w:pPr>
              <w:pStyle w:val="Vokabelangabe-einrck"/>
              <w:ind w:left="0" w:firstLine="0"/>
            </w:pPr>
            <w:r>
              <w:t>Sybilla: eine Priesterin</w:t>
            </w:r>
          </w:p>
          <w:p w14:paraId="12D75845" w14:textId="77777777" w:rsidR="001308D3" w:rsidRDefault="00D821A4">
            <w:pPr>
              <w:pStyle w:val="Vokabelangabe-einrck"/>
              <w:ind w:left="0" w:firstLine="0"/>
            </w:pPr>
            <w:proofErr w:type="spellStart"/>
            <w:r>
              <w:t>dēscendere</w:t>
            </w:r>
            <w:proofErr w:type="spellEnd"/>
            <w:r>
              <w:t xml:space="preserve">, </w:t>
            </w:r>
            <w:proofErr w:type="spellStart"/>
            <w:r>
              <w:t>dēscendō</w:t>
            </w:r>
            <w:proofErr w:type="spellEnd"/>
            <w:r>
              <w:t xml:space="preserve">, </w:t>
            </w:r>
            <w:proofErr w:type="spellStart"/>
            <w:r>
              <w:t>dēscendī</w:t>
            </w:r>
            <w:proofErr w:type="spellEnd"/>
            <w:r>
              <w:t>, </w:t>
            </w:r>
            <w:proofErr w:type="spellStart"/>
            <w:r>
              <w:t>dēscēnsum</w:t>
            </w:r>
            <w:proofErr w:type="spellEnd"/>
            <w:r>
              <w:t>: hinabsteigen</w:t>
            </w:r>
          </w:p>
          <w:p w14:paraId="6A6206BC" w14:textId="77777777" w:rsidR="001308D3" w:rsidRDefault="001308D3">
            <w:pPr>
              <w:pStyle w:val="lbs-dokumente"/>
            </w:pPr>
          </w:p>
        </w:tc>
      </w:tr>
      <w:tr w:rsidR="001308D3" w14:paraId="2FCF0673" w14:textId="77777777" w:rsidTr="008D3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554E3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Tandem Aeneas comitesque ad Tiberim pervenerunt,</w:t>
            </w:r>
          </w:p>
          <w:p w14:paraId="51566BAB" w14:textId="77777777" w:rsidR="001308D3" w:rsidRDefault="00D821A4">
            <w:pPr>
              <w:pStyle w:val="lbs-dokumente"/>
              <w:ind w:left="709"/>
            </w:pPr>
            <w:r>
              <w:rPr>
                <w:rFonts w:eastAsia="Times New Roman"/>
                <w:lang/>
              </w:rPr>
              <w:t xml:space="preserve">ubi multis pugnis </w:t>
            </w:r>
            <w:r>
              <w:rPr>
                <w:rFonts w:eastAsia="Times New Roman"/>
                <w:lang/>
              </w:rPr>
              <w:t>pugnatis regnum condiderunt.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D6BD7" w14:textId="77777777" w:rsidR="001308D3" w:rsidRDefault="00D821A4">
            <w:pPr>
              <w:pStyle w:val="lbs-dokumente"/>
            </w:pPr>
            <w:r>
              <w:rPr>
                <w:rFonts w:eastAsia="Times New Roman"/>
                <w:lang/>
              </w:rPr>
              <w:t>multis pugnis pugnatis: Ablativus absolutus</w:t>
            </w:r>
          </w:p>
        </w:tc>
      </w:tr>
    </w:tbl>
    <w:p w14:paraId="3437409F" w14:textId="77777777" w:rsidR="001308D3" w:rsidRDefault="001308D3">
      <w:pPr>
        <w:pStyle w:val="lbs-dokumente"/>
      </w:pPr>
    </w:p>
    <w:p w14:paraId="46B6DB3E" w14:textId="77777777" w:rsidR="001308D3" w:rsidRDefault="00D821A4">
      <w:pPr>
        <w:pStyle w:val="lbs-dokumente"/>
      </w:pPr>
      <w:r>
        <w:t>Das HTML-Dokument enthält Links zu interaktiven Übungen und zu Formentabellen.</w:t>
      </w:r>
    </w:p>
    <w:p w14:paraId="7005BE4D" w14:textId="77777777" w:rsidR="001308D3" w:rsidRDefault="00D821A4">
      <w:pPr>
        <w:pStyle w:val="lbs-dokumente"/>
      </w:pPr>
      <w:r>
        <w:t xml:space="preserve">URL des HTML-Dokuments: </w:t>
      </w:r>
      <w:hyperlink r:id="rId6" w:history="1">
        <w:r>
          <w:rPr>
            <w:rStyle w:val="Hyperlink"/>
          </w:rPr>
          <w:t>www.schule-bw.de/faecher-und-schularten/sprachen-und-literatur/latein/texte-und-medien/uebungstexte-aeneas/held-aeneas.html</w:t>
        </w:r>
      </w:hyperlink>
      <w:r>
        <w:t xml:space="preserve">   </w:t>
      </w:r>
    </w:p>
    <w:sectPr w:rsidR="001308D3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554E" w14:textId="77777777" w:rsidR="00D821A4" w:rsidRDefault="00D821A4">
      <w:pPr>
        <w:spacing w:after="0" w:line="240" w:lineRule="auto"/>
      </w:pPr>
      <w:r>
        <w:separator/>
      </w:r>
    </w:p>
  </w:endnote>
  <w:endnote w:type="continuationSeparator" w:id="0">
    <w:p w14:paraId="286BAE30" w14:textId="77777777" w:rsidR="00D821A4" w:rsidRDefault="00D8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486F" w14:textId="77777777" w:rsidR="00E768B6" w:rsidRDefault="00D821A4">
    <w:pPr>
      <w:pStyle w:val="Fuzeile"/>
    </w:pPr>
    <w:hyperlink r:id="rId1" w:history="1">
      <w:r>
        <w:rPr>
          <w:rFonts w:ascii="Verdana" w:hAnsi="Verdana"/>
          <w:color w:val="00008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3F1CA" w14:textId="77777777" w:rsidR="00D821A4" w:rsidRDefault="00D821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649E46" w14:textId="77777777" w:rsidR="00D821A4" w:rsidRDefault="00D8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E768B6" w14:paraId="23BD9957" w14:textId="77777777" w:rsidTr="008D3453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6EB71C" w14:textId="29A297D2" w:rsidR="00E768B6" w:rsidRDefault="008D3453" w:rsidP="008D3453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A72D47" wp14:editId="52CF0C4E">
                <wp:simplePos x="0" y="0"/>
                <wp:positionH relativeFrom="column">
                  <wp:posOffset>105410</wp:posOffset>
                </wp:positionH>
                <wp:positionV relativeFrom="paragraph">
                  <wp:posOffset>-351155</wp:posOffset>
                </wp:positionV>
                <wp:extent cx="1791970" cy="518160"/>
                <wp:effectExtent l="0" t="0" r="0" b="0"/>
                <wp:wrapSquare wrapText="bothSides"/>
                <wp:docPr id="1" name="Bild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97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E73AD3A" w14:textId="77777777" w:rsidR="00E768B6" w:rsidRDefault="00D821A4" w:rsidP="008D3453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C94DE1" w14:textId="77777777" w:rsidR="00E768B6" w:rsidRDefault="00D821A4" w:rsidP="008D3453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Lektüre: Der Held Aeneas</w:t>
          </w:r>
          <w:r>
            <w:rPr>
              <w:rFonts w:ascii="Arial Rounded MT Bold" w:hAnsi="Arial Rounded MT Bold"/>
            </w:rPr>
            <w:br/>
          </w:r>
        </w:p>
      </w:tc>
    </w:tr>
  </w:tbl>
  <w:p w14:paraId="3BB067F6" w14:textId="541AF7D5" w:rsidR="00E768B6" w:rsidRDefault="00D821A4">
    <w:pPr>
      <w:pStyle w:val="Kopfzeile"/>
      <w:spacing w:after="0" w:line="240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08D3"/>
    <w:rsid w:val="001308D3"/>
    <w:rsid w:val="002F7910"/>
    <w:rsid w:val="008D3453"/>
    <w:rsid w:val="00D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999B"/>
  <w15:docId w15:val="{499F356A-C15B-4961-B652-3C745FDB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zh-CN" w:bidi="hi-IN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color w:val="262626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40" w:after="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pPr>
      <w:keepNext/>
      <w:keepLines/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autoRedefine/>
    <w:pPr>
      <w:spacing w:after="80" w:line="360" w:lineRule="auto"/>
    </w:pPr>
    <w:rPr>
      <w:rFonts w:eastAsia="Arial" w:cs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eastAsia="Arial" w:cs="Arial"/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pPr>
      <w:spacing w:after="0" w:line="240" w:lineRule="auto"/>
    </w:pPr>
  </w:style>
  <w:style w:type="paragraph" w:customStyle="1" w:styleId="Quotations">
    <w:name w:val="Quotations"/>
    <w:basedOn w:val="Standard"/>
    <w:next w:val="Standard"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</w:style>
  <w:style w:type="paragraph" w:customStyle="1" w:styleId="Vokabelangabe-einrck">
    <w:name w:val="Vokabelangabe-einrück"/>
    <w:basedOn w:val="Standard"/>
    <w:pPr>
      <w:spacing w:after="100" w:line="264" w:lineRule="auto"/>
      <w:ind w:left="1474" w:hanging="340"/>
    </w:pPr>
    <w:rPr>
      <w:rFonts w:eastAsia="Arial"/>
      <w:lang w:eastAsia="en-US" w:bidi="ar-SA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rPr>
      <w:i/>
      <w:iCs/>
      <w:color w:val="auto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ascii="Arial" w:eastAsia="Times New Roman" w:hAnsi="Arial" w:cs="Times New Roman"/>
      <w:i/>
      <w:iCs/>
      <w:color w:val="404040"/>
    </w:r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Times New Roman"/>
      <w:color w:val="262626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rPr>
      <w:rFonts w:ascii="Arial" w:eastAsia="Times New Roman" w:hAnsi="Arial" w:cs="Times New Roman"/>
      <w:color w:val="404040"/>
    </w:rPr>
  </w:style>
  <w:style w:type="character" w:customStyle="1" w:styleId="berschrift6Zchn">
    <w:name w:val="Überschrift 6 Zchn"/>
    <w:basedOn w:val="Absatz-Standardschriftart"/>
    <w:rPr>
      <w:rFonts w:ascii="Arial" w:eastAsia="Times New Roman" w:hAnsi="Arial" w:cs="Times New Roman"/>
    </w:rPr>
  </w:style>
  <w:style w:type="character" w:customStyle="1" w:styleId="berschrift7Zchn">
    <w:name w:val="Überschrift 7 Zchn"/>
    <w:basedOn w:val="Absatz-Standardschriftart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rPr>
      <w:rFonts w:ascii="Arial" w:eastAsia="Times New Roman" w:hAnsi="Arial" w:cs="Times New Roman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rPr>
      <w:rFonts w:ascii="Arial" w:eastAsia="Times New Roman" w:hAnsi="Arial" w:cs="Times New Roman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rPr>
      <w:rFonts w:ascii="Arial" w:eastAsia="Times New Roman" w:hAnsi="Arial" w:cs="Times New Roman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rPr>
      <w:color w:val="5A5A5A"/>
      <w:spacing w:val="15"/>
    </w:rPr>
  </w:style>
  <w:style w:type="character" w:styleId="Fett">
    <w:name w:val="Strong"/>
    <w:basedOn w:val="Absatz-Standardschriftart"/>
    <w:rPr>
      <w:b/>
      <w:bCs/>
      <w:color w:val="auto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rPr>
      <w:i/>
      <w:iCs/>
      <w:color w:val="404040"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character" w:styleId="IntensiveHervorhebung">
    <w:name w:val="Intense Emphasis"/>
    <w:basedOn w:val="Absatz-Standardschriftart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rPr>
      <w:smallCaps/>
      <w:color w:val="404040"/>
    </w:rPr>
  </w:style>
  <w:style w:type="character" w:styleId="IntensiverVerweis">
    <w:name w:val="Intense Reference"/>
    <w:basedOn w:val="Absatz-Standardschriftart"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rPr>
      <w:b/>
      <w:bCs/>
      <w:i/>
      <w:iCs/>
      <w:spacing w:val="5"/>
    </w:rPr>
  </w:style>
  <w:style w:type="character" w:styleId="Hyperlink">
    <w:name w:val="Hyperlink"/>
    <w:basedOn w:val="Absatz-Standardschriftart"/>
    <w:rPr>
      <w:color w:val="9454C3"/>
      <w:u w:val="single"/>
    </w:rPr>
  </w:style>
  <w:style w:type="character" w:styleId="NichtaufgelsteErwhnung">
    <w:name w:val="Unresolved Mention"/>
    <w:basedOn w:val="Absatz-Standardschriftart"/>
    <w:rPr>
      <w:color w:val="808080"/>
      <w:shd w:val="clear" w:color="auto" w:fill="E6E6E6"/>
    </w:rPr>
  </w:style>
  <w:style w:type="character" w:customStyle="1" w:styleId="Vokabelangabe-einrckZchn">
    <w:name w:val="Vokabelangabe-einrück Zchn"/>
    <w:basedOn w:val="Absatz-Standardschriftart"/>
    <w:rPr>
      <w:rFonts w:eastAsia="Arial"/>
      <w:sz w:val="22"/>
      <w:szCs w:val="22"/>
      <w:lang w:eastAsia="en-US" w:bidi="ar-SA"/>
    </w:rPr>
  </w:style>
  <w:style w:type="character" w:customStyle="1" w:styleId="showbody">
    <w:name w:val="showbody"/>
    <w:basedOn w:val="Absatz-Standardschriftart"/>
  </w:style>
  <w:style w:type="character" w:styleId="BesuchterLink">
    <w:name w:val="FollowedHyperlink"/>
    <w:basedOn w:val="Absatz-Standardschriftart"/>
    <w:rPr>
      <w:color w:val="3EBBF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e-bw.de/faecher-und-schularten/sprachen-und-literatur/latein/texte-und-medien/uebungstexte-aeneas/held-aenea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Held Aeneas - Übersetzungstext 1</dc:title>
  <dc:creator>admin</dc:creator>
  <cp:lastModifiedBy>Tilman</cp:lastModifiedBy>
  <cp:revision>4</cp:revision>
  <dcterms:created xsi:type="dcterms:W3CDTF">2020-03-17T12:28:00Z</dcterms:created>
  <dcterms:modified xsi:type="dcterms:W3CDTF">2020-03-17T12:29:00Z</dcterms:modified>
</cp:coreProperties>
</file>