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2A01" w14:textId="4B929E89" w:rsidR="00DB49D1" w:rsidRDefault="00DB49D1" w:rsidP="006E66A8">
      <w:pPr>
        <w:pStyle w:val="berschrift1"/>
        <w:tabs>
          <w:tab w:val="left" w:pos="7092"/>
        </w:tabs>
        <w:spacing w:before="0"/>
      </w:pPr>
      <w:r w:rsidRPr="0040335B">
        <w:t>Helden der Antike gehen in die Unterwelt</w:t>
      </w:r>
    </w:p>
    <w:p w14:paraId="37A8FE71" w14:textId="140C4609" w:rsidR="002A28B0" w:rsidRPr="002A28B0" w:rsidRDefault="002A28B0" w:rsidP="002A28B0">
      <w:r>
        <w:t xml:space="preserve">Name: </w:t>
      </w:r>
    </w:p>
    <w:p w14:paraId="3DDB5C68" w14:textId="5A2BA653" w:rsidR="00751A03" w:rsidRPr="00751A03" w:rsidRDefault="00751A03" w:rsidP="00751A03">
      <w:pPr>
        <w:pStyle w:val="berschrift3"/>
      </w:pPr>
      <w:r>
        <w:t>Teil 1: Hercules holt Cerberus aus der Unterwelt</w:t>
      </w:r>
      <w:r w:rsidR="002A28B0">
        <w:t xml:space="preserve"> – Der Auftrag</w:t>
      </w:r>
    </w:p>
    <w:p w14:paraId="1C2E4B1F" w14:textId="2A315BA2" w:rsidR="00DB49D1" w:rsidRDefault="00DB49D1" w:rsidP="00DB49D1">
      <w:pPr>
        <w:rPr>
          <w:i/>
          <w:iCs/>
        </w:rPr>
      </w:pPr>
      <w:r w:rsidRPr="0040335B">
        <w:rPr>
          <w:i/>
          <w:iCs/>
        </w:rPr>
        <w:t>Die sagenhaften Helden der Griechen und Römer gingen, wenn es sein musste, auch in die Unterwelt zu den Toten.</w:t>
      </w:r>
      <w:r w:rsidR="00751A03">
        <w:rPr>
          <w:i/>
          <w:iCs/>
        </w:rPr>
        <w:t xml:space="preserve"> Her</w:t>
      </w:r>
      <w:r w:rsidR="003A6EDE">
        <w:rPr>
          <w:i/>
          <w:iCs/>
        </w:rPr>
        <w:t>k</w:t>
      </w:r>
      <w:r w:rsidR="00751A03">
        <w:rPr>
          <w:i/>
          <w:iCs/>
        </w:rPr>
        <w:t>ules holte den wilden, dreiköpfigen Hund Cerberus aus der Unterwelt.</w:t>
      </w:r>
    </w:p>
    <w:p w14:paraId="0DEE83D3" w14:textId="35CDA754" w:rsidR="00EE1BB7" w:rsidRDefault="00EE1BB7" w:rsidP="00EE1BB7">
      <w:pPr>
        <w:rPr>
          <w:b/>
          <w:bCs/>
        </w:rPr>
      </w:pPr>
      <w:r w:rsidRPr="00EE1BB7">
        <w:rPr>
          <w:b/>
          <w:bCs/>
        </w:rPr>
        <w:t>Hilfen zum Verständnis (Mythologie und Grammatik)</w:t>
      </w:r>
    </w:p>
    <w:p w14:paraId="2D990720" w14:textId="48CA7332" w:rsidR="00160D4B" w:rsidRPr="00160D4B" w:rsidRDefault="00160D4B" w:rsidP="00EE1BB7">
      <w:r w:rsidRPr="00160D4B">
        <w:t>Auf der</w:t>
      </w:r>
      <w:r>
        <w:t xml:space="preserve"> Internetseite findest du </w:t>
      </w:r>
    </w:p>
    <w:p w14:paraId="42952B92" w14:textId="77674BFA" w:rsidR="000F513F" w:rsidRPr="000F513F" w:rsidRDefault="006C6DD0" w:rsidP="00EE1BB7">
      <w:hyperlink r:id="rId7" w:history="1">
        <w:r w:rsidR="00EE1BB7" w:rsidRPr="00784536">
          <w:rPr>
            <w:rStyle w:val="Hyperlink"/>
          </w:rPr>
          <w:t>https://www.schule-bw.de/faecher-und-schularten/sprachen-und-literatur/latein/texte-und-medien/sprueche-anekdoten/herkules-uebungstexte/herkules-in-der-unterwelt-uebersetzungstext-1.html</w:t>
        </w:r>
      </w:hyperlink>
      <w:r w:rsidR="00EE1BB7">
        <w:t xml:space="preserve"> </w:t>
      </w:r>
    </w:p>
    <w:p w14:paraId="06A5A998" w14:textId="0B916550" w:rsidR="00751A03" w:rsidRDefault="00751A03" w:rsidP="00DB49D1">
      <w:r w:rsidRPr="00751A03">
        <w:rPr>
          <w:b/>
          <w:bCs/>
        </w:rPr>
        <w:t>Aufgaben</w:t>
      </w:r>
      <w:r>
        <w:t xml:space="preserve"> – bearbeite sie in dieser Reihenfolge:</w:t>
      </w:r>
    </w:p>
    <w:p w14:paraId="35FE2322" w14:textId="63F5F787" w:rsidR="00FF67B5" w:rsidRDefault="00FF67B5" w:rsidP="00751A03">
      <w:pPr>
        <w:pStyle w:val="Listenabsatz"/>
        <w:numPr>
          <w:ilvl w:val="0"/>
          <w:numId w:val="1"/>
        </w:numPr>
      </w:pPr>
      <w:r w:rsidRPr="002A28B0">
        <w:rPr>
          <w:u w:val="single"/>
        </w:rPr>
        <w:t>Unterstreiche</w:t>
      </w:r>
      <w:r>
        <w:t xml:space="preserve"> alle Prädikate.</w:t>
      </w:r>
    </w:p>
    <w:p w14:paraId="512616D0" w14:textId="00987DC7" w:rsidR="00FF67B5" w:rsidRDefault="00FF67B5" w:rsidP="00751A03">
      <w:pPr>
        <w:pStyle w:val="Listenabsatz"/>
        <w:numPr>
          <w:ilvl w:val="0"/>
          <w:numId w:val="1"/>
        </w:numPr>
      </w:pPr>
      <w:r>
        <w:t xml:space="preserve">Setze alle </w:t>
      </w:r>
      <w:proofErr w:type="spellStart"/>
      <w:r>
        <w:t>AcIs</w:t>
      </w:r>
      <w:proofErr w:type="spellEnd"/>
      <w:r>
        <w:t xml:space="preserve"> in </w:t>
      </w:r>
      <w:r w:rsidRPr="002A28B0">
        <w:rPr>
          <w:b/>
          <w:bCs/>
        </w:rPr>
        <w:t>Fettdruck</w:t>
      </w:r>
      <w:r>
        <w:t xml:space="preserve"> – nicht das Verb, von dem der </w:t>
      </w:r>
      <w:proofErr w:type="spellStart"/>
      <w:r>
        <w:t>AcI</w:t>
      </w:r>
      <w:proofErr w:type="spellEnd"/>
      <w:r>
        <w:t xml:space="preserve"> abhängt, sondern alles vom </w:t>
      </w:r>
      <w:proofErr w:type="spellStart"/>
      <w:r>
        <w:t>Accusativ</w:t>
      </w:r>
      <w:proofErr w:type="spellEnd"/>
      <w:r>
        <w:t xml:space="preserve"> des </w:t>
      </w:r>
      <w:proofErr w:type="spellStart"/>
      <w:r>
        <w:t>AcI</w:t>
      </w:r>
      <w:proofErr w:type="spellEnd"/>
      <w:r>
        <w:t xml:space="preserve"> bis zu</w:t>
      </w:r>
      <w:r w:rsidR="001A7068">
        <w:t>m Infinitiv.</w:t>
      </w:r>
    </w:p>
    <w:p w14:paraId="54FD4F8C" w14:textId="13EABCF3" w:rsidR="00470991" w:rsidRDefault="00470991" w:rsidP="00470991">
      <w:pPr>
        <w:pStyle w:val="Listenabsatz"/>
        <w:numPr>
          <w:ilvl w:val="0"/>
          <w:numId w:val="1"/>
        </w:numPr>
      </w:pPr>
      <w:r>
        <w:t>Übersetze den Text</w:t>
      </w:r>
      <w:r w:rsidR="002A28B0">
        <w:t>. Verwende dafür die rechte Spalte</w:t>
      </w:r>
      <w:r>
        <w:t>.</w:t>
      </w:r>
    </w:p>
    <w:p w14:paraId="103F79C9" w14:textId="44859406" w:rsidR="00027CDF" w:rsidRDefault="00027CDF" w:rsidP="00027CDF">
      <w:r>
        <w:t>Zu den Vokabeln: Die Vokabeln mit</w:t>
      </w:r>
      <w:r w:rsidR="0071318D" w:rsidRPr="0071318D"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027CDF">
        <w:t>sind</w:t>
      </w:r>
      <w:r>
        <w:t xml:space="preserve"> Lernvokabeln. Präge sie dir beim Übersetzen ein.</w:t>
      </w:r>
    </w:p>
    <w:p w14:paraId="4579A888" w14:textId="5DE922D6" w:rsidR="00027CDF" w:rsidRDefault="00027CDF" w:rsidP="00027CDF">
      <w:r>
        <w:t xml:space="preserve">Beim Landesbildungsserver findest du eine </w:t>
      </w:r>
      <w:hyperlink r:id="rId8" w:history="1">
        <w:r w:rsidRPr="00027CDF">
          <w:rPr>
            <w:rStyle w:val="Hyperlink"/>
          </w:rPr>
          <w:t>Liste mit Online-Wörterbüchern</w:t>
        </w:r>
      </w:hyperlink>
      <w:r>
        <w:t xml:space="preserve">, die auf ihre Zuverlässigkeit geprüft wurden. Du kannst z. B. das Lateinlexikon von </w:t>
      </w:r>
      <w:hyperlink r:id="rId9" w:history="1">
        <w:r>
          <w:rPr>
            <w:rStyle w:val="Hyperlink"/>
          </w:rPr>
          <w:t>Pons</w:t>
        </w:r>
      </w:hyperlink>
      <w:r>
        <w:t xml:space="preserve"> verwenden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7"/>
        <w:gridCol w:w="3016"/>
        <w:gridCol w:w="3017"/>
      </w:tblGrid>
      <w:tr w:rsidR="001A7068" w14:paraId="647324C0" w14:textId="77777777" w:rsidTr="00F9296B">
        <w:tc>
          <w:tcPr>
            <w:tcW w:w="3017" w:type="dxa"/>
          </w:tcPr>
          <w:p w14:paraId="50CA55B8" w14:textId="4C2A0408" w:rsidR="001A7068" w:rsidRPr="006579C2" w:rsidRDefault="001A7068" w:rsidP="001A7068">
            <w:pPr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Lateinischer Text</w:t>
            </w:r>
          </w:p>
        </w:tc>
        <w:tc>
          <w:tcPr>
            <w:tcW w:w="3016" w:type="dxa"/>
          </w:tcPr>
          <w:p w14:paraId="7D4764C2" w14:textId="36C049B4" w:rsidR="001A7068" w:rsidRDefault="001A7068" w:rsidP="001A7068">
            <w:pPr>
              <w:pStyle w:val="vokangabe2"/>
            </w:pPr>
            <w:r>
              <w:t>Übersetzungshilfen</w:t>
            </w:r>
          </w:p>
        </w:tc>
        <w:tc>
          <w:tcPr>
            <w:tcW w:w="3017" w:type="dxa"/>
          </w:tcPr>
          <w:p w14:paraId="36F15C6A" w14:textId="108B39EE" w:rsidR="001A7068" w:rsidRDefault="001A7068" w:rsidP="001A7068">
            <w:r>
              <w:t>Übersetzung</w:t>
            </w:r>
          </w:p>
        </w:tc>
      </w:tr>
      <w:tr w:rsidR="00F9296B" w14:paraId="490BACA5" w14:textId="77777777" w:rsidTr="00F9296B">
        <w:tc>
          <w:tcPr>
            <w:tcW w:w="3017" w:type="dxa"/>
          </w:tcPr>
          <w:p w14:paraId="522B7499" w14:textId="77777777" w:rsidR="00F9296B" w:rsidRPr="006579C2" w:rsidRDefault="00F9296B" w:rsidP="00F9296B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 xml:space="preserve">Eurystheus Herculi duodecim munera </w:t>
            </w:r>
            <w:r w:rsidRPr="00F95363">
              <w:rPr>
                <w:sz w:val="24"/>
                <w:szCs w:val="24"/>
                <w:lang w:val="sq-AL"/>
              </w:rPr>
              <w:t>dedit, quia credebat</w:t>
            </w:r>
            <w:r w:rsidRPr="006579C2">
              <w:rPr>
                <w:sz w:val="24"/>
                <w:szCs w:val="24"/>
                <w:lang w:val="sq-AL"/>
              </w:rPr>
              <w:t xml:space="preserve"> </w:t>
            </w:r>
            <w:r w:rsidRPr="00F95363">
              <w:rPr>
                <w:sz w:val="24"/>
                <w:szCs w:val="24"/>
                <w:lang w:val="sq-AL"/>
              </w:rPr>
              <w:t>Herculem ea explere non posse.</w:t>
            </w:r>
          </w:p>
          <w:p w14:paraId="3055B636" w14:textId="77777777" w:rsidR="00F9296B" w:rsidRPr="006579C2" w:rsidRDefault="00F9296B" w:rsidP="00F9296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4AC39900" w14:textId="77777777" w:rsidR="00F9296B" w:rsidRDefault="00F9296B" w:rsidP="00F9296B">
            <w:pPr>
              <w:pStyle w:val="vokangabe2"/>
              <w:rPr>
                <w:rFonts w:eastAsia="Times New Roman"/>
              </w:rPr>
            </w:pPr>
            <w:r>
              <w:t>Eurystheus: Eurystheus (Name)</w:t>
            </w:r>
          </w:p>
          <w:p w14:paraId="4CD183D2" w14:textId="77777777" w:rsidR="00F9296B" w:rsidRDefault="00F9296B" w:rsidP="00F9296B">
            <w:pPr>
              <w:pStyle w:val="vokangabe2"/>
            </w:pPr>
            <w:r>
              <w:t>Herculēs, Herculis, m: Herkules</w:t>
            </w:r>
          </w:p>
          <w:p w14:paraId="1CBADB92" w14:textId="77777777" w:rsidR="00F9296B" w:rsidRDefault="00F9296B" w:rsidP="00F9296B">
            <w:pPr>
              <w:pStyle w:val="vokangabe2"/>
            </w:pPr>
            <w:r>
              <w:t>mūnus, mūneris, n.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die Aufgabe</w:t>
            </w:r>
          </w:p>
          <w:p w14:paraId="633C1500" w14:textId="47862011" w:rsidR="00F9296B" w:rsidRDefault="00F9296B" w:rsidP="00F9296B">
            <w:pPr>
              <w:pStyle w:val="vokangabe2"/>
            </w:pPr>
            <w:r>
              <w:t>explēre: ausfüllen; bei einer Aufgabe: ausführen</w:t>
            </w:r>
          </w:p>
        </w:tc>
        <w:tc>
          <w:tcPr>
            <w:tcW w:w="3017" w:type="dxa"/>
          </w:tcPr>
          <w:p w14:paraId="12FE839C" w14:textId="77777777" w:rsidR="00F9296B" w:rsidRDefault="00F9296B" w:rsidP="00F9296B"/>
        </w:tc>
      </w:tr>
      <w:tr w:rsidR="00F9296B" w14:paraId="0108261B" w14:textId="77777777" w:rsidTr="00F9296B">
        <w:tc>
          <w:tcPr>
            <w:tcW w:w="3017" w:type="dxa"/>
          </w:tcPr>
          <w:p w14:paraId="5FEB1FE3" w14:textId="7C14DCE2" w:rsidR="00F9296B" w:rsidRPr="006579C2" w:rsidRDefault="00F9296B" w:rsidP="00F9296B">
            <w:pPr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  <w:lang w:val="sq-AL"/>
              </w:rPr>
              <w:t>Qui vir fortis etiam ad domum mortuorum descendit.</w:t>
            </w:r>
          </w:p>
        </w:tc>
        <w:tc>
          <w:tcPr>
            <w:tcW w:w="3016" w:type="dxa"/>
          </w:tcPr>
          <w:p w14:paraId="4933DC8B" w14:textId="77777777" w:rsidR="00F9296B" w:rsidRDefault="00F9296B" w:rsidP="00F9296B">
            <w:pPr>
              <w:pStyle w:val="vokangabe2"/>
            </w:pPr>
            <w:proofErr w:type="spellStart"/>
            <w:r>
              <w:t>domus</w:t>
            </w:r>
            <w:proofErr w:type="spellEnd"/>
            <w:r>
              <w:t xml:space="preserve">, </w:t>
            </w:r>
            <w:proofErr w:type="spellStart"/>
            <w:r>
              <w:t>domus</w:t>
            </w:r>
            <w:proofErr w:type="spellEnd"/>
            <w:r>
              <w:t>, f.</w:t>
            </w:r>
            <w:r>
              <w:rPr>
                <w:b/>
                <w:bCs/>
                <w:sz w:val="28"/>
                <w:szCs w:val="28"/>
              </w:rPr>
              <w:t xml:space="preserve"> *</w:t>
            </w:r>
            <w:r>
              <w:t>: das Haus</w:t>
            </w:r>
          </w:p>
          <w:p w14:paraId="65A0A3ED" w14:textId="77777777" w:rsidR="00F9296B" w:rsidRDefault="00F9296B" w:rsidP="00F9296B">
            <w:pPr>
              <w:pStyle w:val="vokangabe2"/>
            </w:pPr>
            <w:bookmarkStart w:id="0" w:name="_Hlk56257313"/>
            <w:bookmarkEnd w:id="0"/>
            <w:proofErr w:type="spellStart"/>
            <w:r>
              <w:t>mortuus</w:t>
            </w:r>
            <w:proofErr w:type="spellEnd"/>
            <w:r>
              <w:t xml:space="preserve">, </w:t>
            </w:r>
            <w:proofErr w:type="spellStart"/>
            <w:r>
              <w:t>mortua</w:t>
            </w:r>
            <w:proofErr w:type="spellEnd"/>
            <w:r>
              <w:t xml:space="preserve">, mortuum: tot; </w:t>
            </w:r>
            <w:proofErr w:type="spellStart"/>
            <w:r>
              <w:t>mortuī</w:t>
            </w:r>
            <w:proofErr w:type="spellEnd"/>
            <w:r>
              <w:t xml:space="preserve">, </w:t>
            </w:r>
            <w:proofErr w:type="spellStart"/>
            <w:r>
              <w:t>mortuōrum</w:t>
            </w:r>
            <w:proofErr w:type="spellEnd"/>
            <w:r>
              <w:t xml:space="preserve">, m. 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die Toten</w:t>
            </w:r>
          </w:p>
          <w:p w14:paraId="5A334186" w14:textId="5EBD965C" w:rsidR="00F9296B" w:rsidRPr="001A7068" w:rsidRDefault="00F9296B" w:rsidP="00F9296B">
            <w:pPr>
              <w:pStyle w:val="vokangabe2"/>
              <w:rPr>
                <w:lang w:val="de-DE"/>
              </w:rPr>
            </w:pPr>
            <w:r>
              <w:t xml:space="preserve">dēscendere, dēscendō, dēscendi 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hinabsteigen</w:t>
            </w:r>
          </w:p>
        </w:tc>
        <w:tc>
          <w:tcPr>
            <w:tcW w:w="3017" w:type="dxa"/>
          </w:tcPr>
          <w:p w14:paraId="7B658765" w14:textId="77777777" w:rsidR="00F9296B" w:rsidRDefault="00F9296B" w:rsidP="00F9296B"/>
        </w:tc>
      </w:tr>
      <w:tr w:rsidR="00F9296B" w14:paraId="6F190CDC" w14:textId="77777777" w:rsidTr="00F9296B">
        <w:tc>
          <w:tcPr>
            <w:tcW w:w="3017" w:type="dxa"/>
          </w:tcPr>
          <w:p w14:paraId="5BAA7C65" w14:textId="04530270" w:rsidR="00F9296B" w:rsidRPr="006579C2" w:rsidRDefault="00F9296B" w:rsidP="00F9296B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lastRenderedPageBreak/>
              <w:t>Eurystheus enim postulaverat, ut Hercules Cerberum, canem terribilem, ab inferis caperet.</w:t>
            </w:r>
          </w:p>
        </w:tc>
        <w:tc>
          <w:tcPr>
            <w:tcW w:w="3016" w:type="dxa"/>
          </w:tcPr>
          <w:p w14:paraId="2DED893C" w14:textId="77777777" w:rsidR="00F9296B" w:rsidRDefault="00F9296B" w:rsidP="00F9296B">
            <w:pPr>
              <w:pStyle w:val="vokangabe2"/>
            </w:pPr>
            <w:proofErr w:type="spellStart"/>
            <w:r>
              <w:t>postulāre</w:t>
            </w:r>
            <w:proofErr w:type="spellEnd"/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fordern</w:t>
            </w:r>
          </w:p>
          <w:p w14:paraId="0CB69825" w14:textId="77777777" w:rsidR="00F9296B" w:rsidRDefault="00F9296B" w:rsidP="00F9296B">
            <w:pPr>
              <w:pStyle w:val="vokangabe2"/>
              <w:rPr>
                <w:lang w:val="de-DE"/>
              </w:rPr>
            </w:pPr>
            <w:r>
              <w:t>Cerberus: Name des dreiköpfigen Hundes, der den Eingang zur Unterwelt bewacht.</w:t>
            </w:r>
          </w:p>
          <w:p w14:paraId="53F772A5" w14:textId="77777777" w:rsidR="00F9296B" w:rsidRDefault="00F9296B" w:rsidP="00F9296B">
            <w:pPr>
              <w:pStyle w:val="vokangabe2"/>
            </w:pPr>
            <w:proofErr w:type="spellStart"/>
            <w:r>
              <w:t>canis</w:t>
            </w:r>
            <w:proofErr w:type="spellEnd"/>
            <w:r>
              <w:t xml:space="preserve">, </w:t>
            </w:r>
            <w:proofErr w:type="spellStart"/>
            <w:r>
              <w:t>canis</w:t>
            </w:r>
            <w:proofErr w:type="spellEnd"/>
            <w:r>
              <w:t>, m./f.: der Hund</w:t>
            </w:r>
          </w:p>
          <w:p w14:paraId="56F60E6A" w14:textId="77777777" w:rsidR="00F9296B" w:rsidRDefault="00F9296B" w:rsidP="00F9296B">
            <w:pPr>
              <w:pStyle w:val="vokangabe2"/>
            </w:pPr>
            <w:proofErr w:type="spellStart"/>
            <w:r>
              <w:t>terribilis</w:t>
            </w:r>
            <w:proofErr w:type="spellEnd"/>
            <w:r>
              <w:t xml:space="preserve">, </w:t>
            </w:r>
            <w:proofErr w:type="spellStart"/>
            <w:r>
              <w:t>terribile</w:t>
            </w:r>
            <w:proofErr w:type="spellEnd"/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schrecklich</w:t>
            </w:r>
          </w:p>
          <w:p w14:paraId="3673114C" w14:textId="3AAF9711" w:rsidR="00F9296B" w:rsidRDefault="00F9296B" w:rsidP="00F9296B">
            <w:pPr>
              <w:pStyle w:val="vokangabe2"/>
              <w:rPr>
                <w:lang w:val="de-DE"/>
              </w:rPr>
            </w:pPr>
            <w:r>
              <w:t>īnferī, īnfer</w:t>
            </w:r>
            <w:r w:rsidRPr="00F9296B">
              <w:t>ō</w:t>
            </w:r>
            <w:r>
              <w:t>rum, m.: die Götter der Unterwelt</w:t>
            </w:r>
          </w:p>
        </w:tc>
        <w:tc>
          <w:tcPr>
            <w:tcW w:w="3017" w:type="dxa"/>
          </w:tcPr>
          <w:p w14:paraId="776B6BF2" w14:textId="77777777" w:rsidR="00F9296B" w:rsidRDefault="00F9296B" w:rsidP="00F9296B"/>
        </w:tc>
      </w:tr>
      <w:tr w:rsidR="00F9296B" w14:paraId="3BD7D5EF" w14:textId="77777777" w:rsidTr="00F9296B">
        <w:tc>
          <w:tcPr>
            <w:tcW w:w="3017" w:type="dxa"/>
          </w:tcPr>
          <w:p w14:paraId="00AEC405" w14:textId="1106D326" w:rsidR="00F9296B" w:rsidRPr="006579C2" w:rsidRDefault="00F9296B" w:rsidP="00F9296B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>Putabat illum canem ne ab Hercule quidem superari posse.</w:t>
            </w:r>
          </w:p>
        </w:tc>
        <w:tc>
          <w:tcPr>
            <w:tcW w:w="3016" w:type="dxa"/>
          </w:tcPr>
          <w:p w14:paraId="1F44FD86" w14:textId="77777777" w:rsidR="00F9296B" w:rsidRDefault="00F9296B" w:rsidP="00F9296B">
            <w:pPr>
              <w:pStyle w:val="vokangabe2"/>
            </w:pPr>
            <w:r>
              <w:t>nē … quidem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nicht einmal</w:t>
            </w:r>
          </w:p>
          <w:p w14:paraId="4BA2965C" w14:textId="34BEBAE6" w:rsidR="00F9296B" w:rsidRDefault="00F9296B" w:rsidP="00F9296B">
            <w:pPr>
              <w:pStyle w:val="vokangabe2"/>
              <w:rPr>
                <w:lang w:val="de-DE"/>
              </w:rPr>
            </w:pPr>
            <w:r>
              <w:t xml:space="preserve">superāre 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t>: überwinden, besiegen</w:t>
            </w:r>
          </w:p>
        </w:tc>
        <w:tc>
          <w:tcPr>
            <w:tcW w:w="3017" w:type="dxa"/>
          </w:tcPr>
          <w:p w14:paraId="376F1726" w14:textId="77777777" w:rsidR="00F9296B" w:rsidRDefault="00F9296B" w:rsidP="00F9296B"/>
        </w:tc>
      </w:tr>
    </w:tbl>
    <w:p w14:paraId="2FA78F8B" w14:textId="77777777" w:rsidR="00027B32" w:rsidRDefault="00027B32"/>
    <w:sectPr w:rsidR="00027B32" w:rsidSect="002A2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F2C7E" w14:textId="77777777" w:rsidR="006C6DD0" w:rsidRDefault="006C6DD0" w:rsidP="001A7068">
      <w:pPr>
        <w:spacing w:after="0" w:line="240" w:lineRule="auto"/>
      </w:pPr>
      <w:r>
        <w:separator/>
      </w:r>
    </w:p>
  </w:endnote>
  <w:endnote w:type="continuationSeparator" w:id="0">
    <w:p w14:paraId="77333520" w14:textId="77777777" w:rsidR="006C6DD0" w:rsidRDefault="006C6DD0" w:rsidP="001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066B" w14:textId="77777777" w:rsidR="001A7068" w:rsidRDefault="001A70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5287" w14:textId="48AB2F07" w:rsidR="001A7068" w:rsidRDefault="001A7068">
    <w:pPr>
      <w:pStyle w:val="Fuzeile"/>
    </w:pPr>
    <w:r>
      <w:t>Her</w:t>
    </w:r>
    <w:r w:rsidR="000F5DC2">
      <w:t>k</w:t>
    </w:r>
    <w:r>
      <w:t>ules holt Cerberus aus der Unterwelt</w:t>
    </w:r>
    <w:r w:rsidR="0071318D">
      <w:t xml:space="preserve"> – </w:t>
    </w:r>
    <w:hyperlink r:id="rId1" w:history="1">
      <w:r w:rsidR="0071318D" w:rsidRPr="00E65C06">
        <w:rPr>
          <w:rStyle w:val="Hyperlink"/>
        </w:rPr>
        <w:t>www.latein-bw.de</w:t>
      </w:r>
    </w:hyperlink>
    <w:r w:rsidR="0071318D">
      <w:t xml:space="preserve"> </w:t>
    </w:r>
    <w:r>
      <w:tab/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6443" w14:textId="77777777" w:rsidR="001A7068" w:rsidRDefault="001A70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AE91" w14:textId="77777777" w:rsidR="006C6DD0" w:rsidRDefault="006C6DD0" w:rsidP="001A7068">
      <w:pPr>
        <w:spacing w:after="0" w:line="240" w:lineRule="auto"/>
      </w:pPr>
      <w:r>
        <w:separator/>
      </w:r>
    </w:p>
  </w:footnote>
  <w:footnote w:type="continuationSeparator" w:id="0">
    <w:p w14:paraId="6E3CBB40" w14:textId="77777777" w:rsidR="006C6DD0" w:rsidRDefault="006C6DD0" w:rsidP="001A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0B64" w14:textId="77777777" w:rsidR="001A7068" w:rsidRDefault="001A70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899"/>
      <w:gridCol w:w="5527"/>
    </w:tblGrid>
    <w:tr w:rsidR="0071318D" w:rsidRPr="002C2BC2" w14:paraId="08B01696" w14:textId="77777777" w:rsidTr="000F5DC2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1017C9" w14:textId="77777777" w:rsidR="0071318D" w:rsidRDefault="0071318D" w:rsidP="0071318D">
          <w:pPr>
            <w:pStyle w:val="TableContents"/>
            <w:spacing w:after="0" w:line="240" w:lineRule="auto"/>
          </w:pPr>
          <w:bookmarkStart w:id="1" w:name="_Hlk5711976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5F3D20" wp14:editId="6EB8DD26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3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6D23E8" w14:textId="77777777" w:rsidR="0071318D" w:rsidRPr="0071318D" w:rsidRDefault="0071318D" w:rsidP="0071318D">
          <w:pPr>
            <w:pStyle w:val="TableContents"/>
            <w:spacing w:after="0" w:line="240" w:lineRule="auto"/>
            <w:jc w:val="right"/>
            <w:rPr>
              <w:sz w:val="22"/>
              <w:szCs w:val="22"/>
            </w:rPr>
          </w:pPr>
        </w:p>
      </w:tc>
      <w:tc>
        <w:tcPr>
          <w:tcW w:w="552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8B508D" w14:textId="09F914AD" w:rsidR="0071318D" w:rsidRPr="0071318D" w:rsidRDefault="000F5DC2" w:rsidP="0071318D">
          <w:pPr>
            <w:pStyle w:val="western"/>
            <w:spacing w:after="0" w:line="240" w:lineRule="auto"/>
            <w:jc w:val="right"/>
            <w:rPr>
              <w:sz w:val="22"/>
              <w:szCs w:val="22"/>
            </w:rPr>
          </w:pPr>
          <w:r>
            <w:rPr>
              <w:rFonts w:ascii="Arial Rounded MT Bold" w:hAnsi="Arial Rounded MT Bold"/>
              <w:sz w:val="22"/>
              <w:szCs w:val="22"/>
            </w:rPr>
            <w:t>Lateinportal: Übersetzungstexte für die Lehrbuchphase</w:t>
          </w:r>
          <w:r w:rsidR="0071318D" w:rsidRPr="0071318D">
            <w:rPr>
              <w:rFonts w:ascii="Arial Rounded MT Bold" w:hAnsi="Arial Rounded MT Bold"/>
              <w:sz w:val="22"/>
              <w:szCs w:val="22"/>
            </w:rPr>
            <w:br/>
            <w:t>Herkules in der Unterwelt</w:t>
          </w:r>
        </w:p>
        <w:p w14:paraId="4307435D" w14:textId="6A29F43A" w:rsidR="0071318D" w:rsidRPr="0071318D" w:rsidRDefault="0071318D" w:rsidP="0071318D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  <w:sz w:val="22"/>
              <w:szCs w:val="22"/>
              <w:lang w:val="la-Latn"/>
            </w:rPr>
          </w:pPr>
        </w:p>
      </w:tc>
    </w:tr>
    <w:bookmarkEnd w:id="1"/>
  </w:tbl>
  <w:p w14:paraId="3C7B5FF4" w14:textId="77777777" w:rsidR="001A7068" w:rsidRPr="0071318D" w:rsidRDefault="001A7068" w:rsidP="002A28B0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BE53" w14:textId="77777777" w:rsidR="001A7068" w:rsidRDefault="001A70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221D"/>
    <w:multiLevelType w:val="hybridMultilevel"/>
    <w:tmpl w:val="B630D9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1"/>
    <w:rsid w:val="00027B32"/>
    <w:rsid w:val="00027CDF"/>
    <w:rsid w:val="000D2D0D"/>
    <w:rsid w:val="000F513F"/>
    <w:rsid w:val="000F5DC2"/>
    <w:rsid w:val="00115790"/>
    <w:rsid w:val="00160D4B"/>
    <w:rsid w:val="001A7068"/>
    <w:rsid w:val="001B3D27"/>
    <w:rsid w:val="001E7B52"/>
    <w:rsid w:val="001F03CD"/>
    <w:rsid w:val="0020424A"/>
    <w:rsid w:val="0022797B"/>
    <w:rsid w:val="00256182"/>
    <w:rsid w:val="002821FE"/>
    <w:rsid w:val="002A28B0"/>
    <w:rsid w:val="002F2115"/>
    <w:rsid w:val="00334A4F"/>
    <w:rsid w:val="003A6EDE"/>
    <w:rsid w:val="00470991"/>
    <w:rsid w:val="004A6E09"/>
    <w:rsid w:val="0061035E"/>
    <w:rsid w:val="0065631C"/>
    <w:rsid w:val="006579C2"/>
    <w:rsid w:val="006C6DD0"/>
    <w:rsid w:val="006E66A8"/>
    <w:rsid w:val="0071318D"/>
    <w:rsid w:val="00751A03"/>
    <w:rsid w:val="00997570"/>
    <w:rsid w:val="00AA3343"/>
    <w:rsid w:val="00AA546B"/>
    <w:rsid w:val="00AE7EA0"/>
    <w:rsid w:val="00B656E5"/>
    <w:rsid w:val="00DB49D1"/>
    <w:rsid w:val="00E51620"/>
    <w:rsid w:val="00E667C1"/>
    <w:rsid w:val="00EC0ADA"/>
    <w:rsid w:val="00ED26C9"/>
    <w:rsid w:val="00ED682F"/>
    <w:rsid w:val="00ED76CD"/>
    <w:rsid w:val="00EE1BB7"/>
    <w:rsid w:val="00F81D9E"/>
    <w:rsid w:val="00F9296B"/>
    <w:rsid w:val="00F95363"/>
    <w:rsid w:val="00FB2AEC"/>
    <w:rsid w:val="00FF4F62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E3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9D1"/>
    <w:pPr>
      <w:spacing w:line="312" w:lineRule="auto"/>
    </w:pPr>
    <w:rPr>
      <w:rFonts w:eastAsiaTheme="minorEastAsia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D2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A546B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46B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AA54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46B"/>
    <w:rPr>
      <w:rFonts w:eastAsiaTheme="minorEastAsia"/>
      <w:i/>
      <w:iCs/>
      <w:color w:val="404040" w:themeColor="text1" w:themeTint="BF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D27"/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46B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46B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46B"/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table" w:styleId="Tabellenraster">
    <w:name w:val="Table Grid"/>
    <w:aliases w:val="Tabellenraster-Übersetzung"/>
    <w:basedOn w:val="NormaleTabelle"/>
    <w:uiPriority w:val="39"/>
    <w:rsid w:val="00AA546B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</w:style>
  <w:style w:type="paragraph" w:customStyle="1" w:styleId="lbs-dokumente">
    <w:name w:val="lbs-dokumente"/>
    <w:rsid w:val="00AA546B"/>
    <w:pPr>
      <w:spacing w:after="198" w:line="360" w:lineRule="auto"/>
    </w:pPr>
    <w:rPr>
      <w:rFonts w:ascii="Arial" w:eastAsiaTheme="minorEastAsia" w:hAnsi="Arial"/>
      <w:lang w:eastAsia="zh-CN" w:bidi="hi-IN"/>
    </w:rPr>
  </w:style>
  <w:style w:type="paragraph" w:customStyle="1" w:styleId="vokangabe2">
    <w:name w:val="vokangabe2"/>
    <w:basedOn w:val="Standard"/>
    <w:link w:val="vokangabe2Zchn"/>
    <w:autoRedefine/>
    <w:qFormat/>
    <w:rsid w:val="00AA546B"/>
    <w:pPr>
      <w:spacing w:after="60" w:line="264" w:lineRule="auto"/>
      <w:ind w:left="284" w:hanging="284"/>
    </w:pPr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character" w:customStyle="1" w:styleId="vokangabe2Zchn">
    <w:name w:val="vokangabe2 Zchn"/>
    <w:basedOn w:val="Absatz-Standardschriftart"/>
    <w:link w:val="vokangabe2"/>
    <w:rsid w:val="00AA546B"/>
    <w:rPr>
      <w:rFonts w:ascii="Arial" w:eastAsia="Calibri" w:hAnsi="Arial" w:cs="Calibri"/>
      <w:noProof/>
      <w:sz w:val="20"/>
      <w:szCs w:val="20"/>
      <w:lang w:val="la-Latn" w:eastAsia="de-DE"/>
    </w:rPr>
  </w:style>
  <w:style w:type="paragraph" w:styleId="Listenabsatz">
    <w:name w:val="List Paragraph"/>
    <w:basedOn w:val="Standard"/>
    <w:uiPriority w:val="34"/>
    <w:qFormat/>
    <w:rsid w:val="00751A03"/>
    <w:pPr>
      <w:ind w:left="720"/>
      <w:contextualSpacing/>
    </w:pPr>
    <w:rPr>
      <w:rFonts w:cs="Mang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C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C2"/>
    <w:rPr>
      <w:rFonts w:ascii="Segoe UI" w:eastAsiaTheme="minorEastAsia" w:hAnsi="Segoe UI" w:cs="Mangal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027C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CDF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1318D"/>
    <w:pPr>
      <w:suppressLineNumbers/>
    </w:pPr>
    <w:rPr>
      <w:sz w:val="21"/>
      <w:szCs w:val="21"/>
    </w:rPr>
  </w:style>
  <w:style w:type="paragraph" w:customStyle="1" w:styleId="western">
    <w:name w:val="western"/>
    <w:basedOn w:val="Standard"/>
    <w:rsid w:val="007131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F9296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informationen-zum-fach/internetadressen/vokabeln-grammatik/lateinwoerterbuecher-im-interne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texte-und-medien/sprueche-anekdoten/herkules-uebungstexte/herkules-in-der-unterwelt-uebersetzungstext-1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.pons.com/&#252;bersetzung/latein-deuts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2020-11-14T19:58:00Z</dcterms:created>
  <dcterms:modified xsi:type="dcterms:W3CDTF">2021-01-01T19:42:00Z</dcterms:modified>
</cp:coreProperties>
</file>