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AF" w:rsidRPr="00DF6986" w:rsidRDefault="009576AF" w:rsidP="00395367">
      <w:pPr>
        <w:spacing w:before="100" w:beforeAutospacing="1" w:after="100" w:afterAutospacing="1" w:line="276" w:lineRule="auto"/>
      </w:pPr>
      <w:r w:rsidRPr="00DF6986">
        <w:t xml:space="preserve">Die Homochiralität gilt als notwendige Bedingung für die Entstehung des Lebens auf der Erde. Selbst im dritten Millenium ist noch unbekannt, wie die Bevorzugung des </w:t>
      </w:r>
      <w:r w:rsidRPr="00395367">
        <w:t xml:space="preserve">Bildes vor dem Spiegelbild erfolgte und warum </w:t>
      </w:r>
      <w:r w:rsidRPr="00395367">
        <w:rPr>
          <w:iCs/>
        </w:rPr>
        <w:t>L</w:t>
      </w:r>
      <w:r w:rsidRPr="00395367">
        <w:t xml:space="preserve">-Aminosäuren und </w:t>
      </w:r>
      <w:r w:rsidRPr="00395367">
        <w:rPr>
          <w:iCs/>
        </w:rPr>
        <w:t>D</w:t>
      </w:r>
      <w:r w:rsidRPr="00395367">
        <w:t>-Zucker</w:t>
      </w:r>
      <w:r w:rsidRPr="00DF6986">
        <w:t xml:space="preserve"> aus</w:t>
      </w:r>
      <w:r w:rsidR="00203581">
        <w:t>-</w:t>
      </w:r>
      <w:r w:rsidRPr="00DF6986">
        <w:t>g</w:t>
      </w:r>
      <w:r w:rsidRPr="00DF6986">
        <w:t>e</w:t>
      </w:r>
      <w:r w:rsidRPr="00DF6986">
        <w:t>wählt wurden. Die chirale Urzeugung mag auf der Erde stattgefunden haben, kann aber grundsätzlich auch durch Kontamination mit homochiraler Materie aus dem Weltraum herrühren. Deshalb sind Raumsonden auf dem Weg (Rosetta-Mission) oder in der Planung (Exo-Mars, Titan: Mond des Saturn), um extra</w:t>
      </w:r>
      <w:r w:rsidR="005F4458">
        <w:t>-</w:t>
      </w:r>
      <w:r w:rsidRPr="00DF6986">
        <w:t>terrestrische Homochiralität nachzuweisen. Chiralität spielt auch bei Riechstoffen und Geschmac</w:t>
      </w:r>
      <w:r w:rsidRPr="00DF6986">
        <w:t>k</w:t>
      </w:r>
      <w:r w:rsidRPr="00DF6986">
        <w:t>stoffen eine wichtige Rolle.</w:t>
      </w: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223"/>
        <w:gridCol w:w="2702"/>
        <w:gridCol w:w="1424"/>
        <w:gridCol w:w="2759"/>
        <w:gridCol w:w="222"/>
      </w:tblGrid>
      <w:tr w:rsidR="009576AF" w:rsidRPr="00616062" w:rsidTr="00395367">
        <w:trPr>
          <w:tblCellSpacing w:w="15" w:type="dxa"/>
          <w:jc w:val="center"/>
        </w:trPr>
        <w:tc>
          <w:tcPr>
            <w:tcW w:w="0" w:type="auto"/>
            <w:shd w:val="clear" w:color="auto" w:fill="auto"/>
            <w:vAlign w:val="center"/>
          </w:tcPr>
          <w:p w:rsidR="009576AF" w:rsidRPr="00616062" w:rsidRDefault="009576AF" w:rsidP="00395367">
            <w:pPr>
              <w:spacing w:line="276" w:lineRule="auto"/>
              <w:rPr>
                <w:rFonts w:ascii="Times New Roman" w:hAnsi="Times New Roman"/>
              </w:rPr>
            </w:pPr>
          </w:p>
        </w:tc>
        <w:tc>
          <w:tcPr>
            <w:tcW w:w="0" w:type="auto"/>
            <w:shd w:val="clear" w:color="auto" w:fill="auto"/>
            <w:vAlign w:val="center"/>
          </w:tcPr>
          <w:p w:rsidR="009576AF" w:rsidRPr="00616062" w:rsidRDefault="009576AF" w:rsidP="00395367">
            <w:pPr>
              <w:spacing w:line="276" w:lineRule="auto"/>
              <w:jc w:val="center"/>
              <w:rPr>
                <w:rFonts w:ascii="Times New Roman" w:hAnsi="Times New Roman"/>
              </w:rPr>
            </w:pPr>
            <w:r w:rsidRPr="00616062">
              <w:rPr>
                <w:rFonts w:ascii="Times New Roman" w:hAnsi="Times New Roman"/>
              </w:rPr>
              <w:fldChar w:fldCharType="begin"/>
            </w:r>
            <w:r w:rsidRPr="00616062">
              <w:rPr>
                <w:rFonts w:ascii="Times New Roman" w:hAnsi="Times New Roman"/>
              </w:rPr>
              <w:instrText xml:space="preserve"> INCLUDEPICTURE "http://www.uni-tuebingen.de/AKSCHURIG/bunsen-Dateien/image030.jpg" \* MERGEFORMATINET </w:instrText>
            </w:r>
            <w:r w:rsidRPr="00616062">
              <w:rPr>
                <w:rFonts w:ascii="Times New Roman" w:hAnsi="Times New Roman"/>
              </w:rPr>
              <w:fldChar w:fldCharType="separate"/>
            </w:r>
            <w:r w:rsidR="00395367">
              <w:rPr>
                <w:rFonts w:ascii="Times New Roman" w:hAnsi="Times New Roman"/>
              </w:rPr>
              <w:fldChar w:fldCharType="begin"/>
            </w:r>
            <w:r w:rsidR="00395367">
              <w:rPr>
                <w:rFonts w:ascii="Times New Roman" w:hAnsi="Times New Roman"/>
              </w:rPr>
              <w:instrText xml:space="preserve"> INCLUDEPICTURE  "http://www.uni-tuebingen.de/AKSCHURIG/bunsen-Dateien/image030.jpg" \* MERGEFORMATINET </w:instrText>
            </w:r>
            <w:r w:rsidR="00395367">
              <w:rPr>
                <w:rFonts w:ascii="Times New Roman" w:hAnsi="Times New Roman"/>
              </w:rPr>
              <w:fldChar w:fldCharType="separate"/>
            </w:r>
            <w:r w:rsidR="005F4458">
              <w:rPr>
                <w:rFonts w:ascii="Times New Roman" w:hAnsi="Times New Roman"/>
              </w:rPr>
              <w:fldChar w:fldCharType="begin"/>
            </w:r>
            <w:r w:rsidR="005F4458">
              <w:rPr>
                <w:rFonts w:ascii="Times New Roman" w:hAnsi="Times New Roman"/>
              </w:rPr>
              <w:instrText xml:space="preserve"> INCLUDEPICTURE  "http://www.uni-tuebingen.de/AKSCHURIG/bunsen-Dateien/image030.jpg" \* MERGEFORMATINET </w:instrText>
            </w:r>
            <w:r w:rsidR="005F4458">
              <w:rPr>
                <w:rFonts w:ascii="Times New Roman" w:hAnsi="Times New Roman"/>
              </w:rPr>
              <w:fldChar w:fldCharType="separate"/>
            </w:r>
            <w:r w:rsidR="00203581">
              <w:rPr>
                <w:rFonts w:ascii="Times New Roman" w:hAnsi="Times New Roman"/>
              </w:rPr>
              <w:fldChar w:fldCharType="begin"/>
            </w:r>
            <w:r w:rsidR="00203581">
              <w:rPr>
                <w:rFonts w:ascii="Times New Roman" w:hAnsi="Times New Roman"/>
              </w:rPr>
              <w:instrText xml:space="preserve"> </w:instrText>
            </w:r>
            <w:r w:rsidR="00203581">
              <w:rPr>
                <w:rFonts w:ascii="Times New Roman" w:hAnsi="Times New Roman"/>
              </w:rPr>
              <w:instrText>INCLUDEPICTURE  "http://www.uni-tuebingen.de/AKSCHURIG/bunsen-Dateien/image030.jpg" \* MERGEFORMATINET</w:instrText>
            </w:r>
            <w:r w:rsidR="00203581">
              <w:rPr>
                <w:rFonts w:ascii="Times New Roman" w:hAnsi="Times New Roman"/>
              </w:rPr>
              <w:instrText xml:space="preserve"> </w:instrText>
            </w:r>
            <w:r w:rsidR="00203581">
              <w:rPr>
                <w:rFonts w:ascii="Times New Roman" w:hAnsi="Times New Roman"/>
              </w:rPr>
              <w:fldChar w:fldCharType="separate"/>
            </w:r>
            <w:r w:rsidR="0020358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itronen-Limonen" style="width:66pt;height:76.5pt">
                  <v:imagedata r:id="rId8" r:href="rId9"/>
                </v:shape>
              </w:pict>
            </w:r>
            <w:r w:rsidR="00203581">
              <w:rPr>
                <w:rFonts w:ascii="Times New Roman" w:hAnsi="Times New Roman"/>
              </w:rPr>
              <w:fldChar w:fldCharType="end"/>
            </w:r>
            <w:r w:rsidR="005F4458">
              <w:rPr>
                <w:rFonts w:ascii="Times New Roman" w:hAnsi="Times New Roman"/>
              </w:rPr>
              <w:fldChar w:fldCharType="end"/>
            </w:r>
            <w:r w:rsidR="00395367">
              <w:rPr>
                <w:rFonts w:ascii="Times New Roman" w:hAnsi="Times New Roman"/>
              </w:rPr>
              <w:fldChar w:fldCharType="end"/>
            </w:r>
            <w:r w:rsidRPr="00616062">
              <w:rPr>
                <w:rFonts w:ascii="Times New Roman" w:hAnsi="Times New Roman"/>
              </w:rPr>
              <w:fldChar w:fldCharType="end"/>
            </w:r>
          </w:p>
        </w:tc>
        <w:tc>
          <w:tcPr>
            <w:tcW w:w="975" w:type="pct"/>
            <w:shd w:val="clear" w:color="auto" w:fill="auto"/>
            <w:vAlign w:val="center"/>
          </w:tcPr>
          <w:p w:rsidR="009576AF" w:rsidRPr="00616062" w:rsidRDefault="009576AF" w:rsidP="00395367">
            <w:pPr>
              <w:spacing w:line="276" w:lineRule="auto"/>
              <w:jc w:val="center"/>
              <w:rPr>
                <w:rFonts w:ascii="Times New Roman" w:hAnsi="Times New Roman"/>
              </w:rPr>
            </w:pPr>
            <w:r w:rsidRPr="00616062">
              <w:rPr>
                <w:rFonts w:ascii="Times New Roman" w:hAnsi="Times New Roman"/>
              </w:rPr>
              <w:t> </w:t>
            </w:r>
          </w:p>
        </w:tc>
        <w:tc>
          <w:tcPr>
            <w:tcW w:w="0" w:type="auto"/>
            <w:shd w:val="clear" w:color="auto" w:fill="auto"/>
            <w:vAlign w:val="center"/>
          </w:tcPr>
          <w:p w:rsidR="009576AF" w:rsidRPr="00616062" w:rsidRDefault="009576AF" w:rsidP="00395367">
            <w:pPr>
              <w:spacing w:line="276" w:lineRule="auto"/>
              <w:jc w:val="center"/>
              <w:rPr>
                <w:rFonts w:ascii="Times New Roman" w:hAnsi="Times New Roman"/>
              </w:rPr>
            </w:pPr>
            <w:r w:rsidRPr="00616062">
              <w:rPr>
                <w:rFonts w:ascii="Times New Roman" w:hAnsi="Times New Roman"/>
              </w:rPr>
              <w:fldChar w:fldCharType="begin"/>
            </w:r>
            <w:r w:rsidRPr="00616062">
              <w:rPr>
                <w:rFonts w:ascii="Times New Roman" w:hAnsi="Times New Roman"/>
              </w:rPr>
              <w:instrText xml:space="preserve"> INCLUDEPICTURE "http://www.uni-tuebingen.de/AKSCHURIG/bunsen-Dateien/image029.jpg" \* MERGEFORMATINET </w:instrText>
            </w:r>
            <w:r w:rsidRPr="00616062">
              <w:rPr>
                <w:rFonts w:ascii="Times New Roman" w:hAnsi="Times New Roman"/>
              </w:rPr>
              <w:fldChar w:fldCharType="separate"/>
            </w:r>
            <w:r w:rsidR="00395367">
              <w:rPr>
                <w:rFonts w:ascii="Times New Roman" w:hAnsi="Times New Roman"/>
              </w:rPr>
              <w:fldChar w:fldCharType="begin"/>
            </w:r>
            <w:r w:rsidR="00395367">
              <w:rPr>
                <w:rFonts w:ascii="Times New Roman" w:hAnsi="Times New Roman"/>
              </w:rPr>
              <w:instrText xml:space="preserve"> INCLUDEPICTURE  "http://www.uni-tuebingen.de/AKSCHURIG/bunsen-Dateien/image029.jpg" \* MERGEFORMATINET </w:instrText>
            </w:r>
            <w:r w:rsidR="00395367">
              <w:rPr>
                <w:rFonts w:ascii="Times New Roman" w:hAnsi="Times New Roman"/>
              </w:rPr>
              <w:fldChar w:fldCharType="separate"/>
            </w:r>
            <w:r w:rsidR="005F4458">
              <w:rPr>
                <w:rFonts w:ascii="Times New Roman" w:hAnsi="Times New Roman"/>
              </w:rPr>
              <w:fldChar w:fldCharType="begin"/>
            </w:r>
            <w:r w:rsidR="005F4458">
              <w:rPr>
                <w:rFonts w:ascii="Times New Roman" w:hAnsi="Times New Roman"/>
              </w:rPr>
              <w:instrText xml:space="preserve"> INCLUDEPICTURE  "http://www.uni-tuebingen.de/AKSCHURIG/bunsen-Dateien/image029.jpg" \* MERGEFORMATINET </w:instrText>
            </w:r>
            <w:r w:rsidR="005F4458">
              <w:rPr>
                <w:rFonts w:ascii="Times New Roman" w:hAnsi="Times New Roman"/>
              </w:rPr>
              <w:fldChar w:fldCharType="separate"/>
            </w:r>
            <w:r w:rsidR="00203581">
              <w:rPr>
                <w:rFonts w:ascii="Times New Roman" w:hAnsi="Times New Roman"/>
              </w:rPr>
              <w:fldChar w:fldCharType="begin"/>
            </w:r>
            <w:r w:rsidR="00203581">
              <w:rPr>
                <w:rFonts w:ascii="Times New Roman" w:hAnsi="Times New Roman"/>
              </w:rPr>
              <w:instrText xml:space="preserve"> </w:instrText>
            </w:r>
            <w:r w:rsidR="00203581">
              <w:rPr>
                <w:rFonts w:ascii="Times New Roman" w:hAnsi="Times New Roman"/>
              </w:rPr>
              <w:instrText>INCLUDEPICTURE  "http://www.uni-tuebin</w:instrText>
            </w:r>
            <w:r w:rsidR="00203581">
              <w:rPr>
                <w:rFonts w:ascii="Times New Roman" w:hAnsi="Times New Roman"/>
              </w:rPr>
              <w:instrText>gen.de/AKSCHURIG/bunsen-Dateien/image029.jpg" \* MERGEFORMATINET</w:instrText>
            </w:r>
            <w:r w:rsidR="00203581">
              <w:rPr>
                <w:rFonts w:ascii="Times New Roman" w:hAnsi="Times New Roman"/>
              </w:rPr>
              <w:instrText xml:space="preserve"> </w:instrText>
            </w:r>
            <w:r w:rsidR="00203581">
              <w:rPr>
                <w:rFonts w:ascii="Times New Roman" w:hAnsi="Times New Roman"/>
              </w:rPr>
              <w:fldChar w:fldCharType="separate"/>
            </w:r>
            <w:r w:rsidR="00203581">
              <w:rPr>
                <w:rFonts w:ascii="Times New Roman" w:hAnsi="Times New Roman"/>
              </w:rPr>
              <w:pict>
                <v:shape id="_x0000_i1026" type="#_x0000_t75" alt="Orangen-Limonen" style="width:66.75pt;height:77.25pt">
                  <v:imagedata r:id="rId10" r:href="rId11"/>
                </v:shape>
              </w:pict>
            </w:r>
            <w:r w:rsidR="00203581">
              <w:rPr>
                <w:rFonts w:ascii="Times New Roman" w:hAnsi="Times New Roman"/>
              </w:rPr>
              <w:fldChar w:fldCharType="end"/>
            </w:r>
            <w:r w:rsidR="005F4458">
              <w:rPr>
                <w:rFonts w:ascii="Times New Roman" w:hAnsi="Times New Roman"/>
              </w:rPr>
              <w:fldChar w:fldCharType="end"/>
            </w:r>
            <w:r w:rsidR="00395367">
              <w:rPr>
                <w:rFonts w:ascii="Times New Roman" w:hAnsi="Times New Roman"/>
              </w:rPr>
              <w:fldChar w:fldCharType="end"/>
            </w:r>
            <w:r w:rsidRPr="00616062">
              <w:rPr>
                <w:rFonts w:ascii="Times New Roman" w:hAnsi="Times New Roman"/>
              </w:rPr>
              <w:fldChar w:fldCharType="end"/>
            </w:r>
          </w:p>
        </w:tc>
        <w:tc>
          <w:tcPr>
            <w:tcW w:w="0" w:type="auto"/>
            <w:shd w:val="clear" w:color="auto" w:fill="auto"/>
            <w:vAlign w:val="center"/>
          </w:tcPr>
          <w:p w:rsidR="009576AF" w:rsidRPr="00616062" w:rsidRDefault="009576AF" w:rsidP="00395367">
            <w:pPr>
              <w:spacing w:line="276" w:lineRule="auto"/>
              <w:rPr>
                <w:rFonts w:ascii="Times New Roman" w:hAnsi="Times New Roman"/>
              </w:rPr>
            </w:pPr>
          </w:p>
        </w:tc>
      </w:tr>
      <w:tr w:rsidR="009576AF" w:rsidRPr="00395367" w:rsidTr="00112438">
        <w:trPr>
          <w:tblCellSpacing w:w="15" w:type="dxa"/>
          <w:jc w:val="center"/>
        </w:trPr>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  </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(Geruch nach Zitronen)</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b/>
                <w:bCs/>
                <w:sz w:val="22"/>
                <w:szCs w:val="22"/>
              </w:rPr>
              <w:t>Limonen</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(Geruch nach Orangen)</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  </w:t>
            </w:r>
          </w:p>
        </w:tc>
      </w:tr>
    </w:tbl>
    <w:p w:rsidR="009576AF" w:rsidRPr="00DF6986" w:rsidRDefault="009576AF" w:rsidP="00395367">
      <w:pPr>
        <w:spacing w:before="100" w:beforeAutospacing="1" w:after="100" w:afterAutospacing="1" w:line="276" w:lineRule="auto"/>
      </w:pPr>
      <w:r w:rsidRPr="00DF6986">
        <w:t>Der Eindruck, der beim Riechen einer duftenden Substanz gewonnen wird, hängt mit der Händigkeit des Moleküls zusammen, da die Riechrezeptoren der Nase chiral auf</w:t>
      </w:r>
      <w:r w:rsidR="005F4458">
        <w:t>-</w:t>
      </w:r>
      <w:r w:rsidRPr="00DF6986">
        <w:t>gebaut sind, vergleichbar mit Handschuh</w:t>
      </w:r>
      <w:r w:rsidR="00203581">
        <w:t>en</w:t>
      </w:r>
      <w:r w:rsidRPr="00DF6986">
        <w:t>, d</w:t>
      </w:r>
      <w:r w:rsidR="00203581">
        <w:t xml:space="preserve">ie </w:t>
      </w:r>
      <w:r w:rsidRPr="00DF6986">
        <w:t>rechte und linke Hand unter</w:t>
      </w:r>
      <w:r w:rsidR="00203581">
        <w:t>-</w:t>
      </w:r>
      <w:r w:rsidRPr="00DF6986">
        <w:t>scheide</w:t>
      </w:r>
      <w:r w:rsidR="00203581">
        <w:t>n</w:t>
      </w:r>
      <w:r w:rsidRPr="00DF6986">
        <w:t>. Dieses Prinzip gilt nahezu für alle biogenen Wechselwirkungen und betrifft besonders chirale Medikamente. Meist entfaltet nur eines der beiden Enantiomere  die gewünschte Wirkung, während das andere unwirksam oder sogar toxisch ist. So wird für das Schlafmittel Contergan (Thalidomid) vermutet, dass ein Enantiomer sedierende Eigenschaften aufweist, während das andere frucht</w:t>
      </w:r>
      <w:r w:rsidR="005F4458">
        <w:t>-s</w:t>
      </w:r>
      <w:r w:rsidRPr="00DF6986">
        <w:t>chädigende Wirku</w:t>
      </w:r>
      <w:r w:rsidRPr="00DF6986">
        <w:t>n</w:t>
      </w:r>
      <w:r w:rsidRPr="00DF6986">
        <w:t>gen ausübt.</w:t>
      </w: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214"/>
        <w:gridCol w:w="2739"/>
        <w:gridCol w:w="1424"/>
        <w:gridCol w:w="2739"/>
        <w:gridCol w:w="214"/>
      </w:tblGrid>
      <w:tr w:rsidR="009576AF" w:rsidRPr="00616062" w:rsidTr="00395367">
        <w:trPr>
          <w:tblCellSpacing w:w="15" w:type="dxa"/>
          <w:jc w:val="center"/>
        </w:trPr>
        <w:tc>
          <w:tcPr>
            <w:tcW w:w="0" w:type="auto"/>
            <w:shd w:val="clear" w:color="auto" w:fill="auto"/>
            <w:vAlign w:val="center"/>
          </w:tcPr>
          <w:p w:rsidR="009576AF" w:rsidRPr="00616062" w:rsidRDefault="009576AF" w:rsidP="00395367">
            <w:pPr>
              <w:spacing w:line="276" w:lineRule="auto"/>
              <w:rPr>
                <w:rFonts w:ascii="Times New Roman" w:hAnsi="Times New Roman"/>
              </w:rPr>
            </w:pPr>
          </w:p>
        </w:tc>
        <w:tc>
          <w:tcPr>
            <w:tcW w:w="0" w:type="auto"/>
            <w:shd w:val="clear" w:color="auto" w:fill="auto"/>
            <w:vAlign w:val="center"/>
          </w:tcPr>
          <w:p w:rsidR="009576AF" w:rsidRPr="00616062" w:rsidRDefault="009576AF" w:rsidP="00395367">
            <w:pPr>
              <w:spacing w:line="276" w:lineRule="auto"/>
              <w:jc w:val="center"/>
              <w:rPr>
                <w:rFonts w:ascii="Times New Roman" w:hAnsi="Times New Roman"/>
              </w:rPr>
            </w:pPr>
            <w:r w:rsidRPr="00616062">
              <w:rPr>
                <w:rFonts w:ascii="Times New Roman" w:hAnsi="Times New Roman"/>
              </w:rPr>
              <w:fldChar w:fldCharType="begin"/>
            </w:r>
            <w:r w:rsidRPr="00616062">
              <w:rPr>
                <w:rFonts w:ascii="Times New Roman" w:hAnsi="Times New Roman"/>
              </w:rPr>
              <w:instrText xml:space="preserve"> INCLUDEPICTURE "http://www.uni-tuebingen.de/AKSCHURIG/bunsen-Dateien/image033.jpg" \* MERGEFORMATINET </w:instrText>
            </w:r>
            <w:r w:rsidRPr="00616062">
              <w:rPr>
                <w:rFonts w:ascii="Times New Roman" w:hAnsi="Times New Roman"/>
              </w:rPr>
              <w:fldChar w:fldCharType="separate"/>
            </w:r>
            <w:r w:rsidR="00395367">
              <w:rPr>
                <w:rFonts w:ascii="Times New Roman" w:hAnsi="Times New Roman"/>
              </w:rPr>
              <w:fldChar w:fldCharType="begin"/>
            </w:r>
            <w:r w:rsidR="00395367">
              <w:rPr>
                <w:rFonts w:ascii="Times New Roman" w:hAnsi="Times New Roman"/>
              </w:rPr>
              <w:instrText xml:space="preserve"> INCLUDEPICTURE  "http://www.uni-tuebingen.de/AKSCHURIG/bunsen-Dateien/image033.jpg" \* MERGEFORMATINET </w:instrText>
            </w:r>
            <w:r w:rsidR="00395367">
              <w:rPr>
                <w:rFonts w:ascii="Times New Roman" w:hAnsi="Times New Roman"/>
              </w:rPr>
              <w:fldChar w:fldCharType="separate"/>
            </w:r>
            <w:r w:rsidR="005F4458">
              <w:rPr>
                <w:rFonts w:ascii="Times New Roman" w:hAnsi="Times New Roman"/>
              </w:rPr>
              <w:fldChar w:fldCharType="begin"/>
            </w:r>
            <w:r w:rsidR="005F4458">
              <w:rPr>
                <w:rFonts w:ascii="Times New Roman" w:hAnsi="Times New Roman"/>
              </w:rPr>
              <w:instrText xml:space="preserve"> INCLUDEPICTURE  "http://www.uni-tuebingen.de/AKSCHURIG/bunsen-Dateien/image033.jpg" \* MERGEFORMATINET </w:instrText>
            </w:r>
            <w:r w:rsidR="005F4458">
              <w:rPr>
                <w:rFonts w:ascii="Times New Roman" w:hAnsi="Times New Roman"/>
              </w:rPr>
              <w:fldChar w:fldCharType="separate"/>
            </w:r>
            <w:r w:rsidR="00203581">
              <w:rPr>
                <w:rFonts w:ascii="Times New Roman" w:hAnsi="Times New Roman"/>
              </w:rPr>
              <w:fldChar w:fldCharType="begin"/>
            </w:r>
            <w:r w:rsidR="00203581">
              <w:rPr>
                <w:rFonts w:ascii="Times New Roman" w:hAnsi="Times New Roman"/>
              </w:rPr>
              <w:instrText xml:space="preserve"> </w:instrText>
            </w:r>
            <w:r w:rsidR="00203581">
              <w:rPr>
                <w:rFonts w:ascii="Times New Roman" w:hAnsi="Times New Roman"/>
              </w:rPr>
              <w:instrText>INCLUDEPICTURE  "http://www.uni-tuebingen.de/AKSCHURIG/bunsen-Dateien/image033.jpg" \* MERGEFORMATINET</w:instrText>
            </w:r>
            <w:r w:rsidR="00203581">
              <w:rPr>
                <w:rFonts w:ascii="Times New Roman" w:hAnsi="Times New Roman"/>
              </w:rPr>
              <w:instrText xml:space="preserve"> </w:instrText>
            </w:r>
            <w:r w:rsidR="00203581">
              <w:rPr>
                <w:rFonts w:ascii="Times New Roman" w:hAnsi="Times New Roman"/>
              </w:rPr>
              <w:fldChar w:fldCharType="separate"/>
            </w:r>
            <w:r w:rsidR="00203581">
              <w:rPr>
                <w:rFonts w:ascii="Times New Roman" w:hAnsi="Times New Roman"/>
              </w:rPr>
              <w:pict>
                <v:shape id="_x0000_i1027" type="#_x0000_t75" alt="teratogenes Contergan" style="width:121.5pt;height:63pt">
                  <v:imagedata r:id="rId12" r:href="rId13"/>
                </v:shape>
              </w:pict>
            </w:r>
            <w:r w:rsidR="00203581">
              <w:rPr>
                <w:rFonts w:ascii="Times New Roman" w:hAnsi="Times New Roman"/>
              </w:rPr>
              <w:fldChar w:fldCharType="end"/>
            </w:r>
            <w:r w:rsidR="005F4458">
              <w:rPr>
                <w:rFonts w:ascii="Times New Roman" w:hAnsi="Times New Roman"/>
              </w:rPr>
              <w:fldChar w:fldCharType="end"/>
            </w:r>
            <w:r w:rsidR="00395367">
              <w:rPr>
                <w:rFonts w:ascii="Times New Roman" w:hAnsi="Times New Roman"/>
              </w:rPr>
              <w:fldChar w:fldCharType="end"/>
            </w:r>
            <w:r w:rsidRPr="00616062">
              <w:rPr>
                <w:rFonts w:ascii="Times New Roman" w:hAnsi="Times New Roman"/>
              </w:rPr>
              <w:fldChar w:fldCharType="end"/>
            </w:r>
          </w:p>
        </w:tc>
        <w:tc>
          <w:tcPr>
            <w:tcW w:w="975" w:type="pct"/>
            <w:shd w:val="clear" w:color="auto" w:fill="auto"/>
            <w:vAlign w:val="center"/>
          </w:tcPr>
          <w:p w:rsidR="009576AF" w:rsidRPr="00616062" w:rsidRDefault="009576AF" w:rsidP="00395367">
            <w:pPr>
              <w:spacing w:line="276" w:lineRule="auto"/>
              <w:jc w:val="center"/>
              <w:rPr>
                <w:rFonts w:ascii="Times New Roman" w:hAnsi="Times New Roman"/>
              </w:rPr>
            </w:pPr>
            <w:r w:rsidRPr="00616062">
              <w:rPr>
                <w:rFonts w:ascii="Times New Roman" w:hAnsi="Times New Roman"/>
              </w:rPr>
              <w:t> </w:t>
            </w:r>
          </w:p>
        </w:tc>
        <w:tc>
          <w:tcPr>
            <w:tcW w:w="0" w:type="auto"/>
            <w:shd w:val="clear" w:color="auto" w:fill="auto"/>
            <w:vAlign w:val="center"/>
          </w:tcPr>
          <w:p w:rsidR="009576AF" w:rsidRPr="00616062" w:rsidRDefault="009576AF" w:rsidP="00395367">
            <w:pPr>
              <w:spacing w:line="276" w:lineRule="auto"/>
              <w:jc w:val="center"/>
              <w:rPr>
                <w:rFonts w:ascii="Times New Roman" w:hAnsi="Times New Roman"/>
              </w:rPr>
            </w:pPr>
            <w:r w:rsidRPr="00616062">
              <w:rPr>
                <w:rFonts w:ascii="Times New Roman" w:hAnsi="Times New Roman"/>
              </w:rPr>
              <w:fldChar w:fldCharType="begin"/>
            </w:r>
            <w:r w:rsidRPr="00616062">
              <w:rPr>
                <w:rFonts w:ascii="Times New Roman" w:hAnsi="Times New Roman"/>
              </w:rPr>
              <w:instrText xml:space="preserve"> INCLUDEPICTURE "http://www.uni-tuebingen.de/AKSCHURIG/bunsen-Dateien/image034.jpg" \* MERGEFORMATINET </w:instrText>
            </w:r>
            <w:r w:rsidRPr="00616062">
              <w:rPr>
                <w:rFonts w:ascii="Times New Roman" w:hAnsi="Times New Roman"/>
              </w:rPr>
              <w:fldChar w:fldCharType="separate"/>
            </w:r>
            <w:r w:rsidR="00395367">
              <w:rPr>
                <w:rFonts w:ascii="Times New Roman" w:hAnsi="Times New Roman"/>
              </w:rPr>
              <w:fldChar w:fldCharType="begin"/>
            </w:r>
            <w:r w:rsidR="00395367">
              <w:rPr>
                <w:rFonts w:ascii="Times New Roman" w:hAnsi="Times New Roman"/>
              </w:rPr>
              <w:instrText xml:space="preserve"> INCLUDEPICTURE  "http://www.uni-tuebingen.de/AKSCHURIG/bunsen-Dateien/image034.jpg" \* MERGEFORMATINET </w:instrText>
            </w:r>
            <w:r w:rsidR="00395367">
              <w:rPr>
                <w:rFonts w:ascii="Times New Roman" w:hAnsi="Times New Roman"/>
              </w:rPr>
              <w:fldChar w:fldCharType="separate"/>
            </w:r>
            <w:r w:rsidR="005F4458">
              <w:rPr>
                <w:rFonts w:ascii="Times New Roman" w:hAnsi="Times New Roman"/>
              </w:rPr>
              <w:fldChar w:fldCharType="begin"/>
            </w:r>
            <w:r w:rsidR="005F4458">
              <w:rPr>
                <w:rFonts w:ascii="Times New Roman" w:hAnsi="Times New Roman"/>
              </w:rPr>
              <w:instrText xml:space="preserve"> INCLUDEPICTURE  "http://www.uni-tuebingen.de/AKSCHURIG/bunsen-Dateien/image034.jpg" \* MERGEFORMATINET </w:instrText>
            </w:r>
            <w:r w:rsidR="005F4458">
              <w:rPr>
                <w:rFonts w:ascii="Times New Roman" w:hAnsi="Times New Roman"/>
              </w:rPr>
              <w:fldChar w:fldCharType="separate"/>
            </w:r>
            <w:r w:rsidR="00203581">
              <w:rPr>
                <w:rFonts w:ascii="Times New Roman" w:hAnsi="Times New Roman"/>
              </w:rPr>
              <w:fldChar w:fldCharType="begin"/>
            </w:r>
            <w:r w:rsidR="00203581">
              <w:rPr>
                <w:rFonts w:ascii="Times New Roman" w:hAnsi="Times New Roman"/>
              </w:rPr>
              <w:instrText xml:space="preserve"> </w:instrText>
            </w:r>
            <w:r w:rsidR="00203581">
              <w:rPr>
                <w:rFonts w:ascii="Times New Roman" w:hAnsi="Times New Roman"/>
              </w:rPr>
              <w:instrText>INCLUDEPICTURE  "http://www.uni-tuebingen.de/AKSCHURIG/bunsen-Dateien/image034.jpg" \* MERGEFORMATINET</w:instrText>
            </w:r>
            <w:r w:rsidR="00203581">
              <w:rPr>
                <w:rFonts w:ascii="Times New Roman" w:hAnsi="Times New Roman"/>
              </w:rPr>
              <w:instrText xml:space="preserve"> </w:instrText>
            </w:r>
            <w:r w:rsidR="00203581">
              <w:rPr>
                <w:rFonts w:ascii="Times New Roman" w:hAnsi="Times New Roman"/>
              </w:rPr>
              <w:fldChar w:fldCharType="separate"/>
            </w:r>
            <w:r w:rsidR="00203581">
              <w:rPr>
                <w:rFonts w:ascii="Times New Roman" w:hAnsi="Times New Roman"/>
              </w:rPr>
              <w:pict>
                <v:shape id="_x0000_i1028" type="#_x0000_t75" alt="sedatives Contergan" style="width:121.5pt;height:63pt">
                  <v:imagedata r:id="rId14" r:href="rId15"/>
                </v:shape>
              </w:pict>
            </w:r>
            <w:r w:rsidR="00203581">
              <w:rPr>
                <w:rFonts w:ascii="Times New Roman" w:hAnsi="Times New Roman"/>
              </w:rPr>
              <w:fldChar w:fldCharType="end"/>
            </w:r>
            <w:r w:rsidR="005F4458">
              <w:rPr>
                <w:rFonts w:ascii="Times New Roman" w:hAnsi="Times New Roman"/>
              </w:rPr>
              <w:fldChar w:fldCharType="end"/>
            </w:r>
            <w:r w:rsidR="00395367">
              <w:rPr>
                <w:rFonts w:ascii="Times New Roman" w:hAnsi="Times New Roman"/>
              </w:rPr>
              <w:fldChar w:fldCharType="end"/>
            </w:r>
            <w:r w:rsidRPr="00616062">
              <w:rPr>
                <w:rFonts w:ascii="Times New Roman" w:hAnsi="Times New Roman"/>
              </w:rPr>
              <w:fldChar w:fldCharType="end"/>
            </w:r>
          </w:p>
        </w:tc>
        <w:tc>
          <w:tcPr>
            <w:tcW w:w="0" w:type="auto"/>
            <w:shd w:val="clear" w:color="auto" w:fill="auto"/>
            <w:vAlign w:val="center"/>
          </w:tcPr>
          <w:p w:rsidR="009576AF" w:rsidRPr="00616062" w:rsidRDefault="009576AF" w:rsidP="00395367">
            <w:pPr>
              <w:spacing w:line="276" w:lineRule="auto"/>
              <w:rPr>
                <w:rFonts w:ascii="Times New Roman" w:hAnsi="Times New Roman"/>
              </w:rPr>
            </w:pPr>
          </w:p>
        </w:tc>
      </w:tr>
      <w:tr w:rsidR="009576AF" w:rsidRPr="00395367" w:rsidTr="00112438">
        <w:trPr>
          <w:tblCellSpacing w:w="15" w:type="dxa"/>
          <w:jc w:val="center"/>
        </w:trPr>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  </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extrem teratogen</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b/>
                <w:bCs/>
                <w:sz w:val="22"/>
                <w:szCs w:val="22"/>
              </w:rPr>
              <w:t>Contergan</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sedativ</w:t>
            </w:r>
          </w:p>
        </w:tc>
        <w:tc>
          <w:tcPr>
            <w:tcW w:w="0" w:type="auto"/>
            <w:shd w:val="clear" w:color="auto" w:fill="auto"/>
            <w:vAlign w:val="center"/>
          </w:tcPr>
          <w:p w:rsidR="009576AF" w:rsidRPr="00395367" w:rsidRDefault="009576AF" w:rsidP="00395367">
            <w:pPr>
              <w:spacing w:line="276" w:lineRule="auto"/>
              <w:jc w:val="center"/>
              <w:rPr>
                <w:sz w:val="22"/>
                <w:szCs w:val="22"/>
              </w:rPr>
            </w:pPr>
            <w:r w:rsidRPr="00395367">
              <w:rPr>
                <w:sz w:val="22"/>
                <w:szCs w:val="22"/>
              </w:rPr>
              <w:t>  </w:t>
            </w:r>
          </w:p>
        </w:tc>
      </w:tr>
    </w:tbl>
    <w:p w:rsidR="009576AF" w:rsidRPr="00616062" w:rsidRDefault="009576AF" w:rsidP="00395367">
      <w:pPr>
        <w:spacing w:after="240" w:line="276" w:lineRule="auto"/>
        <w:rPr>
          <w:rFonts w:ascii="Times New Roman" w:hAnsi="Times New Roman"/>
        </w:rPr>
      </w:pPr>
    </w:p>
    <w:p w:rsidR="009576AF" w:rsidRPr="00DF6986" w:rsidRDefault="009576AF" w:rsidP="00395367">
      <w:pPr>
        <w:spacing w:before="100" w:beforeAutospacing="1" w:after="100" w:afterAutospacing="1" w:line="276" w:lineRule="auto"/>
      </w:pPr>
      <w:r w:rsidRPr="00DF6986">
        <w:t>Da bei einer chemischen Synthese in symmetrischer Umgebung beide Enantiomere als Racemat im Verhältnis von 1:1 entstehen, sind synthetische Arzneimittel mit 50</w:t>
      </w:r>
      <w:r w:rsidR="005F4458">
        <w:t xml:space="preserve"> </w:t>
      </w:r>
      <w:r w:rsidRPr="00DF6986">
        <w:t>% Distomer verunreinigt, das den Stoffwechsel zusätzlich belastet oder unerwünschte Nebenwirkungen hervorruft. Nach der Contergan-Katastrophe wurden gesetz</w:t>
      </w:r>
      <w:r w:rsidR="005F4458">
        <w:t>-</w:t>
      </w:r>
      <w:r w:rsidRPr="00DF6986">
        <w:t>gebe</w:t>
      </w:r>
      <w:r w:rsidR="005F4458">
        <w:t xml:space="preserve">nde </w:t>
      </w:r>
      <w:r w:rsidRPr="00DF6986">
        <w:t>Instanzen weltweit auf diesen unhaltbaren Sachverhalt aufmerksam und verordneten der pharmazeutischen Industrie die Herstellung des therapeutisch nüt</w:t>
      </w:r>
      <w:r w:rsidRPr="00DF6986">
        <w:t>z</w:t>
      </w:r>
      <w:r w:rsidRPr="00DF6986">
        <w:t>lichen Eutomers in einer enantioselektiven asymmetrischen Synthese.</w:t>
      </w:r>
    </w:p>
    <w:p w:rsidR="009576AF" w:rsidRPr="00DF6986" w:rsidRDefault="009576AF" w:rsidP="00395367">
      <w:pPr>
        <w:spacing w:before="100" w:beforeAutospacing="1" w:after="100" w:afterAutospacing="1" w:line="276" w:lineRule="auto"/>
      </w:pPr>
      <w:r w:rsidRPr="00DF6986">
        <w:t>Der Umsatz enantiomerenreiner Medikamente betrug um die Jahrtausendwende 150 Milliarden US-Dollar jährlich mit 15</w:t>
      </w:r>
      <w:bookmarkStart w:id="0" w:name="_GoBack"/>
      <w:bookmarkEnd w:id="0"/>
      <w:r w:rsidRPr="00DF6986">
        <w:t xml:space="preserve">%igen Zuwachsraten, wobei Sicherheit mit einem </w:t>
      </w:r>
      <w:r w:rsidRPr="00DF6986">
        <w:lastRenderedPageBreak/>
        <w:t>erheblichen Kostenaufwand erkauft wurde. Dabei taugt das Beispiel Contergan wenig. Es ist nicht eindeutig bewiesen, dass nur das Diasteromer von Contergan tox</w:t>
      </w:r>
      <w:r w:rsidRPr="00DF6986">
        <w:t>i</w:t>
      </w:r>
      <w:r w:rsidRPr="00DF6986">
        <w:t>sche Eigenschaften besitzt. Außerdem werden die Enantiomere im menschlichen Organismus ineinander umgewandelt, wodurch die Verabreichung des Enantiomers obsolet ist (siehe unten). Neben der enantioselektiven Synthese ist die Analytik chir</w:t>
      </w:r>
      <w:r w:rsidRPr="00DF6986">
        <w:t>a</w:t>
      </w:r>
      <w:r w:rsidRPr="00DF6986">
        <w:t>ler Verbindungen von großer Bedeutung. Die Ausgaben für die Enantiomer</w:t>
      </w:r>
      <w:r w:rsidR="00395367">
        <w:t>-A</w:t>
      </w:r>
      <w:r w:rsidRPr="00DF6986">
        <w:t xml:space="preserve">nalytik betrugen um die Jahrtausendwende weltweit 150 Millionen US-Dollar jährlich. </w:t>
      </w:r>
    </w:p>
    <w:p w:rsidR="009576AF" w:rsidRPr="00DF6986" w:rsidRDefault="009576AF" w:rsidP="00395367">
      <w:pPr>
        <w:spacing w:before="100" w:beforeAutospacing="1" w:after="100" w:afterAutospacing="1" w:line="276" w:lineRule="auto"/>
      </w:pPr>
      <w:r w:rsidRPr="00DF6986">
        <w:t>Weitere Beispiele für die unterschiedliche physiologische und pharmakologische Wi</w:t>
      </w:r>
      <w:r w:rsidRPr="00DF6986">
        <w:t>r</w:t>
      </w:r>
      <w:r w:rsidRPr="00DF6986">
        <w:t>kung von Enantiomeren:</w:t>
      </w:r>
    </w:p>
    <w:p w:rsidR="009576AF" w:rsidRPr="00616062" w:rsidRDefault="009576AF" w:rsidP="00395367">
      <w:pPr>
        <w:spacing w:before="100" w:beforeAutospacing="1" w:after="100" w:afterAutospacing="1" w:line="276" w:lineRule="auto"/>
        <w:rPr>
          <w:rFonts w:ascii="Times New Roman" w:hAnsi="Times New Roman"/>
        </w:rPr>
      </w:pPr>
      <w:r w:rsidRPr="00585609">
        <w:rPr>
          <w:rFonts w:ascii="Times New Roman" w:hAnsi="Times New Roman"/>
          <w:noProof/>
        </w:rPr>
        <w:drawing>
          <wp:inline distT="0" distB="0" distL="0" distR="0" wp14:anchorId="76DDEB7B" wp14:editId="3A9FBE14">
            <wp:extent cx="4133850" cy="4000500"/>
            <wp:effectExtent l="0" t="0" r="0" b="0"/>
            <wp:docPr id="1" name="Grafik 1" descr="mso2FD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2FD7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4000500"/>
                    </a:xfrm>
                    <a:prstGeom prst="rect">
                      <a:avLst/>
                    </a:prstGeom>
                    <a:noFill/>
                    <a:ln>
                      <a:noFill/>
                    </a:ln>
                  </pic:spPr>
                </pic:pic>
              </a:graphicData>
            </a:graphic>
          </wp:inline>
        </w:drawing>
      </w:r>
    </w:p>
    <w:p w:rsidR="009576AF" w:rsidRDefault="009576AF" w:rsidP="00395367">
      <w:pPr>
        <w:spacing w:line="276" w:lineRule="auto"/>
      </w:pPr>
    </w:p>
    <w:p w:rsidR="009576AF" w:rsidRDefault="009576AF" w:rsidP="00395367">
      <w:pPr>
        <w:spacing w:line="276" w:lineRule="auto"/>
        <w:rPr>
          <w:b/>
        </w:rPr>
      </w:pPr>
    </w:p>
    <w:p w:rsidR="009576AF" w:rsidRDefault="009576AF" w:rsidP="00395367">
      <w:pPr>
        <w:spacing w:line="276" w:lineRule="auto"/>
        <w:rPr>
          <w:b/>
        </w:rPr>
      </w:pPr>
    </w:p>
    <w:p w:rsidR="00375364" w:rsidRDefault="00375364" w:rsidP="00395367">
      <w:pPr>
        <w:spacing w:line="276" w:lineRule="auto"/>
      </w:pPr>
    </w:p>
    <w:sectPr w:rsidR="00375364">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60" w:rsidRDefault="009F5A60" w:rsidP="009576AF">
      <w:r>
        <w:separator/>
      </w:r>
    </w:p>
  </w:endnote>
  <w:endnote w:type="continuationSeparator" w:id="0">
    <w:p w:rsidR="009F5A60" w:rsidRDefault="009F5A60" w:rsidP="0095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AF" w:rsidRDefault="009576AF" w:rsidP="00395367">
    <w:pPr>
      <w:pStyle w:val="Fuzeile"/>
      <w:pBdr>
        <w:top w:val="single" w:sz="4" w:space="1" w:color="auto"/>
      </w:pBdr>
    </w:pPr>
  </w:p>
  <w:p w:rsidR="009576AF" w:rsidRDefault="00395367">
    <w:pPr>
      <w:pStyle w:val="Fuzeile"/>
    </w:pPr>
    <w:r>
      <w:t>13.</w:t>
    </w:r>
    <w:r w:rsidR="009576AF">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60" w:rsidRDefault="009F5A60" w:rsidP="009576AF">
      <w:r>
        <w:separator/>
      </w:r>
    </w:p>
  </w:footnote>
  <w:footnote w:type="continuationSeparator" w:id="0">
    <w:p w:rsidR="009F5A60" w:rsidRDefault="009F5A60" w:rsidP="0095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67" w:rsidRPr="00395367" w:rsidRDefault="00395367" w:rsidP="00395367">
    <w:pPr>
      <w:pBdr>
        <w:bottom w:val="single" w:sz="4" w:space="1" w:color="auto"/>
      </w:pBdr>
      <w:rPr>
        <w:b/>
      </w:rPr>
    </w:pPr>
    <w:r>
      <w:rPr>
        <w:b/>
      </w:rPr>
      <w:t xml:space="preserve">Informationen: </w:t>
    </w:r>
    <w:r w:rsidRPr="00395367">
      <w:rPr>
        <w:b/>
      </w:rPr>
      <w:t>Beispiele für biologische Wirkungen von Enantiomeren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AF"/>
    <w:rsid w:val="00203581"/>
    <w:rsid w:val="00375364"/>
    <w:rsid w:val="00395367"/>
    <w:rsid w:val="005F4458"/>
    <w:rsid w:val="009576AF"/>
    <w:rsid w:val="009F5A60"/>
    <w:rsid w:val="00D37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6AF"/>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6AF"/>
    <w:pPr>
      <w:tabs>
        <w:tab w:val="center" w:pos="4536"/>
        <w:tab w:val="right" w:pos="9072"/>
      </w:tabs>
    </w:pPr>
  </w:style>
  <w:style w:type="character" w:customStyle="1" w:styleId="KopfzeileZchn">
    <w:name w:val="Kopfzeile Zchn"/>
    <w:basedOn w:val="Absatz-Standardschriftart"/>
    <w:link w:val="Kopfzeile"/>
    <w:uiPriority w:val="99"/>
    <w:rsid w:val="009576AF"/>
    <w:rPr>
      <w:rFonts w:ascii="Arial" w:eastAsia="Times New Roman" w:hAnsi="Arial" w:cs="Arial"/>
      <w:sz w:val="24"/>
      <w:szCs w:val="24"/>
      <w:lang w:eastAsia="de-DE"/>
    </w:rPr>
  </w:style>
  <w:style w:type="paragraph" w:styleId="Fuzeile">
    <w:name w:val="footer"/>
    <w:basedOn w:val="Standard"/>
    <w:link w:val="FuzeileZchn"/>
    <w:uiPriority w:val="99"/>
    <w:unhideWhenUsed/>
    <w:rsid w:val="009576AF"/>
    <w:pPr>
      <w:tabs>
        <w:tab w:val="center" w:pos="4536"/>
        <w:tab w:val="right" w:pos="9072"/>
      </w:tabs>
    </w:pPr>
  </w:style>
  <w:style w:type="character" w:customStyle="1" w:styleId="FuzeileZchn">
    <w:name w:val="Fußzeile Zchn"/>
    <w:basedOn w:val="Absatz-Standardschriftart"/>
    <w:link w:val="Fuzeile"/>
    <w:uiPriority w:val="99"/>
    <w:rsid w:val="009576AF"/>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395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36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6AF"/>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6AF"/>
    <w:pPr>
      <w:tabs>
        <w:tab w:val="center" w:pos="4536"/>
        <w:tab w:val="right" w:pos="9072"/>
      </w:tabs>
    </w:pPr>
  </w:style>
  <w:style w:type="character" w:customStyle="1" w:styleId="KopfzeileZchn">
    <w:name w:val="Kopfzeile Zchn"/>
    <w:basedOn w:val="Absatz-Standardschriftart"/>
    <w:link w:val="Kopfzeile"/>
    <w:uiPriority w:val="99"/>
    <w:rsid w:val="009576AF"/>
    <w:rPr>
      <w:rFonts w:ascii="Arial" w:eastAsia="Times New Roman" w:hAnsi="Arial" w:cs="Arial"/>
      <w:sz w:val="24"/>
      <w:szCs w:val="24"/>
      <w:lang w:eastAsia="de-DE"/>
    </w:rPr>
  </w:style>
  <w:style w:type="paragraph" w:styleId="Fuzeile">
    <w:name w:val="footer"/>
    <w:basedOn w:val="Standard"/>
    <w:link w:val="FuzeileZchn"/>
    <w:uiPriority w:val="99"/>
    <w:unhideWhenUsed/>
    <w:rsid w:val="009576AF"/>
    <w:pPr>
      <w:tabs>
        <w:tab w:val="center" w:pos="4536"/>
        <w:tab w:val="right" w:pos="9072"/>
      </w:tabs>
    </w:pPr>
  </w:style>
  <w:style w:type="character" w:customStyle="1" w:styleId="FuzeileZchn">
    <w:name w:val="Fußzeile Zchn"/>
    <w:basedOn w:val="Absatz-Standardschriftart"/>
    <w:link w:val="Fuzeile"/>
    <w:uiPriority w:val="99"/>
    <w:rsid w:val="009576AF"/>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395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36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uni-tuebingen.de/AKSCHURIG/bunsen-Dateien/image033.jp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ni-tuebingen.de/AKSCHURIG/bunsen-Dateien/image029.jpg" TargetMode="External"/><Relationship Id="rId5" Type="http://schemas.openxmlformats.org/officeDocument/2006/relationships/webSettings" Target="webSettings.xml"/><Relationship Id="rId15" Type="http://schemas.openxmlformats.org/officeDocument/2006/relationships/image" Target="http://www.uni-tuebingen.de/AKSCHURIG/bunsen-Dateien/image034.jp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uni-tuebingen.de/AKSCHURIG/bunsen-Dateien/image030.jpg"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3F44-2CF8-450E-BF44-6F34BC3B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Ackermann</dc:creator>
  <cp:keywords/>
  <dc:description/>
  <cp:lastModifiedBy>Ertelt, Ulrike (LS)</cp:lastModifiedBy>
  <cp:revision>4</cp:revision>
  <dcterms:created xsi:type="dcterms:W3CDTF">2013-09-27T16:32:00Z</dcterms:created>
  <dcterms:modified xsi:type="dcterms:W3CDTF">2014-05-26T06:29:00Z</dcterms:modified>
</cp:coreProperties>
</file>