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842819" w:rsidP="00F90DBF">
      <w:pPr>
        <w:pStyle w:val="berschrift1"/>
        <w:rPr>
          <w:rFonts w:ascii="Calibri" w:hAnsi="Calibri"/>
          <w:sz w:val="28"/>
        </w:rPr>
      </w:pPr>
      <w:r w:rsidRPr="00842819">
        <w:rPr>
          <w:rFonts w:ascii="Calibri" w:hAnsi="Calibri"/>
          <w:noProof/>
          <w:sz w:val="28"/>
        </w:rPr>
        <mc:AlternateContent>
          <mc:Choice Requires="wps">
            <w:drawing>
              <wp:anchor distT="0" distB="0" distL="114300" distR="114300" simplePos="0" relativeHeight="251661312" behindDoc="0" locked="0" layoutInCell="1" allowOverlap="1" wp14:anchorId="432A1C95" wp14:editId="41976AD4">
                <wp:simplePos x="0" y="0"/>
                <wp:positionH relativeFrom="column">
                  <wp:posOffset>4883488</wp:posOffset>
                </wp:positionH>
                <wp:positionV relativeFrom="paragraph">
                  <wp:posOffset>168877</wp:posOffset>
                </wp:positionV>
                <wp:extent cx="884712" cy="765959"/>
                <wp:effectExtent l="0" t="0" r="28575" b="177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765959"/>
                        </a:xfrm>
                        <a:prstGeom prst="rect">
                          <a:avLst/>
                        </a:prstGeom>
                        <a:solidFill>
                          <a:srgbClr val="FFFFFF"/>
                        </a:solidFill>
                        <a:ln w="9525">
                          <a:solidFill>
                            <a:srgbClr val="000000"/>
                          </a:solidFill>
                          <a:miter lim="800000"/>
                          <a:headEnd/>
                          <a:tailEnd/>
                        </a:ln>
                      </wps:spPr>
                      <wps:txbx>
                        <w:txbxContent>
                          <w:p w:rsidR="00842819" w:rsidRDefault="001C5FB3">
                            <w:r>
                              <w:rPr>
                                <w:noProof/>
                              </w:rPr>
                              <w:drawing>
                                <wp:inline distT="0" distB="0" distL="0" distR="0" wp14:anchorId="3C6BAB34" wp14:editId="0993C4B5">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wps:txbx>
                      <wps:bodyPr rot="0" vert="horz" wrap="none" lIns="72000" tIns="72000" rIns="72000" bIns="7200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1C5FB3">
                      <w:r>
                        <w:rPr>
                          <w:noProof/>
                        </w:rPr>
                        <w:drawing>
                          <wp:inline distT="0" distB="0" distL="0" distR="0" wp14:anchorId="3C6BAB34" wp14:editId="0993C4B5">
                            <wp:extent cx="720000" cy="720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mc:Fallback>
        </mc:AlternateContent>
      </w:r>
      <w:r w:rsidR="00F90DBF">
        <w:rPr>
          <w:rFonts w:ascii="Calibri" w:hAnsi="Calibri"/>
          <w:sz w:val="28"/>
        </w:rPr>
        <w:t xml:space="preserve">Thema: </w:t>
      </w:r>
      <w:r w:rsidR="00C63237">
        <w:rPr>
          <w:rFonts w:ascii="Calibri" w:hAnsi="Calibri"/>
          <w:sz w:val="28"/>
        </w:rPr>
        <w:t>Rechte und Pflichten aus dem Kaufvertrag</w:t>
      </w:r>
    </w:p>
    <w:p w:rsidR="00173F79" w:rsidRDefault="00173F79" w:rsidP="00173F79">
      <w:pPr>
        <w:pStyle w:val="berschrift1"/>
        <w:tabs>
          <w:tab w:val="left" w:pos="2127"/>
        </w:tabs>
        <w:ind w:left="2124" w:hanging="2124"/>
        <w:rPr>
          <w:rFonts w:ascii="Calibri" w:hAnsi="Calibri"/>
          <w:sz w:val="28"/>
        </w:rPr>
      </w:pPr>
      <w:r w:rsidRPr="00DC7B74">
        <w:rPr>
          <w:rFonts w:ascii="Calibri" w:hAnsi="Calibri"/>
          <w:sz w:val="24"/>
        </w:rPr>
        <w:t>Auszüge aus dem</w:t>
      </w:r>
      <w:r w:rsidRPr="00DC7B74">
        <w:rPr>
          <w:rFonts w:ascii="Calibri" w:hAnsi="Calibri"/>
          <w:sz w:val="24"/>
        </w:rPr>
        <w:tab/>
        <w:t>Bürgerlichen Gesetzbuch – BGB</w:t>
      </w:r>
      <w:r w:rsidRPr="00DC7B74">
        <w:rPr>
          <w:rFonts w:ascii="Calibri" w:hAnsi="Calibri"/>
          <w:sz w:val="24"/>
        </w:rPr>
        <w:br/>
        <w:t>Handelsgesetzbuch – HGB</w:t>
      </w:r>
      <w:r w:rsidRPr="00DC7B74">
        <w:rPr>
          <w:rFonts w:ascii="Calibri" w:hAnsi="Calibri"/>
          <w:sz w:val="24"/>
        </w:rPr>
        <w:br/>
      </w:r>
    </w:p>
    <w:p w:rsidR="00173F79" w:rsidRDefault="00173F79" w:rsidP="00173F79">
      <w:pPr>
        <w:tabs>
          <w:tab w:val="left" w:pos="993"/>
          <w:tab w:val="right" w:pos="9072"/>
        </w:tabs>
        <w:rPr>
          <w:rFonts w:asciiTheme="minorHAnsi" w:hAnsiTheme="minorHAnsi"/>
          <w:sz w:val="22"/>
        </w:rPr>
      </w:pPr>
      <w:r w:rsidRPr="00DC7B74">
        <w:rPr>
          <w:rFonts w:asciiTheme="minorHAnsi" w:hAnsiTheme="minorHAnsi"/>
          <w:sz w:val="22"/>
        </w:rPr>
        <w:t>Quellen:</w:t>
      </w:r>
      <w:r w:rsidRPr="00DC7B74">
        <w:rPr>
          <w:rFonts w:asciiTheme="minorHAnsi" w:hAnsiTheme="minorHAnsi"/>
          <w:sz w:val="22"/>
        </w:rPr>
        <w:tab/>
      </w:r>
      <w:hyperlink r:id="rId10" w:history="1">
        <w:r w:rsidRPr="00DC7B74">
          <w:rPr>
            <w:rStyle w:val="Hyperlink"/>
            <w:rFonts w:asciiTheme="minorHAnsi" w:hAnsiTheme="minorHAnsi"/>
            <w:sz w:val="22"/>
          </w:rPr>
          <w:t>https://www.gesetze-im-internet.de/bgb/index.html</w:t>
        </w:r>
      </w:hyperlink>
      <w:r w:rsidRPr="00DC7B74">
        <w:rPr>
          <w:rFonts w:asciiTheme="minorHAnsi" w:hAnsiTheme="minorHAnsi"/>
          <w:sz w:val="22"/>
        </w:rPr>
        <w:t xml:space="preserve"> </w:t>
      </w:r>
      <w:r w:rsidRPr="00DC7B74">
        <w:rPr>
          <w:rFonts w:asciiTheme="minorHAnsi" w:hAnsiTheme="minorHAnsi"/>
          <w:sz w:val="22"/>
        </w:rPr>
        <w:br/>
      </w:r>
      <w:r w:rsidRPr="00DC7B74">
        <w:rPr>
          <w:rFonts w:asciiTheme="minorHAnsi" w:hAnsiTheme="minorHAnsi"/>
          <w:sz w:val="22"/>
        </w:rPr>
        <w:tab/>
      </w:r>
      <w:hyperlink r:id="rId11" w:history="1">
        <w:r w:rsidRPr="00DC7B74">
          <w:rPr>
            <w:rStyle w:val="Hyperlink"/>
            <w:rFonts w:asciiTheme="minorHAnsi" w:hAnsiTheme="minorHAnsi"/>
            <w:sz w:val="22"/>
          </w:rPr>
          <w:t>https://www.gesetze-im-internet.de/hgb/index.html</w:t>
        </w:r>
      </w:hyperlink>
      <w:r w:rsidRPr="00DC7B74">
        <w:rPr>
          <w:rFonts w:asciiTheme="minorHAnsi" w:hAnsiTheme="minorHAnsi"/>
          <w:sz w:val="22"/>
        </w:rPr>
        <w:t xml:space="preserve"> </w:t>
      </w:r>
    </w:p>
    <w:p w:rsidR="00173F79" w:rsidRDefault="00173F79" w:rsidP="00173F79">
      <w:pPr>
        <w:tabs>
          <w:tab w:val="left" w:pos="993"/>
          <w:tab w:val="right" w:pos="9072"/>
        </w:tabs>
        <w:rPr>
          <w:rFonts w:asciiTheme="minorHAnsi" w:hAnsiTheme="minorHAnsi"/>
        </w:rPr>
      </w:pPr>
      <w:r>
        <w:rPr>
          <w:rFonts w:asciiTheme="minorHAnsi" w:hAnsiTheme="minorHAnsi"/>
        </w:rPr>
        <w:tab/>
      </w:r>
      <w:r w:rsidR="00C63237">
        <w:rPr>
          <w:rFonts w:asciiTheme="minorHAnsi" w:hAnsiTheme="minorHAnsi"/>
          <w:sz w:val="16"/>
        </w:rPr>
        <w:t>20</w:t>
      </w:r>
      <w:r w:rsidRPr="003B0AD4">
        <w:rPr>
          <w:rFonts w:asciiTheme="minorHAnsi" w:hAnsiTheme="minorHAnsi"/>
          <w:sz w:val="16"/>
        </w:rPr>
        <w:t>.08.2018</w:t>
      </w:r>
      <w:bookmarkStart w:id="0" w:name="_GoBack"/>
      <w:bookmarkEnd w:id="0"/>
    </w:p>
    <w:p w:rsidR="00A04482" w:rsidRPr="003B0AD4" w:rsidRDefault="00A04482" w:rsidP="00F90DBF">
      <w:pPr>
        <w:pBdr>
          <w:bottom w:val="single" w:sz="4" w:space="0" w:color="auto"/>
        </w:pBdr>
        <w:rPr>
          <w:rFonts w:asciiTheme="minorHAnsi" w:hAnsiTheme="minorHAnsi"/>
          <w:sz w:val="22"/>
        </w:rPr>
      </w:pPr>
    </w:p>
    <w:p w:rsidR="00A768AC" w:rsidRPr="008A4F9A" w:rsidRDefault="008A4F9A" w:rsidP="005F69AB">
      <w:pPr>
        <w:spacing w:before="240" w:after="60"/>
        <w:rPr>
          <w:rFonts w:ascii="Calibri" w:hAnsi="Calibri"/>
          <w:szCs w:val="24"/>
        </w:rPr>
      </w:pPr>
      <w:r w:rsidRPr="008A4F9A">
        <w:rPr>
          <w:rFonts w:ascii="Calibri" w:hAnsi="Calibri"/>
          <w:b/>
          <w:sz w:val="28"/>
          <w:szCs w:val="28"/>
        </w:rPr>
        <w:t>Bürgerliches Gesetzbuch –</w:t>
      </w:r>
      <w:r w:rsidR="009D44C2">
        <w:rPr>
          <w:rFonts w:ascii="Calibri" w:hAnsi="Calibri"/>
          <w:b/>
          <w:sz w:val="28"/>
          <w:szCs w:val="28"/>
        </w:rPr>
        <w:t xml:space="preserve"> BGB</w:t>
      </w:r>
    </w:p>
    <w:p w:rsidR="00D8429E" w:rsidRPr="00246732" w:rsidRDefault="00D8429E" w:rsidP="00BF0559">
      <w:pPr>
        <w:pStyle w:val="berschrift1"/>
        <w:tabs>
          <w:tab w:val="left" w:pos="3123"/>
        </w:tabs>
        <w:spacing w:before="120"/>
        <w:rPr>
          <w:rFonts w:ascii="Calibri" w:hAnsi="Calibri" w:cs="Arial"/>
          <w:sz w:val="24"/>
          <w:szCs w:val="24"/>
        </w:rPr>
      </w:pPr>
      <w:r w:rsidRPr="0031197C">
        <w:rPr>
          <w:rFonts w:ascii="Calibri" w:hAnsi="Calibri" w:cs="Arial"/>
          <w:sz w:val="24"/>
          <w:szCs w:val="24"/>
        </w:rPr>
        <w:t>§ 269 Leistungsort</w:t>
      </w:r>
      <w:r w:rsidR="00BF0559">
        <w:rPr>
          <w:rFonts w:ascii="Calibri" w:hAnsi="Calibri" w:cs="Arial"/>
          <w:sz w:val="24"/>
          <w:szCs w:val="24"/>
        </w:rPr>
        <w:tab/>
      </w:r>
    </w:p>
    <w:p w:rsidR="00D8429E" w:rsidRPr="0031197C" w:rsidRDefault="00D8429E" w:rsidP="00D8429E">
      <w:pPr>
        <w:rPr>
          <w:rFonts w:ascii="Calibri" w:hAnsi="Calibri"/>
          <w:sz w:val="22"/>
        </w:rPr>
      </w:pPr>
      <w:r w:rsidRPr="0031197C">
        <w:rPr>
          <w:rFonts w:ascii="Calibri" w:hAnsi="Calibri"/>
          <w:sz w:val="22"/>
        </w:rPr>
        <w:t>(1) Ist ein Ort für die Leistung weder bestimmt noch aus den Umständen, insbesondere aus der Natur des Schuldverhältnisses, zu entnehmen, so hat die Leistung an dem Ort zu erfolgen, an welchem der Schuldner zur Zeit der Entstehung des Schuldverhältnisses seinen Wohnsitz hatte.</w:t>
      </w:r>
      <w:r>
        <w:rPr>
          <w:rFonts w:ascii="Calibri" w:hAnsi="Calibri"/>
          <w:sz w:val="22"/>
        </w:rPr>
        <w:t xml:space="preserve"> (…)</w:t>
      </w:r>
    </w:p>
    <w:p w:rsidR="00D8429E" w:rsidRPr="00246732" w:rsidRDefault="00D8429E" w:rsidP="00D8429E">
      <w:pPr>
        <w:pStyle w:val="berschrift1"/>
        <w:spacing w:before="120"/>
        <w:rPr>
          <w:rFonts w:ascii="Calibri" w:hAnsi="Calibri" w:cs="Arial"/>
          <w:sz w:val="24"/>
          <w:szCs w:val="24"/>
        </w:rPr>
      </w:pPr>
      <w:r w:rsidRPr="00335200">
        <w:rPr>
          <w:rFonts w:ascii="Calibri" w:hAnsi="Calibri" w:cs="Arial"/>
          <w:sz w:val="24"/>
          <w:szCs w:val="24"/>
        </w:rPr>
        <w:t>§ 270 Zahlungsort</w:t>
      </w:r>
    </w:p>
    <w:p w:rsidR="00D8429E" w:rsidRPr="00D8429E" w:rsidRDefault="00D8429E" w:rsidP="00D8429E">
      <w:pPr>
        <w:rPr>
          <w:rFonts w:ascii="Calibri" w:hAnsi="Calibri"/>
          <w:sz w:val="22"/>
        </w:rPr>
      </w:pPr>
      <w:r w:rsidRPr="00335200">
        <w:rPr>
          <w:rFonts w:ascii="Calibri" w:hAnsi="Calibri"/>
          <w:sz w:val="22"/>
        </w:rPr>
        <w:t>(1) Geld hat der Schuldner im Zweifel auf seine Gefahr und seine Kosten dem Gläubiger an dessen Wohnsitz zu übermitteln.</w:t>
      </w:r>
      <w:r>
        <w:rPr>
          <w:rFonts w:ascii="Calibri" w:hAnsi="Calibri"/>
          <w:sz w:val="22"/>
        </w:rPr>
        <w:t xml:space="preserve"> (…)</w:t>
      </w:r>
    </w:p>
    <w:p w:rsidR="007551DE" w:rsidRDefault="007551DE" w:rsidP="007551DE">
      <w:pPr>
        <w:pStyle w:val="berschrift1"/>
        <w:spacing w:before="120"/>
        <w:rPr>
          <w:rFonts w:ascii="Calibri" w:hAnsi="Calibri" w:cs="Arial"/>
          <w:sz w:val="24"/>
          <w:szCs w:val="24"/>
        </w:rPr>
      </w:pPr>
      <w:r w:rsidRPr="007551DE">
        <w:rPr>
          <w:rFonts w:ascii="Calibri" w:hAnsi="Calibri" w:cs="Arial"/>
          <w:sz w:val="24"/>
          <w:szCs w:val="24"/>
        </w:rPr>
        <w:t>§ 362 Erlöschen durch Leistung</w:t>
      </w:r>
    </w:p>
    <w:p w:rsidR="007551DE" w:rsidRPr="007551DE" w:rsidRDefault="007551DE" w:rsidP="007551DE">
      <w:pPr>
        <w:rPr>
          <w:rFonts w:ascii="Calibri" w:hAnsi="Calibri"/>
          <w:sz w:val="22"/>
        </w:rPr>
      </w:pPr>
      <w:r w:rsidRPr="007551DE">
        <w:rPr>
          <w:rFonts w:ascii="Calibri" w:hAnsi="Calibri"/>
          <w:sz w:val="22"/>
        </w:rPr>
        <w:t>(1) Das Schuldverhältnis erlischt, wenn die geschuldete Leistung an den Gläubiger bewirkt wird.</w:t>
      </w:r>
      <w:r>
        <w:rPr>
          <w:rFonts w:ascii="Calibri" w:hAnsi="Calibri"/>
          <w:sz w:val="22"/>
        </w:rPr>
        <w:t xml:space="preserve"> (…)</w:t>
      </w:r>
    </w:p>
    <w:p w:rsidR="007551DE" w:rsidRDefault="007551DE" w:rsidP="007551DE">
      <w:pPr>
        <w:pStyle w:val="berschrift1"/>
        <w:spacing w:before="120"/>
        <w:rPr>
          <w:rFonts w:ascii="Calibri" w:hAnsi="Calibri" w:cs="Arial"/>
          <w:sz w:val="24"/>
          <w:szCs w:val="24"/>
        </w:rPr>
      </w:pPr>
      <w:r w:rsidRPr="007551DE">
        <w:rPr>
          <w:rFonts w:ascii="Calibri" w:hAnsi="Calibri" w:cs="Arial"/>
          <w:sz w:val="24"/>
          <w:szCs w:val="24"/>
        </w:rPr>
        <w:t>§ 363 Beweislast bei Annahme als Erfüllung</w:t>
      </w:r>
    </w:p>
    <w:p w:rsidR="007551DE" w:rsidRPr="007551DE" w:rsidRDefault="007551DE" w:rsidP="007551DE">
      <w:pPr>
        <w:rPr>
          <w:rFonts w:ascii="Calibri" w:hAnsi="Calibri"/>
          <w:sz w:val="22"/>
        </w:rPr>
      </w:pPr>
      <w:r w:rsidRPr="007551DE">
        <w:rPr>
          <w:rFonts w:ascii="Calibri" w:hAnsi="Calibri"/>
          <w:sz w:val="22"/>
        </w:rPr>
        <w:t>Hat der Gläubiger eine ihm als Erfüllung angebotene Leistung als Erfüllung angenommen, so trifft ihn die Beweislast, wenn er die Leistung deshalb nicht als Erfüllung gelten lassen will, weil sie eine andere als die geschuldete Leistung oder weil sie unvollständig gewesen sei.</w:t>
      </w:r>
    </w:p>
    <w:p w:rsidR="007551DE" w:rsidRDefault="007551DE" w:rsidP="007551DE">
      <w:pPr>
        <w:pStyle w:val="berschrift1"/>
        <w:spacing w:before="120"/>
        <w:rPr>
          <w:rFonts w:ascii="Calibri" w:hAnsi="Calibri" w:cs="Arial"/>
          <w:sz w:val="24"/>
          <w:szCs w:val="24"/>
        </w:rPr>
      </w:pPr>
      <w:r w:rsidRPr="007551DE">
        <w:rPr>
          <w:rFonts w:ascii="Calibri" w:hAnsi="Calibri" w:cs="Arial"/>
          <w:sz w:val="24"/>
          <w:szCs w:val="24"/>
        </w:rPr>
        <w:t>§ 368 Quittung</w:t>
      </w:r>
    </w:p>
    <w:p w:rsidR="007551DE" w:rsidRDefault="007551DE" w:rsidP="007551DE">
      <w:pPr>
        <w:rPr>
          <w:rFonts w:ascii="Calibri" w:hAnsi="Calibri"/>
          <w:szCs w:val="24"/>
        </w:rPr>
      </w:pPr>
      <w:r w:rsidRPr="007551DE">
        <w:rPr>
          <w:rFonts w:ascii="Calibri" w:hAnsi="Calibri"/>
          <w:sz w:val="22"/>
        </w:rPr>
        <w:t xml:space="preserve">Der Gläubiger hat gegen Empfang der Leistung auf Verlangen ein schriftliches Empfangsbekenntnis (Quittung) zu erteilen. </w:t>
      </w:r>
      <w:r>
        <w:rPr>
          <w:rFonts w:ascii="Calibri" w:hAnsi="Calibri"/>
          <w:sz w:val="22"/>
        </w:rPr>
        <w:t>(…)</w:t>
      </w:r>
    </w:p>
    <w:p w:rsidR="00A33810" w:rsidRDefault="007551DE" w:rsidP="00A33810">
      <w:pPr>
        <w:pStyle w:val="berschrift1"/>
        <w:spacing w:before="120"/>
        <w:rPr>
          <w:rFonts w:ascii="Calibri" w:hAnsi="Calibri" w:cs="Arial"/>
          <w:sz w:val="24"/>
          <w:szCs w:val="24"/>
        </w:rPr>
      </w:pPr>
      <w:r w:rsidRPr="007551DE">
        <w:rPr>
          <w:rFonts w:ascii="Calibri" w:hAnsi="Calibri" w:cs="Arial"/>
          <w:sz w:val="24"/>
          <w:szCs w:val="24"/>
        </w:rPr>
        <w:t>§ 433 Vertragstypische Pflichten beim Kaufvertrag</w:t>
      </w:r>
    </w:p>
    <w:p w:rsidR="007551DE" w:rsidRPr="007551DE" w:rsidRDefault="007551DE" w:rsidP="007551DE">
      <w:pPr>
        <w:rPr>
          <w:rFonts w:ascii="Calibri" w:hAnsi="Calibri"/>
          <w:sz w:val="22"/>
        </w:rPr>
      </w:pPr>
      <w:r w:rsidRPr="007551DE">
        <w:rPr>
          <w:rFonts w:ascii="Calibri" w:hAnsi="Calibri"/>
          <w:sz w:val="22"/>
        </w:rPr>
        <w:t>(1) Durch den Kaufvertrag wird der Verkäufer einer Sache verpflichtet, dem Käufer die Sache zu übergeben und das Eigentum an der Sache zu verschaffen. Der Verkäufer hat dem Käufer die Sache frei von Sach- und Rechtsmängeln zu verschaffen.</w:t>
      </w:r>
    </w:p>
    <w:p w:rsidR="00A33810" w:rsidRDefault="007551DE" w:rsidP="007551DE">
      <w:pPr>
        <w:rPr>
          <w:rFonts w:ascii="Calibri" w:hAnsi="Calibri"/>
          <w:sz w:val="22"/>
        </w:rPr>
      </w:pPr>
      <w:r w:rsidRPr="007551DE">
        <w:rPr>
          <w:rFonts w:ascii="Calibri" w:hAnsi="Calibri"/>
          <w:sz w:val="22"/>
        </w:rPr>
        <w:t>(2) Der Käufer ist verpflichtet, dem Verkäufer den vereinbarten Kaufpreis zu zahlen und die gekaufte Sache abzunehmen.</w:t>
      </w:r>
    </w:p>
    <w:p w:rsidR="0003694A" w:rsidRDefault="0003694A" w:rsidP="0003694A">
      <w:pPr>
        <w:pStyle w:val="berschrift1"/>
        <w:spacing w:before="120"/>
        <w:rPr>
          <w:rFonts w:ascii="Calibri" w:hAnsi="Calibri" w:cs="Arial"/>
          <w:sz w:val="24"/>
          <w:szCs w:val="24"/>
        </w:rPr>
      </w:pPr>
      <w:r w:rsidRPr="0003694A">
        <w:rPr>
          <w:rFonts w:ascii="Calibri" w:hAnsi="Calibri" w:cs="Arial"/>
          <w:sz w:val="24"/>
          <w:szCs w:val="24"/>
        </w:rPr>
        <w:t>§ 448 Kosten der Übergabe und vergleichbare Kosten</w:t>
      </w:r>
    </w:p>
    <w:p w:rsidR="0003694A" w:rsidRPr="0003694A" w:rsidRDefault="0003694A" w:rsidP="0003694A">
      <w:pPr>
        <w:rPr>
          <w:rFonts w:ascii="Calibri" w:hAnsi="Calibri"/>
          <w:sz w:val="22"/>
        </w:rPr>
      </w:pPr>
      <w:r w:rsidRPr="0003694A">
        <w:rPr>
          <w:rFonts w:ascii="Calibri" w:hAnsi="Calibri"/>
          <w:sz w:val="22"/>
        </w:rPr>
        <w:t>(1) Der Verkäufer trägt die Kosten der Übergabe der Sache, der Käufer die Kosten der Abnahme und der Versendung der Sache nach einem anderen Ort als dem Erfüllungsort.</w:t>
      </w:r>
    </w:p>
    <w:p w:rsidR="0003694A" w:rsidRDefault="0003694A" w:rsidP="0003694A">
      <w:pPr>
        <w:rPr>
          <w:rFonts w:ascii="Calibri" w:hAnsi="Calibri"/>
          <w:sz w:val="22"/>
        </w:rPr>
      </w:pPr>
      <w:r w:rsidRPr="0003694A">
        <w:rPr>
          <w:rFonts w:ascii="Calibri" w:hAnsi="Calibri"/>
          <w:sz w:val="22"/>
        </w:rPr>
        <w:t>(2) Der Käufer eines Grundstücks trägt die Kosten der Beurkundung des Kaufvertrags und der Auflassung, der Eintragung ins Grundbuch und der zu der Eintragung erforderlichen Erklärungen.</w:t>
      </w:r>
    </w:p>
    <w:p w:rsidR="0003694A" w:rsidRDefault="0003694A" w:rsidP="0003694A">
      <w:pPr>
        <w:pStyle w:val="berschrift1"/>
        <w:spacing w:before="120"/>
        <w:rPr>
          <w:rFonts w:ascii="Calibri" w:hAnsi="Calibri" w:cs="Arial"/>
          <w:sz w:val="24"/>
          <w:szCs w:val="24"/>
        </w:rPr>
      </w:pPr>
      <w:r w:rsidRPr="0003694A">
        <w:rPr>
          <w:rFonts w:ascii="Calibri" w:hAnsi="Calibri" w:cs="Arial"/>
          <w:sz w:val="24"/>
          <w:szCs w:val="24"/>
        </w:rPr>
        <w:t>§ 449 Eigentumsvorbehalt</w:t>
      </w:r>
    </w:p>
    <w:p w:rsidR="0003694A" w:rsidRPr="0003694A" w:rsidRDefault="0003694A" w:rsidP="0003694A">
      <w:pPr>
        <w:rPr>
          <w:rFonts w:ascii="Calibri" w:hAnsi="Calibri"/>
          <w:sz w:val="22"/>
        </w:rPr>
      </w:pPr>
      <w:r w:rsidRPr="0003694A">
        <w:rPr>
          <w:rFonts w:ascii="Calibri" w:hAnsi="Calibri"/>
          <w:sz w:val="22"/>
        </w:rPr>
        <w:t>(1) Hat sich der Verkäufer einer beweglichen Sache das Eigentum bis zur Zahlung des Kaufpreises vorbehalten, so ist im Zweifel anzunehmen, dass das Eigentum unter der aufschiebenden Bedingung vollständiger Zahlung des Kaufpreises übertragen wird (Eigentumsvorbehalt).</w:t>
      </w:r>
    </w:p>
    <w:p w:rsidR="0003694A" w:rsidRDefault="0003694A" w:rsidP="0003694A">
      <w:pPr>
        <w:rPr>
          <w:rFonts w:ascii="Calibri" w:hAnsi="Calibri"/>
          <w:sz w:val="22"/>
        </w:rPr>
      </w:pPr>
      <w:r w:rsidRPr="0003694A">
        <w:rPr>
          <w:rFonts w:ascii="Calibri" w:hAnsi="Calibri"/>
          <w:sz w:val="22"/>
        </w:rPr>
        <w:t>(2) Auf Grund des Eigentumsvorbehalts kann der Verkäufer die Sache nur herausverlangen, wenn er vom Vertrag zurückgetreten ist.</w:t>
      </w:r>
      <w:r>
        <w:rPr>
          <w:rFonts w:ascii="Calibri" w:hAnsi="Calibri"/>
          <w:sz w:val="22"/>
        </w:rPr>
        <w:t xml:space="preserve"> (…)</w:t>
      </w:r>
    </w:p>
    <w:p w:rsidR="007551DE" w:rsidRDefault="007551DE" w:rsidP="007551DE">
      <w:pPr>
        <w:pStyle w:val="berschrift1"/>
        <w:spacing w:before="120"/>
        <w:rPr>
          <w:rFonts w:ascii="Calibri" w:hAnsi="Calibri" w:cs="Arial"/>
          <w:sz w:val="24"/>
          <w:szCs w:val="24"/>
        </w:rPr>
      </w:pPr>
      <w:r w:rsidRPr="007551DE">
        <w:rPr>
          <w:rFonts w:ascii="Calibri" w:hAnsi="Calibri" w:cs="Arial"/>
          <w:sz w:val="24"/>
          <w:szCs w:val="24"/>
        </w:rPr>
        <w:t>§ 474 Verbrauchsgüterkauf</w:t>
      </w:r>
    </w:p>
    <w:p w:rsidR="007551DE" w:rsidRDefault="007551DE" w:rsidP="007551DE">
      <w:pPr>
        <w:rPr>
          <w:rFonts w:ascii="Calibri" w:hAnsi="Calibri"/>
          <w:sz w:val="22"/>
        </w:rPr>
      </w:pPr>
      <w:r w:rsidRPr="007551DE">
        <w:rPr>
          <w:rFonts w:ascii="Calibri" w:hAnsi="Calibri"/>
          <w:sz w:val="22"/>
        </w:rPr>
        <w:t xml:space="preserve">(1) Verbrauchsgüterkäufe sind Verträge, durch die ein Verbraucher von einem Unternehmer eine bewegliche Sache kauft. Um einen Verbrauchsgüterkauf handelt es sich auch bei einem Vertrag, der </w:t>
      </w:r>
      <w:r w:rsidRPr="007551DE">
        <w:rPr>
          <w:rFonts w:ascii="Calibri" w:hAnsi="Calibri"/>
          <w:sz w:val="22"/>
        </w:rPr>
        <w:lastRenderedPageBreak/>
        <w:t>neben dem Verkauf einer beweglichen Sache die Erbringung einer Dienstleistung durch den Unternehmer zum Gegenstand hat.</w:t>
      </w:r>
      <w:r>
        <w:rPr>
          <w:rFonts w:ascii="Calibri" w:hAnsi="Calibri"/>
          <w:sz w:val="22"/>
        </w:rPr>
        <w:t xml:space="preserve"> (…)</w:t>
      </w:r>
    </w:p>
    <w:p w:rsidR="00F95786" w:rsidRDefault="00F95786" w:rsidP="00F95786">
      <w:pPr>
        <w:pStyle w:val="berschrift1"/>
        <w:spacing w:before="120"/>
        <w:rPr>
          <w:rFonts w:ascii="Calibri" w:hAnsi="Calibri" w:cs="Arial"/>
          <w:sz w:val="24"/>
          <w:szCs w:val="24"/>
        </w:rPr>
      </w:pPr>
      <w:r w:rsidRPr="00F95786">
        <w:rPr>
          <w:rFonts w:ascii="Calibri" w:hAnsi="Calibri" w:cs="Arial"/>
          <w:sz w:val="24"/>
          <w:szCs w:val="24"/>
        </w:rPr>
        <w:t>§ 475 Anwendbare Vorschriften</w:t>
      </w:r>
    </w:p>
    <w:p w:rsidR="00F95786" w:rsidRDefault="00F95786" w:rsidP="007551DE">
      <w:pPr>
        <w:rPr>
          <w:rFonts w:ascii="Calibri" w:hAnsi="Calibri"/>
          <w:sz w:val="22"/>
        </w:rPr>
      </w:pPr>
      <w:r w:rsidRPr="00F95786">
        <w:rPr>
          <w:rFonts w:ascii="Calibri" w:hAnsi="Calibri"/>
          <w:sz w:val="22"/>
        </w:rPr>
        <w:t xml:space="preserve">(1) Ist eine Zeit für die nach § 433 zu erbringenden Leistungen weder bestimmt noch aus den Umständen zu entnehmen, so kann der Gläubiger diese Leistungen </w:t>
      </w:r>
      <w:r>
        <w:rPr>
          <w:rFonts w:ascii="Calibri" w:hAnsi="Calibri"/>
          <w:sz w:val="22"/>
        </w:rPr>
        <w:t>(…)</w:t>
      </w:r>
      <w:r w:rsidRPr="00F95786">
        <w:rPr>
          <w:rFonts w:ascii="Calibri" w:hAnsi="Calibri"/>
          <w:sz w:val="22"/>
        </w:rPr>
        <w:t xml:space="preserve"> nur unverzüglich verlangen. Der Unternehmer muss die Sache in diesem Fall spätestens 30 Tage nach Vertragsschluss übergeben. Die Vertragsparteien können die Leistungen sofort bewirken.</w:t>
      </w:r>
      <w:r>
        <w:rPr>
          <w:rFonts w:ascii="Calibri" w:hAnsi="Calibri"/>
          <w:sz w:val="22"/>
        </w:rPr>
        <w:t xml:space="preserve"> (…)</w:t>
      </w:r>
    </w:p>
    <w:p w:rsidR="00B34AAD" w:rsidRPr="008A4F9A" w:rsidRDefault="00B34AAD" w:rsidP="00B34AAD">
      <w:pPr>
        <w:spacing w:before="240" w:after="60"/>
        <w:rPr>
          <w:rFonts w:ascii="Calibri" w:hAnsi="Calibri"/>
          <w:szCs w:val="24"/>
        </w:rPr>
      </w:pPr>
      <w:r w:rsidRPr="00B34AAD">
        <w:rPr>
          <w:rFonts w:ascii="Calibri" w:hAnsi="Calibri"/>
          <w:b/>
          <w:sz w:val="28"/>
          <w:szCs w:val="28"/>
        </w:rPr>
        <w:t>Handelsgesetzbuch – HGB</w:t>
      </w:r>
    </w:p>
    <w:p w:rsidR="002F21D8" w:rsidRPr="00B54DCD" w:rsidRDefault="00B34AAD" w:rsidP="005F69AB">
      <w:pPr>
        <w:pStyle w:val="berschrift1"/>
        <w:spacing w:before="120"/>
        <w:rPr>
          <w:rFonts w:ascii="Calibri" w:hAnsi="Calibri" w:cs="Arial"/>
          <w:sz w:val="24"/>
          <w:szCs w:val="24"/>
        </w:rPr>
      </w:pPr>
      <w:r w:rsidRPr="00B34AAD">
        <w:rPr>
          <w:rFonts w:ascii="Calibri" w:hAnsi="Calibri" w:cs="Arial"/>
          <w:sz w:val="24"/>
          <w:szCs w:val="24"/>
        </w:rPr>
        <w:t xml:space="preserve">§ </w:t>
      </w:r>
      <w:r w:rsidR="00F95786">
        <w:rPr>
          <w:rFonts w:ascii="Calibri" w:hAnsi="Calibri" w:cs="Arial"/>
          <w:sz w:val="24"/>
          <w:szCs w:val="24"/>
        </w:rPr>
        <w:t>343</w:t>
      </w:r>
      <w:r w:rsidRPr="00B34AAD">
        <w:rPr>
          <w:rFonts w:ascii="Calibri" w:hAnsi="Calibri" w:cs="Arial"/>
          <w:sz w:val="24"/>
          <w:szCs w:val="24"/>
        </w:rPr>
        <w:t xml:space="preserve"> </w:t>
      </w:r>
      <w:r w:rsidR="00F95786">
        <w:rPr>
          <w:rFonts w:ascii="Calibri" w:hAnsi="Calibri" w:cs="Arial"/>
          <w:sz w:val="24"/>
          <w:szCs w:val="24"/>
        </w:rPr>
        <w:t>Begriff des Handelsgeschäfts</w:t>
      </w:r>
    </w:p>
    <w:p w:rsidR="00EA2FEA" w:rsidRDefault="00F95786" w:rsidP="002F21D8">
      <w:pPr>
        <w:rPr>
          <w:rFonts w:ascii="Calibri" w:hAnsi="Calibri"/>
          <w:sz w:val="22"/>
        </w:rPr>
      </w:pPr>
      <w:r w:rsidRPr="00F95786">
        <w:rPr>
          <w:rFonts w:ascii="Calibri" w:hAnsi="Calibri"/>
          <w:sz w:val="22"/>
        </w:rPr>
        <w:t>Handelsgeschäfte sind alle Geschäfte eines Kaufmanns, die zum Betriebe seines Handelsgewerbes gehören.</w:t>
      </w:r>
    </w:p>
    <w:p w:rsidR="00F95786" w:rsidRPr="00B54DCD" w:rsidRDefault="00F95786" w:rsidP="00F95786">
      <w:pPr>
        <w:pStyle w:val="berschrift1"/>
        <w:spacing w:before="120"/>
        <w:rPr>
          <w:rFonts w:ascii="Calibri" w:hAnsi="Calibri" w:cs="Arial"/>
          <w:sz w:val="24"/>
          <w:szCs w:val="24"/>
        </w:rPr>
      </w:pPr>
      <w:r w:rsidRPr="00B34AAD">
        <w:rPr>
          <w:rFonts w:ascii="Calibri" w:hAnsi="Calibri" w:cs="Arial"/>
          <w:sz w:val="24"/>
          <w:szCs w:val="24"/>
        </w:rPr>
        <w:t xml:space="preserve">§ </w:t>
      </w:r>
      <w:r>
        <w:rPr>
          <w:rFonts w:ascii="Calibri" w:hAnsi="Calibri" w:cs="Arial"/>
          <w:sz w:val="24"/>
          <w:szCs w:val="24"/>
        </w:rPr>
        <w:t>377</w:t>
      </w:r>
      <w:r w:rsidRPr="00B34AAD">
        <w:rPr>
          <w:rFonts w:ascii="Calibri" w:hAnsi="Calibri" w:cs="Arial"/>
          <w:sz w:val="24"/>
          <w:szCs w:val="24"/>
        </w:rPr>
        <w:t xml:space="preserve"> </w:t>
      </w:r>
      <w:r>
        <w:rPr>
          <w:rFonts w:ascii="Calibri" w:hAnsi="Calibri" w:cs="Arial"/>
          <w:sz w:val="24"/>
          <w:szCs w:val="24"/>
        </w:rPr>
        <w:t>Untersuchungs- und Rügepflicht</w:t>
      </w:r>
    </w:p>
    <w:p w:rsidR="00F95786" w:rsidRPr="00F95786" w:rsidRDefault="00F95786" w:rsidP="00F95786">
      <w:pPr>
        <w:rPr>
          <w:rFonts w:ascii="Calibri" w:hAnsi="Calibri"/>
          <w:sz w:val="22"/>
        </w:rPr>
      </w:pPr>
      <w:r w:rsidRPr="00F95786">
        <w:rPr>
          <w:rFonts w:ascii="Calibri" w:hAnsi="Calibri"/>
          <w:sz w:val="22"/>
        </w:rPr>
        <w:t>(1) Ist der Kauf für beide Teile ein Handelsgeschäft, so hat der Käufer die Ware unverzüglich nach der Ablieferung durch den Verkäufer, soweit dies nach ordnungsmäßigem Geschäftsgange tunlich ist, zu untersuchen und, wenn sich ein Mangel zeigt, dem Verkäufer unverzüglich Anzeige zu machen.</w:t>
      </w:r>
    </w:p>
    <w:p w:rsidR="00F95786" w:rsidRPr="00F95786" w:rsidRDefault="00F95786" w:rsidP="00F95786">
      <w:pPr>
        <w:rPr>
          <w:rFonts w:ascii="Calibri" w:hAnsi="Calibri"/>
          <w:sz w:val="22"/>
        </w:rPr>
      </w:pPr>
      <w:r w:rsidRPr="00F95786">
        <w:rPr>
          <w:rFonts w:ascii="Calibri" w:hAnsi="Calibri"/>
          <w:sz w:val="22"/>
        </w:rPr>
        <w:t xml:space="preserve">(2) </w:t>
      </w:r>
      <w:proofErr w:type="spellStart"/>
      <w:r w:rsidRPr="00F95786">
        <w:rPr>
          <w:rFonts w:ascii="Calibri" w:hAnsi="Calibri"/>
          <w:sz w:val="22"/>
        </w:rPr>
        <w:t>Unterläßt</w:t>
      </w:r>
      <w:proofErr w:type="spellEnd"/>
      <w:r w:rsidRPr="00F95786">
        <w:rPr>
          <w:rFonts w:ascii="Calibri" w:hAnsi="Calibri"/>
          <w:sz w:val="22"/>
        </w:rPr>
        <w:t xml:space="preserve"> der Käufer die Anzeige, so gilt die Ware als genehmigt, es sei denn, </w:t>
      </w:r>
      <w:proofErr w:type="spellStart"/>
      <w:r w:rsidRPr="00F95786">
        <w:rPr>
          <w:rFonts w:ascii="Calibri" w:hAnsi="Calibri"/>
          <w:sz w:val="22"/>
        </w:rPr>
        <w:t>daß</w:t>
      </w:r>
      <w:proofErr w:type="spellEnd"/>
      <w:r w:rsidRPr="00F95786">
        <w:rPr>
          <w:rFonts w:ascii="Calibri" w:hAnsi="Calibri"/>
          <w:sz w:val="22"/>
        </w:rPr>
        <w:t xml:space="preserve"> es sich um einen Mangel handelt, der bei der Untersuchung nicht erkennbar war.</w:t>
      </w:r>
    </w:p>
    <w:p w:rsidR="00F95786" w:rsidRPr="00F95786" w:rsidRDefault="00F95786" w:rsidP="00F95786">
      <w:pPr>
        <w:rPr>
          <w:rFonts w:ascii="Calibri" w:hAnsi="Calibri"/>
          <w:sz w:val="22"/>
        </w:rPr>
      </w:pPr>
      <w:r w:rsidRPr="00F95786">
        <w:rPr>
          <w:rFonts w:ascii="Calibri" w:hAnsi="Calibri"/>
          <w:sz w:val="22"/>
        </w:rPr>
        <w:t xml:space="preserve">(3) Zeigt sich später ein solcher Mangel, so </w:t>
      </w:r>
      <w:proofErr w:type="spellStart"/>
      <w:r w:rsidRPr="00F95786">
        <w:rPr>
          <w:rFonts w:ascii="Calibri" w:hAnsi="Calibri"/>
          <w:sz w:val="22"/>
        </w:rPr>
        <w:t>muß</w:t>
      </w:r>
      <w:proofErr w:type="spellEnd"/>
      <w:r w:rsidRPr="00F95786">
        <w:rPr>
          <w:rFonts w:ascii="Calibri" w:hAnsi="Calibri"/>
          <w:sz w:val="22"/>
        </w:rPr>
        <w:t xml:space="preserve"> die Anzeige unverzüglich nach der Entdeckung gemacht werden; anderenfalls gilt die Ware auch in Ansehung dieses Mangels als genehmigt.</w:t>
      </w:r>
    </w:p>
    <w:p w:rsidR="00F95786" w:rsidRPr="00F95786" w:rsidRDefault="00F95786" w:rsidP="00F95786">
      <w:pPr>
        <w:rPr>
          <w:rFonts w:ascii="Calibri" w:hAnsi="Calibri"/>
          <w:sz w:val="22"/>
        </w:rPr>
      </w:pPr>
      <w:r w:rsidRPr="00F95786">
        <w:rPr>
          <w:rFonts w:ascii="Calibri" w:hAnsi="Calibri"/>
          <w:sz w:val="22"/>
        </w:rPr>
        <w:t>(4) Zur Erhaltung der Rechte des Käufers genügt die rechtzeitige Absendung der Anzeige.</w:t>
      </w:r>
    </w:p>
    <w:p w:rsidR="00F95786" w:rsidRDefault="00F95786" w:rsidP="00F95786">
      <w:pPr>
        <w:rPr>
          <w:rFonts w:ascii="Calibri" w:hAnsi="Calibri"/>
          <w:sz w:val="22"/>
        </w:rPr>
      </w:pPr>
      <w:r w:rsidRPr="00F95786">
        <w:rPr>
          <w:rFonts w:ascii="Calibri" w:hAnsi="Calibri"/>
          <w:sz w:val="22"/>
        </w:rPr>
        <w:t>(5) Hat der Verkäufer den Mangel arglistig verschwiegen, so kann er sich auf diese Vorschriften nicht berufen.</w:t>
      </w:r>
    </w:p>
    <w:sectPr w:rsidR="00F95786" w:rsidSect="00BF0559">
      <w:footerReference w:type="default" r:id="rId12"/>
      <w:footerReference w:type="first" r:id="rId13"/>
      <w:pgSz w:w="11906" w:h="16838"/>
      <w:pgMar w:top="426" w:right="1417" w:bottom="1134" w:left="1417" w:header="284"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90" w:rsidRDefault="00A82B90" w:rsidP="002F21D8">
      <w:r>
        <w:separator/>
      </w:r>
    </w:p>
  </w:endnote>
  <w:endnote w:type="continuationSeparator" w:id="0">
    <w:p w:rsidR="00A82B90" w:rsidRDefault="00A82B90"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BF0559" w:rsidRDefault="00BF0559" w:rsidP="00BF0559">
    <w:pPr>
      <w:pStyle w:val="Fuzeile"/>
      <w:tabs>
        <w:tab w:val="clear" w:pos="4536"/>
      </w:tabs>
      <w:rPr>
        <w:rFonts w:asciiTheme="minorHAnsi" w:hAnsiTheme="minorHAnsi"/>
        <w:sz w:val="16"/>
        <w:szCs w:val="16"/>
      </w:rPr>
    </w:pPr>
    <w:r>
      <w:rPr>
        <w:noProof/>
      </w:rPr>
      <w:drawing>
        <wp:anchor distT="0" distB="0" distL="114300" distR="114300" simplePos="0" relativeHeight="251666432" behindDoc="1" locked="0" layoutInCell="1" allowOverlap="1" wp14:anchorId="05E99C35" wp14:editId="6E1A56F2">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B6" w:rsidRPr="00BF0559" w:rsidRDefault="00BF0559" w:rsidP="00BF0559">
    <w:pPr>
      <w:pStyle w:val="Fuzeile"/>
      <w:tabs>
        <w:tab w:val="clear" w:pos="4536"/>
      </w:tabs>
      <w:rPr>
        <w:rFonts w:asciiTheme="minorHAnsi" w:hAnsiTheme="minorHAnsi"/>
        <w:sz w:val="16"/>
        <w:szCs w:val="16"/>
      </w:rPr>
    </w:pPr>
    <w:r>
      <w:rPr>
        <w:noProof/>
      </w:rPr>
      <w:drawing>
        <wp:anchor distT="0" distB="0" distL="114300" distR="114300" simplePos="0" relativeHeight="251664384" behindDoc="1" locked="0" layoutInCell="1" allowOverlap="1" wp14:anchorId="5BFAE41B" wp14:editId="430DBEBE">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2"/>
        <w:szCs w:val="22"/>
      </w:rPr>
      <w:tab/>
    </w:r>
    <w:hyperlink r:id="rId2" w:history="1">
      <w:r>
        <w:rPr>
          <w:rStyle w:val="Hyperlink"/>
          <w:rFonts w:asciiTheme="minorHAnsi" w:hAnsiTheme="minorHAnsi"/>
          <w:sz w:val="16"/>
          <w:szCs w:val="16"/>
        </w:rPr>
        <w:t>www.wirtschaftskompetenz-bw.de</w:t>
      </w:r>
    </w:hyperlink>
    <w:r>
      <w:rPr>
        <w:rFonts w:asciiTheme="minorHAnsi" w:hAnsi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90" w:rsidRDefault="00A82B90" w:rsidP="002F21D8">
      <w:r>
        <w:separator/>
      </w:r>
    </w:p>
  </w:footnote>
  <w:footnote w:type="continuationSeparator" w:id="0">
    <w:p w:rsidR="00A82B90" w:rsidRDefault="00A82B90"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A"/>
    <w:rsid w:val="000063D3"/>
    <w:rsid w:val="0003694A"/>
    <w:rsid w:val="00131FB8"/>
    <w:rsid w:val="001429C6"/>
    <w:rsid w:val="00173F79"/>
    <w:rsid w:val="00175423"/>
    <w:rsid w:val="001C5FB3"/>
    <w:rsid w:val="001F7C3B"/>
    <w:rsid w:val="00233846"/>
    <w:rsid w:val="00246732"/>
    <w:rsid w:val="00246974"/>
    <w:rsid w:val="002660BF"/>
    <w:rsid w:val="002B4F1B"/>
    <w:rsid w:val="002C64FE"/>
    <w:rsid w:val="002E5E08"/>
    <w:rsid w:val="002F21D8"/>
    <w:rsid w:val="003B0AD4"/>
    <w:rsid w:val="003D3E64"/>
    <w:rsid w:val="00422BE3"/>
    <w:rsid w:val="004461A4"/>
    <w:rsid w:val="004B0F0E"/>
    <w:rsid w:val="004C0398"/>
    <w:rsid w:val="00505DFF"/>
    <w:rsid w:val="00525B3F"/>
    <w:rsid w:val="00572DC1"/>
    <w:rsid w:val="00572DDC"/>
    <w:rsid w:val="005841C2"/>
    <w:rsid w:val="00591912"/>
    <w:rsid w:val="005B3D2C"/>
    <w:rsid w:val="005B4AA3"/>
    <w:rsid w:val="005F69AB"/>
    <w:rsid w:val="006857C1"/>
    <w:rsid w:val="006F35B4"/>
    <w:rsid w:val="00715B7D"/>
    <w:rsid w:val="00717234"/>
    <w:rsid w:val="0072741D"/>
    <w:rsid w:val="00731987"/>
    <w:rsid w:val="007551DE"/>
    <w:rsid w:val="00780767"/>
    <w:rsid w:val="007A7544"/>
    <w:rsid w:val="007C176F"/>
    <w:rsid w:val="0080608B"/>
    <w:rsid w:val="00842819"/>
    <w:rsid w:val="008A4F9A"/>
    <w:rsid w:val="008B6C88"/>
    <w:rsid w:val="00901ED9"/>
    <w:rsid w:val="00950672"/>
    <w:rsid w:val="009752F3"/>
    <w:rsid w:val="0098096F"/>
    <w:rsid w:val="009C6166"/>
    <w:rsid w:val="009D44C2"/>
    <w:rsid w:val="009E4250"/>
    <w:rsid w:val="00A04482"/>
    <w:rsid w:val="00A10EF2"/>
    <w:rsid w:val="00A26FF7"/>
    <w:rsid w:val="00A33810"/>
    <w:rsid w:val="00A768AC"/>
    <w:rsid w:val="00A82B90"/>
    <w:rsid w:val="00A95FA9"/>
    <w:rsid w:val="00AA29B2"/>
    <w:rsid w:val="00AC3F4F"/>
    <w:rsid w:val="00AC7F42"/>
    <w:rsid w:val="00AE77F4"/>
    <w:rsid w:val="00AF6B16"/>
    <w:rsid w:val="00B26AE4"/>
    <w:rsid w:val="00B34AAD"/>
    <w:rsid w:val="00B54DCD"/>
    <w:rsid w:val="00BC2237"/>
    <w:rsid w:val="00BE18DB"/>
    <w:rsid w:val="00BF0559"/>
    <w:rsid w:val="00C615B6"/>
    <w:rsid w:val="00C63237"/>
    <w:rsid w:val="00D13D2E"/>
    <w:rsid w:val="00D149BC"/>
    <w:rsid w:val="00D25A6B"/>
    <w:rsid w:val="00D67B27"/>
    <w:rsid w:val="00D8429E"/>
    <w:rsid w:val="00D849E4"/>
    <w:rsid w:val="00D8730C"/>
    <w:rsid w:val="00D972BD"/>
    <w:rsid w:val="00E018D5"/>
    <w:rsid w:val="00E374D4"/>
    <w:rsid w:val="00E47F0A"/>
    <w:rsid w:val="00E564F8"/>
    <w:rsid w:val="00E741E7"/>
    <w:rsid w:val="00EA2FEA"/>
    <w:rsid w:val="00EB5225"/>
    <w:rsid w:val="00F90DBF"/>
    <w:rsid w:val="00F95786"/>
    <w:rsid w:val="00FD4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4485">
      <w:bodyDiv w:val="1"/>
      <w:marLeft w:val="0"/>
      <w:marRight w:val="0"/>
      <w:marTop w:val="0"/>
      <w:marBottom w:val="0"/>
      <w:divBdr>
        <w:top w:val="none" w:sz="0" w:space="0" w:color="auto"/>
        <w:left w:val="none" w:sz="0" w:space="0" w:color="auto"/>
        <w:bottom w:val="none" w:sz="0" w:space="0" w:color="auto"/>
        <w:right w:val="none" w:sz="0" w:space="0" w:color="auto"/>
      </w:divBdr>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004">
      <w:bodyDiv w:val="1"/>
      <w:marLeft w:val="0"/>
      <w:marRight w:val="0"/>
      <w:marTop w:val="0"/>
      <w:marBottom w:val="0"/>
      <w:divBdr>
        <w:top w:val="none" w:sz="0" w:space="0" w:color="auto"/>
        <w:left w:val="none" w:sz="0" w:space="0" w:color="auto"/>
        <w:bottom w:val="none" w:sz="0" w:space="0" w:color="auto"/>
        <w:right w:val="none" w:sz="0" w:space="0" w:color="auto"/>
      </w:divBdr>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19162135">
      <w:bodyDiv w:val="1"/>
      <w:marLeft w:val="0"/>
      <w:marRight w:val="0"/>
      <w:marTop w:val="0"/>
      <w:marBottom w:val="0"/>
      <w:divBdr>
        <w:top w:val="none" w:sz="0" w:space="0" w:color="auto"/>
        <w:left w:val="none" w:sz="0" w:space="0" w:color="auto"/>
        <w:bottom w:val="none" w:sz="0" w:space="0" w:color="auto"/>
        <w:right w:val="none" w:sz="0" w:space="0" w:color="auto"/>
      </w:divBdr>
      <w:divsChild>
        <w:div w:id="1171796277">
          <w:marLeft w:val="0"/>
          <w:marRight w:val="0"/>
          <w:marTop w:val="0"/>
          <w:marBottom w:val="0"/>
          <w:divBdr>
            <w:top w:val="none" w:sz="0" w:space="0" w:color="auto"/>
            <w:left w:val="none" w:sz="0" w:space="0" w:color="auto"/>
            <w:bottom w:val="none" w:sz="0" w:space="0" w:color="auto"/>
            <w:right w:val="none" w:sz="0" w:space="0" w:color="auto"/>
          </w:divBdr>
          <w:divsChild>
            <w:div w:id="1424257818">
              <w:marLeft w:val="0"/>
              <w:marRight w:val="0"/>
              <w:marTop w:val="0"/>
              <w:marBottom w:val="0"/>
              <w:divBdr>
                <w:top w:val="none" w:sz="0" w:space="0" w:color="auto"/>
                <w:left w:val="none" w:sz="0" w:space="0" w:color="auto"/>
                <w:bottom w:val="none" w:sz="0" w:space="0" w:color="auto"/>
                <w:right w:val="none" w:sz="0" w:space="0" w:color="auto"/>
              </w:divBdr>
              <w:divsChild>
                <w:div w:id="1587613052">
                  <w:marLeft w:val="0"/>
                  <w:marRight w:val="0"/>
                  <w:marTop w:val="0"/>
                  <w:marBottom w:val="0"/>
                  <w:divBdr>
                    <w:top w:val="none" w:sz="0" w:space="0" w:color="auto"/>
                    <w:left w:val="none" w:sz="0" w:space="0" w:color="auto"/>
                    <w:bottom w:val="none" w:sz="0" w:space="0" w:color="auto"/>
                    <w:right w:val="none" w:sz="0" w:space="0" w:color="auto"/>
                  </w:divBdr>
                  <w:divsChild>
                    <w:div w:id="270822682">
                      <w:marLeft w:val="0"/>
                      <w:marRight w:val="0"/>
                      <w:marTop w:val="0"/>
                      <w:marBottom w:val="0"/>
                      <w:divBdr>
                        <w:top w:val="none" w:sz="0" w:space="0" w:color="auto"/>
                        <w:left w:val="none" w:sz="0" w:space="0" w:color="auto"/>
                        <w:bottom w:val="none" w:sz="0" w:space="0" w:color="auto"/>
                        <w:right w:val="none" w:sz="0" w:space="0" w:color="auto"/>
                      </w:divBdr>
                    </w:div>
                    <w:div w:id="7925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hgb/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esetze-im-internet.de/bgb/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E7AF-E097-41BA-98DE-F2127EC1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36</cp:revision>
  <cp:lastPrinted>2018-10-11T07:58:00Z</cp:lastPrinted>
  <dcterms:created xsi:type="dcterms:W3CDTF">2018-08-08T13:55:00Z</dcterms:created>
  <dcterms:modified xsi:type="dcterms:W3CDTF">2018-10-11T08:00:00Z</dcterms:modified>
</cp:coreProperties>
</file>