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D0" w:rsidRPr="00C9320F" w:rsidRDefault="009222D0" w:rsidP="00C9320F">
      <w:pPr>
        <w:pStyle w:val="LSStandardtext"/>
        <w:rPr>
          <w:rFonts w:eastAsiaTheme="minorHAnsi"/>
          <w:b/>
          <w:u w:val="single"/>
          <w:lang w:eastAsia="en-US"/>
        </w:rPr>
      </w:pPr>
      <w:r w:rsidRPr="00C9320F">
        <w:rPr>
          <w:rFonts w:eastAsiaTheme="minorHAnsi"/>
          <w:b/>
          <w:u w:val="single"/>
          <w:lang w:eastAsia="en-US"/>
        </w:rPr>
        <w:t>Arbeitsblatt: Der indirekte Beweis</w:t>
      </w:r>
    </w:p>
    <w:p w:rsidR="009222D0" w:rsidRPr="009222D0" w:rsidRDefault="009222D0" w:rsidP="00C9320F">
      <w:pPr>
        <w:pStyle w:val="LSStandardtext"/>
      </w:pPr>
      <w:r w:rsidRPr="009222D0">
        <w:t>Ein Beispiel:</w:t>
      </w:r>
    </w:p>
    <w:p w:rsidR="009222D0" w:rsidRPr="009222D0" w:rsidRDefault="009222D0" w:rsidP="00C9320F">
      <w:pPr>
        <w:pStyle w:val="LSStandardtext"/>
      </w:pPr>
      <w:r w:rsidRPr="009222D0">
        <w:t xml:space="preserve">Der Verdächtige X steht vor Gericht. Der Staatsanwalt liest die Anklageschrift vor: </w:t>
      </w:r>
    </w:p>
    <w:p w:rsidR="009222D0" w:rsidRPr="009222D0" w:rsidRDefault="009222D0" w:rsidP="00C9320F">
      <w:pPr>
        <w:pStyle w:val="LSStandardtext"/>
      </w:pPr>
      <w:r w:rsidRPr="009222D0">
        <w:t>„...Herr X hat am 1.10. zwischen 23.00 und 23.15 Uhr im Uhrengeschä</w:t>
      </w:r>
      <w:r w:rsidR="00650AE3">
        <w:t>ft XY einen Einbruch verübt. .</w:t>
      </w:r>
      <w:r w:rsidRPr="009222D0">
        <w:t>..“</w:t>
      </w:r>
    </w:p>
    <w:p w:rsidR="009222D0" w:rsidRPr="009222D0" w:rsidRDefault="009222D0" w:rsidP="00C9320F">
      <w:pPr>
        <w:pStyle w:val="LSStandardtext"/>
      </w:pPr>
      <w:r w:rsidRPr="009222D0">
        <w:t>Die Staatsanwaltschaft muss z.B. durch Zeugenaussagen beweisen, dass die Anklage b</w:t>
      </w:r>
      <w:r w:rsidRPr="009222D0">
        <w:t>e</w:t>
      </w:r>
      <w:r w:rsidRPr="009222D0">
        <w:t>rechtigt ist, damit der Verdächtige verurteilt wird.</w:t>
      </w:r>
    </w:p>
    <w:p w:rsidR="009222D0" w:rsidRPr="009222D0" w:rsidRDefault="009222D0" w:rsidP="00C9320F">
      <w:pPr>
        <w:pStyle w:val="LSStandardtext"/>
      </w:pPr>
      <w:r w:rsidRPr="009222D0">
        <w:t xml:space="preserve">Der Verdächtige X behauptet natürlich das Gegenteil, nämlich dass er unschuldig ist: </w:t>
      </w:r>
    </w:p>
    <w:p w:rsidR="009222D0" w:rsidRPr="009222D0" w:rsidRDefault="009222D0" w:rsidP="00C9320F">
      <w:pPr>
        <w:pStyle w:val="LSStandardtext"/>
      </w:pPr>
      <w:r w:rsidRPr="009222D0">
        <w:t xml:space="preserve">„Ich habe den Einbruch nicht begangen.“ </w:t>
      </w:r>
    </w:p>
    <w:p w:rsidR="009222D0" w:rsidRPr="009222D0" w:rsidRDefault="009222D0" w:rsidP="00C9320F">
      <w:pPr>
        <w:pStyle w:val="LSStandardtext"/>
      </w:pPr>
      <w:r w:rsidRPr="009222D0">
        <w:t>Auch Herr X wird versuchen, seine Aussage zu beweisen, um freigesprochen zu werden. Dabei hat er Glück. Zu der fraglichen Zeit war er nämlich mit mehreren Freunden zusa</w:t>
      </w:r>
      <w:r w:rsidRPr="009222D0">
        <w:t>m</w:t>
      </w:r>
      <w:r w:rsidRPr="009222D0">
        <w:t>men. Er sagt also zu seiner Verteidigung: „Wenn ich den Einbruch begangen hätte, dann hätte ich am 1.10. zwischen 23.00 und 23.15 Uhr im Uhrengeschäft XY sein müssen. Da ich aber nachweislich an einem</w:t>
      </w:r>
    </w:p>
    <w:p w:rsidR="009222D0" w:rsidRPr="009222D0" w:rsidRDefault="009222D0" w:rsidP="00C9320F">
      <w:pPr>
        <w:pStyle w:val="LSStandardtext"/>
      </w:pPr>
      <w:r w:rsidRPr="009222D0">
        <w:t>anderen Ort war, kann ich nicht der Täter sein.“</w:t>
      </w:r>
    </w:p>
    <w:p w:rsidR="009222D0" w:rsidRPr="009222D0" w:rsidRDefault="009222D0" w:rsidP="00C9320F">
      <w:pPr>
        <w:pStyle w:val="LSStandardtext"/>
      </w:pPr>
    </w:p>
    <w:p w:rsidR="009222D0" w:rsidRPr="009222D0" w:rsidRDefault="009222D0" w:rsidP="00C9320F">
      <w:pPr>
        <w:pStyle w:val="LSStandardtext"/>
      </w:pPr>
      <w:r w:rsidRPr="009222D0">
        <w:t xml:space="preserve">Dieser leicht verständliche „Alibibeweis“ ist nichts anderes als ein indirekter Beweis. </w:t>
      </w:r>
    </w:p>
    <w:p w:rsidR="009222D0" w:rsidRPr="009222D0" w:rsidRDefault="009222D0" w:rsidP="009222D0">
      <w:r w:rsidRPr="009222D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591D5" wp14:editId="6BD87C2E">
                <wp:simplePos x="0" y="0"/>
                <wp:positionH relativeFrom="column">
                  <wp:posOffset>-14892</wp:posOffset>
                </wp:positionH>
                <wp:positionV relativeFrom="paragraph">
                  <wp:posOffset>124685</wp:posOffset>
                </wp:positionV>
                <wp:extent cx="5604387" cy="1557430"/>
                <wp:effectExtent l="0" t="0" r="15875" b="2413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4387" cy="15574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222D0" w:rsidRDefault="009222D0" w:rsidP="009222D0">
                            <w:r>
                              <w:t>Beim indirekten Beweis geht man so vor:</w:t>
                            </w:r>
                          </w:p>
                          <w:p w:rsidR="009222D0" w:rsidRDefault="009222D0" w:rsidP="009222D0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Man nimmt an, dass das Gegenteil der Behauptung gälte und zieht daraus Fo</w:t>
                            </w:r>
                            <w:r>
                              <w:rPr>
                                <w:rFonts w:ascii="Arial" w:hAnsi="Arial" w:cs="Arial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gerungen.</w:t>
                            </w:r>
                          </w:p>
                          <w:p w:rsidR="009222D0" w:rsidRDefault="009222D0" w:rsidP="009222D0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Man führt die Argumentation zu einem Widerspruch</w:t>
                            </w:r>
                          </w:p>
                          <w:p w:rsidR="009222D0" w:rsidRPr="00A85FB7" w:rsidRDefault="009222D0" w:rsidP="009222D0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 der Beweisgang logisch war und aus etwas Richtigem nicht etwas falsches folgen kann, muss die Annahme falsch und die Behauptung richtig sein.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" o:spid="_x0000_s1026" style="position:absolute;margin-left:-1.15pt;margin-top:9.8pt;width:441.3pt;height:122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" fillcolor="window" strokecolor="windowText" strokeweight="2pt">
                <v:textbox>
                  <w:txbxContent>
                    <w:p w:rsidR="009222D0" w:rsidRDefault="009222D0" w:rsidP="009222D0">
                      <w:r>
                        <w:t>Beim indirekten Beweis geht man so vor:</w:t>
                      </w:r>
                    </w:p>
                    <w:p w:rsidR="009222D0" w:rsidRDefault="009222D0" w:rsidP="009222D0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Man nimmt an, dass das Gegenteil der Behauptung gälte und zieht daraus Fo</w:t>
                      </w:r>
                      <w:r>
                        <w:rPr>
                          <w:rFonts w:ascii="Arial" w:hAnsi="Arial" w:cs="Arial"/>
                        </w:rPr>
                        <w:t>l</w:t>
                      </w:r>
                      <w:r>
                        <w:rPr>
                          <w:rFonts w:ascii="Arial" w:hAnsi="Arial" w:cs="Arial"/>
                        </w:rPr>
                        <w:t>gerungen.</w:t>
                      </w:r>
                    </w:p>
                    <w:p w:rsidR="009222D0" w:rsidRDefault="009222D0" w:rsidP="009222D0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Man führt die Argumentation zu einem Widerspruch</w:t>
                      </w:r>
                    </w:p>
                    <w:p w:rsidR="009222D0" w:rsidRPr="00A85FB7" w:rsidRDefault="009222D0" w:rsidP="009222D0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 der Beweisgang logisch war und aus etwas Richtigem nicht etwas falsches folgen kann, muss die Annahme falsch und die Behauptung richtig sein.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2D0" w:rsidRPr="009222D0" w:rsidRDefault="009222D0" w:rsidP="009222D0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9222D0" w:rsidRPr="009222D0" w:rsidRDefault="009222D0" w:rsidP="009222D0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9222D0" w:rsidRPr="009222D0" w:rsidRDefault="009222D0" w:rsidP="009222D0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9222D0" w:rsidRPr="009222D0" w:rsidRDefault="009222D0" w:rsidP="009222D0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9222D0" w:rsidRPr="009222D0" w:rsidRDefault="009222D0" w:rsidP="009222D0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E46095" w:rsidRDefault="009222D0" w:rsidP="00C9320F">
      <w:pPr>
        <w:pStyle w:val="LSStandardtext"/>
        <w:numPr>
          <w:ilvl w:val="0"/>
          <w:numId w:val="28"/>
        </w:numPr>
        <w:rPr>
          <w:rFonts w:eastAsiaTheme="minorHAnsi"/>
          <w:lang w:eastAsia="en-US"/>
        </w:rPr>
      </w:pPr>
      <w:r w:rsidRPr="00E46095">
        <w:rPr>
          <w:rFonts w:eastAsiaTheme="minorHAnsi"/>
          <w:lang w:eastAsia="en-US"/>
        </w:rPr>
        <w:t>Bringen Sie den berühmten Beweis von Euklid in die richtige Reihenfolge. (Hinweis: kann anschließend aufgeklebt werden.</w:t>
      </w:r>
      <w:r w:rsidR="00445A2D">
        <w:rPr>
          <w:rFonts w:eastAsiaTheme="minorHAnsi"/>
          <w:lang w:eastAsia="en-US"/>
        </w:rPr>
        <w:t>)</w:t>
      </w:r>
    </w:p>
    <w:p w:rsidR="00E46095" w:rsidRDefault="00E4609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:rsidR="009222D0" w:rsidRPr="009222D0" w:rsidRDefault="009222D0" w:rsidP="009222D0">
      <w:pPr>
        <w:spacing w:after="200" w:line="276" w:lineRule="auto"/>
        <w:ind w:left="360"/>
        <w:contextualSpacing/>
        <w:rPr>
          <w:rFonts w:eastAsiaTheme="minorHAnsi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HAnsi"/>
          <w:lang w:eastAsia="en-US"/>
        </w:rPr>
      </w:pPr>
      <w:r w:rsidRPr="009222D0">
        <w:rPr>
          <w:rFonts w:eastAsiaTheme="minorHAnsi"/>
          <w:lang w:eastAsia="en-US"/>
        </w:rPr>
        <w:t>Behauptung: Es gibt unendlich viele Primzahlen.</w:t>
      </w:r>
    </w:p>
    <w:p w:rsidR="009222D0" w:rsidRPr="009222D0" w:rsidRDefault="009222D0" w:rsidP="00C9320F">
      <w:pPr>
        <w:pStyle w:val="LSStandardtext"/>
        <w:rPr>
          <w:rFonts w:eastAsiaTheme="minorHAnsi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HAnsi"/>
          <w:lang w:eastAsia="en-US"/>
        </w:rPr>
      </w:pPr>
      <w:r w:rsidRPr="009222D0">
        <w:rPr>
          <w:rFonts w:eastAsiaTheme="minorHAnsi"/>
          <w:lang w:eastAsia="en-US"/>
        </w:rPr>
        <w:t>Annahme: Es gibt endlich viele Primzahlen.</w:t>
      </w:r>
    </w:p>
    <w:p w:rsidR="009222D0" w:rsidRPr="009222D0" w:rsidRDefault="009222D0" w:rsidP="00C9320F">
      <w:pPr>
        <w:pStyle w:val="LSStandardtext"/>
        <w:rPr>
          <w:rFonts w:eastAsiaTheme="minorHAnsi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w:r w:rsidRPr="009222D0">
        <w:rPr>
          <w:rFonts w:eastAsiaTheme="minorHAnsi"/>
          <w:lang w:eastAsia="en-US"/>
        </w:rPr>
        <w:t xml:space="preserve">Dann gibt es eine größte Primzahl </w:t>
      </w:r>
      <m:oMath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 w:hAnsi="Cambria Math"/>
                <w:lang w:eastAsia="en-US"/>
              </w:rPr>
              <m:t>p</m:t>
            </m:r>
          </m:e>
          <m:sub>
            <m:r>
              <w:rPr>
                <w:rFonts w:ascii="Cambria Math" w:eastAsiaTheme="minorHAnsi" w:hAnsi="Cambria Math"/>
                <w:lang w:eastAsia="en-US"/>
              </w:rPr>
              <m:t>m</m:t>
            </m:r>
          </m:sub>
        </m:sSub>
      </m:oMath>
      <w:r w:rsidRPr="009222D0">
        <w:rPr>
          <w:rFonts w:eastAsiaTheme="minorEastAsia"/>
          <w:lang w:eastAsia="en-US"/>
        </w:rPr>
        <w:t>.</w:t>
      </w: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w:r w:rsidRPr="009222D0">
        <w:rPr>
          <w:rFonts w:eastAsiaTheme="minorEastAsia"/>
          <w:lang w:eastAsia="en-US"/>
        </w:rPr>
        <w:t>Weiterhin können wir dann die endliche Menge aller Primzahlen wie folgt aufschreiben:</w:t>
      </w:r>
    </w:p>
    <w:p w:rsidR="009222D0" w:rsidRPr="009222D0" w:rsidRDefault="0046555E" w:rsidP="00C9320F">
      <w:pPr>
        <w:pStyle w:val="LSStandardtext"/>
        <w:rPr>
          <w:rFonts w:eastAsiaTheme="minorEastAsia"/>
          <w:lang w:eastAsia="en-US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HAnsi" w:hAnsi="Cambria Math"/>
                  <w:i/>
                  <w:lang w:eastAsia="en-US"/>
                </w:rPr>
              </m:ctrlPr>
            </m:dPr>
            <m:e>
              <m:r>
                <w:rPr>
                  <w:rFonts w:ascii="Cambria Math" w:eastAsiaTheme="minorHAnsi" w:hAnsi="Cambria Math"/>
                  <w:lang w:eastAsia="en-US"/>
                </w:rPr>
                <m:t xml:space="preserve">2;3;5;…;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p</m:t>
                  </m:r>
                </m:e>
                <m:sub>
                  <m:r>
                    <w:rPr>
                      <w:rFonts w:ascii="Cambria Math" w:eastAsiaTheme="minorHAnsi" w:hAnsi="Cambria Math"/>
                      <w:lang w:eastAsia="en-US"/>
                    </w:rPr>
                    <m:t>m</m:t>
                  </m:r>
                </m:sub>
              </m:sSub>
            </m:e>
          </m:d>
        </m:oMath>
      </m:oMathPara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w:r w:rsidRPr="009222D0">
        <w:rPr>
          <w:rFonts w:eastAsiaTheme="minorEastAsia"/>
          <w:lang w:eastAsia="en-US"/>
        </w:rPr>
        <w:t xml:space="preserve">Wir bilden nun die Zahl </w:t>
      </w:r>
      <m:oMath>
        <m:r>
          <w:rPr>
            <w:rFonts w:ascii="Cambria Math" w:eastAsiaTheme="minorEastAsia" w:hAnsi="Cambria Math"/>
            <w:lang w:eastAsia="en-US"/>
          </w:rPr>
          <m:t>N</m:t>
        </m:r>
      </m:oMath>
      <w:r w:rsidRPr="009222D0">
        <w:rPr>
          <w:rFonts w:eastAsiaTheme="minorEastAsia"/>
          <w:lang w:eastAsia="en-US"/>
        </w:rPr>
        <w:t xml:space="preserve">, indem wir alle Primzahlen multiplizieren und eins addieren. </w:t>
      </w:r>
      <m:oMath>
        <m:r>
          <w:rPr>
            <w:rFonts w:ascii="Cambria Math" w:eastAsiaTheme="minorEastAsia" w:hAnsi="Cambria Math"/>
            <w:lang w:eastAsia="en-US"/>
          </w:rPr>
          <m:t>N=2∙3∙…∙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eastAsia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m</m:t>
            </m:r>
          </m:sub>
        </m:sSub>
        <m:r>
          <w:rPr>
            <w:rFonts w:ascii="Cambria Math" w:eastAsiaTheme="minorEastAsia" w:hAnsi="Cambria Math"/>
            <w:lang w:eastAsia="en-US"/>
          </w:rPr>
          <m:t>+1</m:t>
        </m:r>
      </m:oMath>
      <w:r w:rsidRPr="009222D0">
        <w:rPr>
          <w:rFonts w:eastAsiaTheme="minorEastAsia"/>
          <w:lang w:eastAsia="en-US"/>
        </w:rPr>
        <w:t xml:space="preserve"> und wir unterscheiden zwei Fälle.</w:t>
      </w: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w:r w:rsidRPr="009222D0">
        <w:rPr>
          <w:rFonts w:eastAsiaTheme="minorEastAsia"/>
          <w:lang w:eastAsia="en-US"/>
        </w:rPr>
        <w:t>Erster Fall:</w:t>
      </w: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m:oMath>
        <m:r>
          <w:rPr>
            <w:rFonts w:ascii="Cambria Math" w:eastAsiaTheme="minorHAnsi" w:hAnsi="Cambria Math"/>
            <w:lang w:eastAsia="en-US"/>
          </w:rPr>
          <m:t>N</m:t>
        </m:r>
      </m:oMath>
      <w:r w:rsidRPr="009222D0">
        <w:rPr>
          <w:rFonts w:eastAsiaTheme="minorEastAsia"/>
          <w:lang w:eastAsia="en-US"/>
        </w:rPr>
        <w:t xml:space="preserve"> ist eine Primzahl.</w:t>
      </w: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w:r w:rsidRPr="009222D0">
        <w:rPr>
          <w:rFonts w:eastAsiaTheme="minorEastAsia"/>
          <w:lang w:eastAsia="en-US"/>
        </w:rPr>
        <w:t xml:space="preserve">Dann ist </w:t>
      </w:r>
      <m:oMath>
        <m:r>
          <w:rPr>
            <w:rFonts w:ascii="Cambria Math" w:eastAsiaTheme="minorEastAsia" w:hAnsi="Cambria Math"/>
            <w:lang w:eastAsia="en-US"/>
          </w:rPr>
          <m:t>N&gt;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eastAsia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m</m:t>
            </m:r>
          </m:sub>
        </m:sSub>
      </m:oMath>
      <w:r w:rsidRPr="009222D0">
        <w:rPr>
          <w:rFonts w:eastAsiaTheme="minorEastAsia"/>
          <w:lang w:eastAsia="en-US"/>
        </w:rPr>
        <w:t>.</w:t>
      </w: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w:r w:rsidRPr="009222D0">
        <w:rPr>
          <w:rFonts w:eastAsiaTheme="minorEastAsia"/>
          <w:lang w:eastAsia="en-US"/>
        </w:rPr>
        <w:t xml:space="preserve">Dies ist ein Widerspruch dazu, dass </w:t>
      </w:r>
      <m:oMath>
        <m:sSub>
          <m:sSub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HAnsi" w:hAnsi="Cambria Math"/>
                <w:lang w:eastAsia="en-US"/>
              </w:rPr>
              <m:t>p</m:t>
            </m:r>
          </m:e>
          <m:sub>
            <m:r>
              <w:rPr>
                <w:rFonts w:ascii="Cambria Math" w:eastAsiaTheme="minorHAnsi" w:hAnsi="Cambria Math"/>
                <w:lang w:eastAsia="en-US"/>
              </w:rPr>
              <m:t>m</m:t>
            </m:r>
          </m:sub>
        </m:sSub>
      </m:oMath>
      <w:r w:rsidRPr="009222D0">
        <w:rPr>
          <w:rFonts w:eastAsiaTheme="minorEastAsia"/>
          <w:lang w:eastAsia="en-US"/>
        </w:rPr>
        <w:t xml:space="preserve"> die größte Primzahl ist.</w:t>
      </w: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w:r w:rsidRPr="009222D0">
        <w:rPr>
          <w:rFonts w:eastAsiaTheme="minorEastAsia"/>
          <w:lang w:eastAsia="en-US"/>
        </w:rPr>
        <w:t>Also war unsere Annahme in diesem Fall falsch.</w:t>
      </w: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w:r w:rsidRPr="009222D0">
        <w:rPr>
          <w:rFonts w:eastAsiaTheme="minorEastAsia"/>
          <w:lang w:eastAsia="en-US"/>
        </w:rPr>
        <w:t>Zweiter Fall:</w:t>
      </w: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m:oMath>
        <m:r>
          <w:rPr>
            <w:rFonts w:ascii="Cambria Math" w:eastAsiaTheme="minorEastAsia" w:hAnsi="Cambria Math"/>
            <w:lang w:eastAsia="en-US"/>
          </w:rPr>
          <m:t>N</m:t>
        </m:r>
      </m:oMath>
      <w:r w:rsidRPr="009222D0">
        <w:rPr>
          <w:rFonts w:eastAsiaTheme="minorEastAsia"/>
          <w:lang w:eastAsia="en-US"/>
        </w:rPr>
        <w:t xml:space="preserve"> ist keine Primzahl, daher kann </w:t>
      </w:r>
      <m:oMath>
        <m:r>
          <w:rPr>
            <w:rFonts w:ascii="Cambria Math" w:eastAsiaTheme="minorEastAsia" w:hAnsi="Cambria Math"/>
            <w:lang w:eastAsia="en-US"/>
          </w:rPr>
          <m:t>N</m:t>
        </m:r>
      </m:oMath>
      <w:r w:rsidRPr="009222D0">
        <w:rPr>
          <w:rFonts w:eastAsiaTheme="minorEastAsia"/>
          <w:lang w:eastAsia="en-US"/>
        </w:rPr>
        <w:t xml:space="preserve"> in Primfaktoren zerlegt werden.</w:t>
      </w: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</w:p>
    <w:p w:rsidR="009222D0" w:rsidRPr="009222D0" w:rsidRDefault="009222D0" w:rsidP="00C9320F">
      <w:pPr>
        <w:pStyle w:val="LSStandardtext"/>
        <w:rPr>
          <w:rFonts w:eastAsiaTheme="minorEastAsia"/>
          <w:lang w:eastAsia="en-US"/>
        </w:rPr>
      </w:pPr>
      <w:r w:rsidRPr="009222D0">
        <w:rPr>
          <w:rFonts w:eastAsiaTheme="minorEastAsia"/>
          <w:lang w:eastAsia="en-US"/>
        </w:rPr>
        <w:t xml:space="preserve">Dann muss </w:t>
      </w:r>
      <m:oMath>
        <m:r>
          <w:rPr>
            <w:rFonts w:ascii="Cambria Math" w:eastAsiaTheme="minorEastAsia" w:hAnsi="Cambria Math"/>
            <w:lang w:eastAsia="en-US"/>
          </w:rPr>
          <m:t>N</m:t>
        </m:r>
      </m:oMath>
      <w:r w:rsidRPr="009222D0">
        <w:rPr>
          <w:rFonts w:eastAsiaTheme="minorEastAsia"/>
          <w:lang w:eastAsia="en-US"/>
        </w:rPr>
        <w:t xml:space="preserve"> durch eine Primzahl teilbar sein.</w:t>
      </w:r>
    </w:p>
    <w:p w:rsidR="004F45BF" w:rsidRPr="006B01E4" w:rsidRDefault="004F45BF" w:rsidP="00C9320F">
      <w:pPr>
        <w:pStyle w:val="LSStandardtext"/>
      </w:pPr>
    </w:p>
    <w:sectPr w:rsidR="004F45BF" w:rsidRPr="006B01E4" w:rsidSect="003D38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96A" w:rsidRDefault="00BE396A">
      <w:r>
        <w:separator/>
      </w:r>
    </w:p>
  </w:endnote>
  <w:endnote w:type="continuationSeparator" w:id="0">
    <w:p w:rsidR="00BE396A" w:rsidRDefault="00BE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4F45BF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18031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6555E" w:rsidRDefault="0046555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5E" w:rsidRDefault="004655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96A" w:rsidRDefault="00BE396A">
      <w:r>
        <w:separator/>
      </w:r>
    </w:p>
  </w:footnote>
  <w:footnote w:type="continuationSeparator" w:id="0">
    <w:p w:rsidR="00BE396A" w:rsidRDefault="00BE3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5E" w:rsidRDefault="0046555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F6D" w:rsidRDefault="00915F6D" w:rsidP="00915F6D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59264" behindDoc="0" locked="0" layoutInCell="1" allowOverlap="1" wp14:anchorId="06F2FCE5" wp14:editId="32DC9E4E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915F6D" w:rsidTr="00BE78D4">
      <w:tc>
        <w:tcPr>
          <w:tcW w:w="3369" w:type="dxa"/>
        </w:tcPr>
        <w:p w:rsidR="00915F6D" w:rsidRDefault="00915F6D" w:rsidP="00BE78D4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915F6D" w:rsidRDefault="00915F6D" w:rsidP="00BE78D4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915F6D" w:rsidRDefault="00915F6D" w:rsidP="00BE78D4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 w:rsidR="003D3880">
            <w:rPr>
              <w:noProof/>
              <w:color w:val="808080"/>
              <w:szCs w:val="20"/>
            </w:rPr>
            <w:t>2.2 Indirekter Beweis Arbeitsblatt</w:t>
          </w:r>
          <w:r>
            <w:rPr>
              <w:noProof/>
              <w:color w:val="808080"/>
              <w:szCs w:val="20"/>
            </w:rPr>
            <w:fldChar w:fldCharType="end"/>
          </w:r>
        </w:p>
      </w:tc>
    </w:tr>
  </w:tbl>
  <w:p w:rsidR="004F45BF" w:rsidRDefault="004F45B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5E" w:rsidRDefault="0046555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BF87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506101"/>
    <w:multiLevelType w:val="hybridMultilevel"/>
    <w:tmpl w:val="3F0E45A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BA465F"/>
    <w:multiLevelType w:val="hybridMultilevel"/>
    <w:tmpl w:val="EA0C84B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16671BB"/>
    <w:multiLevelType w:val="hybridMultilevel"/>
    <w:tmpl w:val="B0D0C7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86201A7"/>
    <w:multiLevelType w:val="hybridMultilevel"/>
    <w:tmpl w:val="FBC2FE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383547E"/>
    <w:multiLevelType w:val="hybridMultilevel"/>
    <w:tmpl w:val="3F2CD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D673276"/>
    <w:multiLevelType w:val="hybridMultilevel"/>
    <w:tmpl w:val="2E781B8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15"/>
  </w:num>
  <w:num w:numId="3">
    <w:abstractNumId w:val="1"/>
  </w:num>
  <w:num w:numId="4">
    <w:abstractNumId w:val="14"/>
  </w:num>
  <w:num w:numId="5">
    <w:abstractNumId w:val="17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7"/>
  </w:num>
  <w:num w:numId="7">
    <w:abstractNumId w:val="6"/>
  </w:num>
  <w:num w:numId="8">
    <w:abstractNumId w:val="22"/>
  </w:num>
  <w:num w:numId="9">
    <w:abstractNumId w:val="8"/>
  </w:num>
  <w:num w:numId="10">
    <w:abstractNumId w:val="26"/>
  </w:num>
  <w:num w:numId="11">
    <w:abstractNumId w:val="11"/>
  </w:num>
  <w:num w:numId="12">
    <w:abstractNumId w:val="18"/>
  </w:num>
  <w:num w:numId="13">
    <w:abstractNumId w:val="12"/>
  </w:num>
  <w:num w:numId="14">
    <w:abstractNumId w:val="23"/>
  </w:num>
  <w:num w:numId="15">
    <w:abstractNumId w:val="20"/>
  </w:num>
  <w:num w:numId="16">
    <w:abstractNumId w:val="10"/>
  </w:num>
  <w:num w:numId="17">
    <w:abstractNumId w:val="19"/>
  </w:num>
  <w:num w:numId="18">
    <w:abstractNumId w:val="21"/>
  </w:num>
  <w:num w:numId="19">
    <w:abstractNumId w:val="4"/>
  </w:num>
  <w:num w:numId="20">
    <w:abstractNumId w:val="16"/>
  </w:num>
  <w:num w:numId="21">
    <w:abstractNumId w:val="25"/>
  </w:num>
  <w:num w:numId="22">
    <w:abstractNumId w:val="5"/>
  </w:num>
  <w:num w:numId="23">
    <w:abstractNumId w:val="7"/>
  </w:num>
  <w:num w:numId="24">
    <w:abstractNumId w:val="2"/>
  </w:num>
  <w:num w:numId="25">
    <w:abstractNumId w:val="13"/>
  </w:num>
  <w:num w:numId="26">
    <w:abstractNumId w:val="0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C7"/>
    <w:rsid w:val="00005C03"/>
    <w:rsid w:val="00007074"/>
    <w:rsid w:val="00026A4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07BC7"/>
    <w:rsid w:val="00116CF0"/>
    <w:rsid w:val="00122A06"/>
    <w:rsid w:val="00143B1A"/>
    <w:rsid w:val="00157962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4771D"/>
    <w:rsid w:val="002773E6"/>
    <w:rsid w:val="002A5DAD"/>
    <w:rsid w:val="002C3C0B"/>
    <w:rsid w:val="002E3133"/>
    <w:rsid w:val="003153BF"/>
    <w:rsid w:val="0033767E"/>
    <w:rsid w:val="00341135"/>
    <w:rsid w:val="00354A87"/>
    <w:rsid w:val="00364DEA"/>
    <w:rsid w:val="00381971"/>
    <w:rsid w:val="00385B0E"/>
    <w:rsid w:val="003A0D0B"/>
    <w:rsid w:val="003B771D"/>
    <w:rsid w:val="003D3880"/>
    <w:rsid w:val="003E4A0C"/>
    <w:rsid w:val="003E5315"/>
    <w:rsid w:val="003F6526"/>
    <w:rsid w:val="00427E5D"/>
    <w:rsid w:val="00445A2D"/>
    <w:rsid w:val="00454A8D"/>
    <w:rsid w:val="004609C0"/>
    <w:rsid w:val="0046555E"/>
    <w:rsid w:val="00473702"/>
    <w:rsid w:val="004D6055"/>
    <w:rsid w:val="004E7610"/>
    <w:rsid w:val="004F45BF"/>
    <w:rsid w:val="004F6C58"/>
    <w:rsid w:val="00507E7B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E7566"/>
    <w:rsid w:val="005E7902"/>
    <w:rsid w:val="005F6605"/>
    <w:rsid w:val="006047C3"/>
    <w:rsid w:val="0060782F"/>
    <w:rsid w:val="006202DB"/>
    <w:rsid w:val="0063100A"/>
    <w:rsid w:val="0063710D"/>
    <w:rsid w:val="00647F81"/>
    <w:rsid w:val="00650AE3"/>
    <w:rsid w:val="0065665E"/>
    <w:rsid w:val="00663B0B"/>
    <w:rsid w:val="00673B50"/>
    <w:rsid w:val="00675A8E"/>
    <w:rsid w:val="00696651"/>
    <w:rsid w:val="006B01E4"/>
    <w:rsid w:val="006C025B"/>
    <w:rsid w:val="006C53E5"/>
    <w:rsid w:val="006D439A"/>
    <w:rsid w:val="006D65B3"/>
    <w:rsid w:val="006E079C"/>
    <w:rsid w:val="006F7EA3"/>
    <w:rsid w:val="007063AB"/>
    <w:rsid w:val="00715EA6"/>
    <w:rsid w:val="00721505"/>
    <w:rsid w:val="007340A4"/>
    <w:rsid w:val="00757897"/>
    <w:rsid w:val="00780905"/>
    <w:rsid w:val="00793573"/>
    <w:rsid w:val="007A5119"/>
    <w:rsid w:val="00800B6F"/>
    <w:rsid w:val="008057BA"/>
    <w:rsid w:val="00826AF5"/>
    <w:rsid w:val="00841AB6"/>
    <w:rsid w:val="00856664"/>
    <w:rsid w:val="00880CCF"/>
    <w:rsid w:val="00894E34"/>
    <w:rsid w:val="00897B38"/>
    <w:rsid w:val="008A37C8"/>
    <w:rsid w:val="008D54DA"/>
    <w:rsid w:val="008E3020"/>
    <w:rsid w:val="008E33FF"/>
    <w:rsid w:val="00915F6D"/>
    <w:rsid w:val="00917FBE"/>
    <w:rsid w:val="009222D0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E4024"/>
    <w:rsid w:val="00A01090"/>
    <w:rsid w:val="00A069C4"/>
    <w:rsid w:val="00A2210F"/>
    <w:rsid w:val="00A41549"/>
    <w:rsid w:val="00A419C9"/>
    <w:rsid w:val="00A504F9"/>
    <w:rsid w:val="00A61C98"/>
    <w:rsid w:val="00A6202E"/>
    <w:rsid w:val="00A8278F"/>
    <w:rsid w:val="00A90681"/>
    <w:rsid w:val="00A94591"/>
    <w:rsid w:val="00AD1028"/>
    <w:rsid w:val="00AD7DC2"/>
    <w:rsid w:val="00AE1300"/>
    <w:rsid w:val="00AF751E"/>
    <w:rsid w:val="00B026A6"/>
    <w:rsid w:val="00B03CDE"/>
    <w:rsid w:val="00B05948"/>
    <w:rsid w:val="00B16C22"/>
    <w:rsid w:val="00B26F7E"/>
    <w:rsid w:val="00B36BFF"/>
    <w:rsid w:val="00B511CA"/>
    <w:rsid w:val="00B714DE"/>
    <w:rsid w:val="00BA19FD"/>
    <w:rsid w:val="00BB211E"/>
    <w:rsid w:val="00BB3F09"/>
    <w:rsid w:val="00BB5966"/>
    <w:rsid w:val="00BB61CC"/>
    <w:rsid w:val="00BC1CA8"/>
    <w:rsid w:val="00BD6CD9"/>
    <w:rsid w:val="00BD78B5"/>
    <w:rsid w:val="00BE0BD2"/>
    <w:rsid w:val="00BE396A"/>
    <w:rsid w:val="00BE7963"/>
    <w:rsid w:val="00BF4178"/>
    <w:rsid w:val="00BF5C01"/>
    <w:rsid w:val="00BF6BCB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C9320F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E04B87"/>
    <w:rsid w:val="00E46095"/>
    <w:rsid w:val="00E6612D"/>
    <w:rsid w:val="00E70711"/>
    <w:rsid w:val="00E721C9"/>
    <w:rsid w:val="00E940D0"/>
    <w:rsid w:val="00EB38DF"/>
    <w:rsid w:val="00EB4322"/>
    <w:rsid w:val="00EB5BFA"/>
    <w:rsid w:val="00EC5492"/>
    <w:rsid w:val="00ED5F2C"/>
    <w:rsid w:val="00EE1BB4"/>
    <w:rsid w:val="00EE4A21"/>
    <w:rsid w:val="00EF77B0"/>
    <w:rsid w:val="00F02534"/>
    <w:rsid w:val="00F02A0F"/>
    <w:rsid w:val="00F06927"/>
    <w:rsid w:val="00F113D4"/>
    <w:rsid w:val="00F36D7B"/>
    <w:rsid w:val="00F43BBD"/>
    <w:rsid w:val="00F850C6"/>
    <w:rsid w:val="00F865F8"/>
    <w:rsid w:val="00F9544A"/>
    <w:rsid w:val="00FA45EC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320F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EE4A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B211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222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915F6D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C9320F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C9320F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46555E"/>
    <w:rPr>
      <w:rFonts w:ascii="Arial" w:hAnsi="Arial" w:cs="Arial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320F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EE4A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B211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222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915F6D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C9320F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C9320F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46555E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ule\AppData\Local\Temp\MathePlusHR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C25208-61F7-4DC8-8A1E-8AB49E17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MathePlusHR-1</Template>
  <TotalTime>0</TotalTime>
  <Pages>2</Pages>
  <Words>270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1830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Schule</dc:creator>
  <cp:lastModifiedBy>Nacke, Pierre (LS)</cp:lastModifiedBy>
  <cp:revision>7</cp:revision>
  <cp:lastPrinted>2015-07-22T12:32:00Z</cp:lastPrinted>
  <dcterms:created xsi:type="dcterms:W3CDTF">2015-08-07T10:12:00Z</dcterms:created>
  <dcterms:modified xsi:type="dcterms:W3CDTF">2015-10-09T06:18:00Z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  <property fmtid="{D5CDD505-2E9C-101B-9397-08002B2CF9AE}" pid="3" name="MTWinEqns">
    <vt:bool>true</vt:bool>
  </property>
</Properties>
</file>