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E15FC" w14:textId="4D77B697" w:rsidR="00B433C1" w:rsidRPr="00765985" w:rsidRDefault="00B022D2" w:rsidP="00765985">
      <w:pPr>
        <w:spacing w:after="120"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65985">
        <w:rPr>
          <w:rFonts w:ascii="Arial" w:hAnsi="Arial" w:cs="Arial"/>
          <w:b/>
          <w:bCs/>
          <w:sz w:val="28"/>
          <w:szCs w:val="28"/>
        </w:rPr>
        <w:t>Diagnose von Mutationen</w:t>
      </w:r>
    </w:p>
    <w:p w14:paraId="04A48AB0" w14:textId="37692E85" w:rsidR="00B022D2" w:rsidRPr="00765985" w:rsidRDefault="00B022D2" w:rsidP="00765985">
      <w:pPr>
        <w:spacing w:line="288" w:lineRule="auto"/>
        <w:jc w:val="both"/>
        <w:rPr>
          <w:rFonts w:ascii="Arial" w:hAnsi="Arial" w:cs="Arial"/>
        </w:rPr>
      </w:pPr>
    </w:p>
    <w:p w14:paraId="18BD5CCA" w14:textId="0FAD22AA" w:rsidR="00B022D2" w:rsidRPr="005E3724" w:rsidRDefault="00B022D2" w:rsidP="00765985">
      <w:pPr>
        <w:spacing w:after="120" w:line="288" w:lineRule="auto"/>
        <w:jc w:val="both"/>
        <w:rPr>
          <w:rStyle w:val="Fett"/>
        </w:rPr>
      </w:pPr>
      <w:r w:rsidRPr="005E3724">
        <w:rPr>
          <w:rStyle w:val="Fett"/>
        </w:rPr>
        <w:t>Begründen Sie, mit welchen molekulargenetischen Verfahren die folgenden genetisch bedingten Krankheiten diagnostiziert werden können.</w:t>
      </w:r>
    </w:p>
    <w:p w14:paraId="719FE290" w14:textId="77777777" w:rsidR="00765985" w:rsidRPr="00765985" w:rsidRDefault="00765985" w:rsidP="00765985">
      <w:pPr>
        <w:spacing w:after="120" w:line="288" w:lineRule="auto"/>
        <w:jc w:val="both"/>
        <w:rPr>
          <w:rFonts w:ascii="Arial" w:hAnsi="Arial" w:cs="Arial"/>
        </w:rPr>
      </w:pPr>
    </w:p>
    <w:p w14:paraId="55DDE1EE" w14:textId="5DD73944" w:rsidR="00E75226" w:rsidRDefault="00B022D2" w:rsidP="00765985">
      <w:pPr>
        <w:spacing w:after="120" w:line="288" w:lineRule="auto"/>
        <w:ind w:left="425" w:hanging="425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1.</w:t>
      </w:r>
      <w:r w:rsidRPr="00765985">
        <w:rPr>
          <w:rFonts w:ascii="Arial" w:hAnsi="Arial" w:cs="Arial"/>
        </w:rPr>
        <w:tab/>
      </w:r>
      <w:r w:rsidR="00C42C26" w:rsidRPr="00765985">
        <w:rPr>
          <w:rFonts w:ascii="Arial" w:hAnsi="Arial" w:cs="Arial"/>
        </w:rPr>
        <w:t xml:space="preserve">Die </w:t>
      </w:r>
      <w:proofErr w:type="spellStart"/>
      <w:r w:rsidR="00ED4123" w:rsidRPr="00FA0244">
        <w:rPr>
          <w:rFonts w:ascii="Arial" w:hAnsi="Arial" w:cs="Arial"/>
        </w:rPr>
        <w:t>Myotone</w:t>
      </w:r>
      <w:proofErr w:type="spellEnd"/>
      <w:r w:rsidR="00ED4123" w:rsidRPr="00765985">
        <w:rPr>
          <w:rFonts w:ascii="Arial" w:hAnsi="Arial" w:cs="Arial"/>
        </w:rPr>
        <w:t xml:space="preserve"> Dystrophie 1 (</w:t>
      </w:r>
      <w:r w:rsidR="00ED4123" w:rsidRPr="00FA0244">
        <w:rPr>
          <w:rFonts w:ascii="Arial" w:hAnsi="Arial" w:cs="Arial"/>
        </w:rPr>
        <w:t>DM1</w:t>
      </w:r>
      <w:r w:rsidR="00C42C26" w:rsidRPr="00765985">
        <w:rPr>
          <w:rFonts w:ascii="Arial" w:hAnsi="Arial" w:cs="Arial"/>
        </w:rPr>
        <w:t>)</w:t>
      </w:r>
      <w:r w:rsidR="00ED4123" w:rsidRPr="00765985">
        <w:rPr>
          <w:rFonts w:ascii="Arial" w:hAnsi="Arial" w:cs="Arial"/>
        </w:rPr>
        <w:t xml:space="preserve"> ist eine besondere Form von Muskelschwund, die häufig erst bei Erwachsenen auftritt. Die molekulare Ursache von </w:t>
      </w:r>
      <w:r w:rsidR="00ED4123" w:rsidRPr="00FA0244">
        <w:rPr>
          <w:rFonts w:ascii="Arial" w:hAnsi="Arial" w:cs="Arial"/>
        </w:rPr>
        <w:t>DM1</w:t>
      </w:r>
      <w:r w:rsidR="00ED4123" w:rsidRPr="00765985">
        <w:rPr>
          <w:rFonts w:ascii="Arial" w:hAnsi="Arial" w:cs="Arial"/>
        </w:rPr>
        <w:t xml:space="preserve"> beruht auf Veränderungen in dem sogenannten </w:t>
      </w:r>
      <w:proofErr w:type="spellStart"/>
      <w:r w:rsidR="00ED4123" w:rsidRPr="00FA0244">
        <w:rPr>
          <w:rFonts w:ascii="Arial" w:hAnsi="Arial" w:cs="Arial"/>
        </w:rPr>
        <w:t>dmpk</w:t>
      </w:r>
      <w:proofErr w:type="spellEnd"/>
      <w:r w:rsidR="00ED4123" w:rsidRPr="00FA0244">
        <w:rPr>
          <w:rFonts w:ascii="Arial" w:hAnsi="Arial" w:cs="Arial"/>
        </w:rPr>
        <w:t>-Gen</w:t>
      </w:r>
      <w:r w:rsidR="00ED4123" w:rsidRPr="00765985">
        <w:rPr>
          <w:rFonts w:ascii="Arial" w:hAnsi="Arial" w:cs="Arial"/>
        </w:rPr>
        <w:t>. Im Abschnitt</w:t>
      </w:r>
      <w:r w:rsidR="004C585E">
        <w:rPr>
          <w:rFonts w:ascii="Arial" w:hAnsi="Arial" w:cs="Arial"/>
        </w:rPr>
        <w:t>,</w:t>
      </w:r>
      <w:r w:rsidR="00ED4123" w:rsidRPr="00765985">
        <w:rPr>
          <w:rFonts w:ascii="Arial" w:hAnsi="Arial" w:cs="Arial"/>
        </w:rPr>
        <w:t xml:space="preserve"> der stromabwärts (3´) vom Stopp-Codon liegt, hat dieses Gen CTG-Wiederholungseinheiten (</w:t>
      </w:r>
      <w:r w:rsidR="00ED4123" w:rsidRPr="00FA0244">
        <w:rPr>
          <w:rFonts w:ascii="Arial" w:hAnsi="Arial" w:cs="Arial"/>
        </w:rPr>
        <w:t>STR</w:t>
      </w:r>
      <w:r w:rsidR="00ED4123" w:rsidRPr="00765985">
        <w:rPr>
          <w:rFonts w:ascii="Arial" w:hAnsi="Arial" w:cs="Arial"/>
        </w:rPr>
        <w:t xml:space="preserve">). Das nicht mutierte Gen weist 5 bis 37 </w:t>
      </w:r>
      <w:r w:rsidR="00ED4123" w:rsidRPr="00FA0244">
        <w:rPr>
          <w:rFonts w:ascii="Arial" w:hAnsi="Arial" w:cs="Arial"/>
        </w:rPr>
        <w:t>CTG-STRs</w:t>
      </w:r>
      <w:r w:rsidR="00ED4123" w:rsidRPr="00765985">
        <w:rPr>
          <w:rFonts w:ascii="Arial" w:hAnsi="Arial" w:cs="Arial"/>
        </w:rPr>
        <w:t xml:space="preserve"> auf, während krankheitsauslösende Allele des Gens eine erhöhte Anzahl von Wiederholungseinheiten zeigen.</w:t>
      </w:r>
    </w:p>
    <w:p w14:paraId="76A0748F" w14:textId="77777777" w:rsidR="00765985" w:rsidRPr="00765985" w:rsidRDefault="00765985" w:rsidP="00765985">
      <w:pPr>
        <w:spacing w:after="120" w:line="288" w:lineRule="auto"/>
        <w:ind w:left="425" w:hanging="425"/>
        <w:jc w:val="both"/>
        <w:rPr>
          <w:rFonts w:ascii="Arial" w:hAnsi="Arial" w:cs="Arial"/>
        </w:rPr>
      </w:pPr>
    </w:p>
    <w:p w14:paraId="00662ECE" w14:textId="5AEB5A6C" w:rsidR="00C42C26" w:rsidRDefault="00E75226" w:rsidP="00765985">
      <w:pPr>
        <w:spacing w:after="120" w:line="288" w:lineRule="auto"/>
        <w:ind w:left="425" w:hanging="425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2.</w:t>
      </w:r>
      <w:r w:rsidRPr="00765985">
        <w:rPr>
          <w:rFonts w:ascii="Arial" w:hAnsi="Arial" w:cs="Arial"/>
        </w:rPr>
        <w:tab/>
      </w:r>
      <w:r w:rsidR="00500047" w:rsidRPr="00765985">
        <w:rPr>
          <w:rFonts w:ascii="Arial" w:hAnsi="Arial" w:cs="Arial"/>
        </w:rPr>
        <w:t xml:space="preserve">Die </w:t>
      </w:r>
      <w:r w:rsidR="00500047" w:rsidRPr="00FA0244">
        <w:rPr>
          <w:rFonts w:ascii="Arial" w:hAnsi="Arial" w:cs="Arial"/>
        </w:rPr>
        <w:t>Chronische</w:t>
      </w:r>
      <w:r w:rsidR="00500047" w:rsidRPr="00765985">
        <w:rPr>
          <w:rFonts w:ascii="Arial" w:hAnsi="Arial" w:cs="Arial"/>
        </w:rPr>
        <w:t xml:space="preserve"> </w:t>
      </w:r>
      <w:proofErr w:type="spellStart"/>
      <w:r w:rsidR="00500047" w:rsidRPr="00FA0244">
        <w:rPr>
          <w:rFonts w:ascii="Arial" w:hAnsi="Arial" w:cs="Arial"/>
        </w:rPr>
        <w:t>Myeloische</w:t>
      </w:r>
      <w:proofErr w:type="spellEnd"/>
      <w:r w:rsidR="00500047" w:rsidRPr="00765985">
        <w:rPr>
          <w:rFonts w:ascii="Arial" w:hAnsi="Arial" w:cs="Arial"/>
        </w:rPr>
        <w:t xml:space="preserve"> Leukämie (CML) ist eine Krebserkrankung, die durch eine Mutation in den blutbildenden Zellen des Knochenmarks hervorgerufen wird. Bei der Mutation handelt es sich um eine Translokation eines Chromosomenendstücks zwischen Chromosom 9 und Chromosom 22. Bei der Translokation wird ein Teil des </w:t>
      </w:r>
      <w:proofErr w:type="spellStart"/>
      <w:r w:rsidR="00E43AFF" w:rsidRPr="00FA0244">
        <w:rPr>
          <w:rFonts w:ascii="Arial" w:hAnsi="Arial" w:cs="Arial"/>
        </w:rPr>
        <w:t>bcr</w:t>
      </w:r>
      <w:proofErr w:type="spellEnd"/>
      <w:r w:rsidR="00500047" w:rsidRPr="00FA0244">
        <w:rPr>
          <w:rFonts w:ascii="Arial" w:hAnsi="Arial" w:cs="Arial"/>
        </w:rPr>
        <w:t>-Gens</w:t>
      </w:r>
      <w:r w:rsidR="00500047" w:rsidRPr="00765985">
        <w:rPr>
          <w:rFonts w:ascii="Arial" w:hAnsi="Arial" w:cs="Arial"/>
        </w:rPr>
        <w:t xml:space="preserve"> mit einem Teil des </w:t>
      </w:r>
      <w:proofErr w:type="spellStart"/>
      <w:r w:rsidR="00E43AFF" w:rsidRPr="00FA0244">
        <w:rPr>
          <w:rFonts w:ascii="Arial" w:hAnsi="Arial" w:cs="Arial"/>
        </w:rPr>
        <w:t>abl</w:t>
      </w:r>
      <w:proofErr w:type="spellEnd"/>
      <w:r w:rsidR="00500047" w:rsidRPr="00FA0244">
        <w:rPr>
          <w:rFonts w:ascii="Arial" w:hAnsi="Arial" w:cs="Arial"/>
        </w:rPr>
        <w:t>-Gens</w:t>
      </w:r>
      <w:r w:rsidR="00500047" w:rsidRPr="00765985">
        <w:rPr>
          <w:rFonts w:ascii="Arial" w:hAnsi="Arial" w:cs="Arial"/>
        </w:rPr>
        <w:t xml:space="preserve"> verknüpft. Das dabei entstehende </w:t>
      </w:r>
      <w:proofErr w:type="spellStart"/>
      <w:r w:rsidR="00E43AFF" w:rsidRPr="00FA0244">
        <w:rPr>
          <w:rFonts w:ascii="Arial" w:hAnsi="Arial" w:cs="Arial"/>
        </w:rPr>
        <w:t>bcr</w:t>
      </w:r>
      <w:proofErr w:type="spellEnd"/>
      <w:r w:rsidR="00500047" w:rsidRPr="00FA0244">
        <w:rPr>
          <w:rFonts w:ascii="Arial" w:hAnsi="Arial" w:cs="Arial"/>
        </w:rPr>
        <w:t>-</w:t>
      </w:r>
      <w:proofErr w:type="spellStart"/>
      <w:r w:rsidR="00E43AFF" w:rsidRPr="00FA0244">
        <w:rPr>
          <w:rFonts w:ascii="Arial" w:hAnsi="Arial" w:cs="Arial"/>
        </w:rPr>
        <w:t>abl</w:t>
      </w:r>
      <w:proofErr w:type="spellEnd"/>
      <w:r w:rsidR="00500047" w:rsidRPr="00FA0244">
        <w:rPr>
          <w:rFonts w:ascii="Arial" w:hAnsi="Arial" w:cs="Arial"/>
        </w:rPr>
        <w:t>-Fusionsgen</w:t>
      </w:r>
      <w:r w:rsidR="00500047" w:rsidRPr="00765985">
        <w:rPr>
          <w:rFonts w:ascii="Arial" w:hAnsi="Arial" w:cs="Arial"/>
        </w:rPr>
        <w:t xml:space="preserve"> codiert für ein Protein, das dafür verantwortlich ist, dass sich Zelle</w:t>
      </w:r>
      <w:r w:rsidR="00EC62E6">
        <w:rPr>
          <w:rFonts w:ascii="Arial" w:hAnsi="Arial" w:cs="Arial"/>
        </w:rPr>
        <w:t>n</w:t>
      </w:r>
      <w:r w:rsidR="00500047" w:rsidRPr="00765985">
        <w:rPr>
          <w:rFonts w:ascii="Arial" w:hAnsi="Arial" w:cs="Arial"/>
        </w:rPr>
        <w:t xml:space="preserve"> unkontrolliert vermehren und dadurch zu Tumorzellen werden.</w:t>
      </w:r>
    </w:p>
    <w:p w14:paraId="34A8009C" w14:textId="77777777" w:rsidR="00765985" w:rsidRPr="00765985" w:rsidRDefault="00765985" w:rsidP="00765985">
      <w:pPr>
        <w:spacing w:after="120" w:line="288" w:lineRule="auto"/>
        <w:ind w:left="425" w:hanging="425"/>
        <w:jc w:val="both"/>
        <w:rPr>
          <w:rFonts w:ascii="Arial" w:hAnsi="Arial" w:cs="Arial"/>
        </w:rPr>
      </w:pPr>
    </w:p>
    <w:p w14:paraId="7F97C079" w14:textId="2C2C23F6" w:rsidR="00A316B1" w:rsidRDefault="00C42C26" w:rsidP="00765985">
      <w:pPr>
        <w:spacing w:after="120" w:line="288" w:lineRule="auto"/>
        <w:ind w:left="425" w:hanging="425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3.</w:t>
      </w:r>
      <w:r w:rsidRPr="00765985">
        <w:rPr>
          <w:rFonts w:ascii="Arial" w:hAnsi="Arial" w:cs="Arial"/>
        </w:rPr>
        <w:tab/>
      </w:r>
      <w:proofErr w:type="spellStart"/>
      <w:r w:rsidR="00A316B1" w:rsidRPr="00FA0244">
        <w:rPr>
          <w:rFonts w:ascii="Arial" w:hAnsi="Arial" w:cs="Arial"/>
        </w:rPr>
        <w:t>Severe</w:t>
      </w:r>
      <w:proofErr w:type="spellEnd"/>
      <w:r w:rsidR="00A316B1" w:rsidRPr="00765985">
        <w:rPr>
          <w:rFonts w:ascii="Arial" w:hAnsi="Arial" w:cs="Arial"/>
        </w:rPr>
        <w:t xml:space="preserve"> </w:t>
      </w:r>
      <w:proofErr w:type="spellStart"/>
      <w:r w:rsidR="00A316B1" w:rsidRPr="00FA0244">
        <w:rPr>
          <w:rFonts w:ascii="Arial" w:hAnsi="Arial" w:cs="Arial"/>
        </w:rPr>
        <w:t>Combined</w:t>
      </w:r>
      <w:proofErr w:type="spellEnd"/>
      <w:r w:rsidR="00A316B1" w:rsidRPr="00765985">
        <w:rPr>
          <w:rFonts w:ascii="Arial" w:hAnsi="Arial" w:cs="Arial"/>
        </w:rPr>
        <w:t xml:space="preserve"> </w:t>
      </w:r>
      <w:proofErr w:type="spellStart"/>
      <w:r w:rsidR="00A316B1" w:rsidRPr="00FA0244">
        <w:rPr>
          <w:rFonts w:ascii="Arial" w:hAnsi="Arial" w:cs="Arial"/>
        </w:rPr>
        <w:t>Immuno</w:t>
      </w:r>
      <w:proofErr w:type="spellEnd"/>
      <w:r w:rsidR="00A316B1" w:rsidRPr="00765985">
        <w:rPr>
          <w:rFonts w:ascii="Arial" w:hAnsi="Arial" w:cs="Arial"/>
        </w:rPr>
        <w:t xml:space="preserve"> </w:t>
      </w:r>
      <w:proofErr w:type="spellStart"/>
      <w:r w:rsidR="00A316B1" w:rsidRPr="00FA0244">
        <w:rPr>
          <w:rFonts w:ascii="Arial" w:hAnsi="Arial" w:cs="Arial"/>
        </w:rPr>
        <w:t>Deficiency</w:t>
      </w:r>
      <w:proofErr w:type="spellEnd"/>
      <w:r w:rsidR="00A316B1" w:rsidRPr="00765985">
        <w:rPr>
          <w:rFonts w:ascii="Arial" w:hAnsi="Arial" w:cs="Arial"/>
        </w:rPr>
        <w:t xml:space="preserve"> (</w:t>
      </w:r>
      <w:r w:rsidR="00A316B1" w:rsidRPr="00FA0244">
        <w:rPr>
          <w:rFonts w:ascii="Arial" w:hAnsi="Arial" w:cs="Arial"/>
        </w:rPr>
        <w:t>SCID</w:t>
      </w:r>
      <w:r w:rsidR="00A316B1" w:rsidRPr="00765985">
        <w:rPr>
          <w:rFonts w:ascii="Arial" w:hAnsi="Arial" w:cs="Arial"/>
        </w:rPr>
        <w:t xml:space="preserve">) ist ein Überbegriff für verschiedene Störungen der Immunabwehr, die auf unterschiedliche Mutationen zurückzuführen sind. Eine Form von </w:t>
      </w:r>
      <w:r w:rsidR="00A316B1" w:rsidRPr="00FA0244">
        <w:rPr>
          <w:rFonts w:ascii="Arial" w:hAnsi="Arial" w:cs="Arial"/>
        </w:rPr>
        <w:t>SCID</w:t>
      </w:r>
      <w:r w:rsidR="00A316B1" w:rsidRPr="00765985">
        <w:rPr>
          <w:rFonts w:ascii="Arial" w:hAnsi="Arial" w:cs="Arial"/>
        </w:rPr>
        <w:t xml:space="preserve"> ist der sogenannte Adenosin-Desaminase-Mangel (ADA-Mangel). Bisher wurden ca. 30 verschiedene ADA-Genmutationen entdeckt.</w:t>
      </w:r>
    </w:p>
    <w:p w14:paraId="346C4C31" w14:textId="77777777" w:rsidR="00765985" w:rsidRPr="00765985" w:rsidRDefault="00765985" w:rsidP="00765985">
      <w:pPr>
        <w:spacing w:after="120" w:line="288" w:lineRule="auto"/>
        <w:ind w:left="425" w:hanging="425"/>
        <w:jc w:val="both"/>
        <w:rPr>
          <w:rFonts w:ascii="Arial" w:hAnsi="Arial" w:cs="Arial"/>
        </w:rPr>
      </w:pPr>
    </w:p>
    <w:p w14:paraId="4CAE145F" w14:textId="2577D515" w:rsidR="00DE0B76" w:rsidRDefault="00A316B1" w:rsidP="00765985">
      <w:pPr>
        <w:spacing w:after="120" w:line="288" w:lineRule="auto"/>
        <w:ind w:left="425" w:hanging="425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4.</w:t>
      </w:r>
      <w:r w:rsidRPr="00765985">
        <w:rPr>
          <w:rFonts w:ascii="Arial" w:hAnsi="Arial" w:cs="Arial"/>
        </w:rPr>
        <w:tab/>
      </w:r>
      <w:r w:rsidRPr="00FA0244">
        <w:rPr>
          <w:rFonts w:ascii="Arial" w:hAnsi="Arial" w:cs="Arial"/>
        </w:rPr>
        <w:t>NCL</w:t>
      </w:r>
      <w:r w:rsidRPr="00765985">
        <w:rPr>
          <w:rFonts w:ascii="Arial" w:hAnsi="Arial" w:cs="Arial"/>
        </w:rPr>
        <w:t xml:space="preserve"> (Neuronale </w:t>
      </w:r>
      <w:proofErr w:type="spellStart"/>
      <w:r w:rsidRPr="00FA0244">
        <w:rPr>
          <w:rFonts w:ascii="Arial" w:hAnsi="Arial" w:cs="Arial"/>
        </w:rPr>
        <w:t>Ceroid-Lipofuszinose</w:t>
      </w:r>
      <w:proofErr w:type="spellEnd"/>
      <w:r w:rsidRPr="00765985">
        <w:rPr>
          <w:rFonts w:ascii="Arial" w:hAnsi="Arial" w:cs="Arial"/>
        </w:rPr>
        <w:t xml:space="preserve">) ist eine seltene Erbkrankheit, die im frühen Kindesalter zum Absterben von Nervenzellen führt. </w:t>
      </w:r>
      <w:r w:rsidR="0055593A">
        <w:rPr>
          <w:rFonts w:ascii="Arial" w:hAnsi="Arial" w:cs="Arial"/>
        </w:rPr>
        <w:t>Aufgrund</w:t>
      </w:r>
      <w:r w:rsidRPr="00765985">
        <w:rPr>
          <w:rFonts w:ascii="Arial" w:hAnsi="Arial" w:cs="Arial"/>
        </w:rPr>
        <w:t xml:space="preserve"> unterschiedlicher molekularer Ursachen treten verschiedene Formen von </w:t>
      </w:r>
      <w:r w:rsidRPr="00FA0244">
        <w:rPr>
          <w:rFonts w:ascii="Arial" w:hAnsi="Arial" w:cs="Arial"/>
        </w:rPr>
        <w:t>NCL</w:t>
      </w:r>
      <w:r w:rsidRPr="00765985">
        <w:rPr>
          <w:rFonts w:ascii="Arial" w:hAnsi="Arial" w:cs="Arial"/>
        </w:rPr>
        <w:t xml:space="preserve"> auf. Eine Form </w:t>
      </w:r>
      <w:r w:rsidR="00DE0B76" w:rsidRPr="00765985">
        <w:rPr>
          <w:rFonts w:ascii="Arial" w:hAnsi="Arial" w:cs="Arial"/>
        </w:rPr>
        <w:t xml:space="preserve">der </w:t>
      </w:r>
      <w:r w:rsidR="00DE0B76" w:rsidRPr="00FA0244">
        <w:rPr>
          <w:rFonts w:ascii="Arial" w:hAnsi="Arial" w:cs="Arial"/>
        </w:rPr>
        <w:t>NCL</w:t>
      </w:r>
      <w:r w:rsidR="00DE0B76" w:rsidRPr="00765985">
        <w:rPr>
          <w:rFonts w:ascii="Arial" w:hAnsi="Arial" w:cs="Arial"/>
        </w:rPr>
        <w:t xml:space="preserve"> wird durch die </w:t>
      </w:r>
      <w:proofErr w:type="spellStart"/>
      <w:r w:rsidR="00DE0B76" w:rsidRPr="00765985">
        <w:rPr>
          <w:rFonts w:ascii="Arial" w:hAnsi="Arial" w:cs="Arial"/>
        </w:rPr>
        <w:t>Deletion</w:t>
      </w:r>
      <w:proofErr w:type="spellEnd"/>
      <w:r w:rsidR="00DE0B76" w:rsidRPr="00765985">
        <w:rPr>
          <w:rFonts w:ascii="Arial" w:hAnsi="Arial" w:cs="Arial"/>
        </w:rPr>
        <w:t xml:space="preserve"> eines 1 </w:t>
      </w:r>
      <w:proofErr w:type="spellStart"/>
      <w:r w:rsidR="00DE0B76" w:rsidRPr="00FA0244">
        <w:rPr>
          <w:rFonts w:ascii="Arial" w:hAnsi="Arial" w:cs="Arial"/>
        </w:rPr>
        <w:t>kb</w:t>
      </w:r>
      <w:proofErr w:type="spellEnd"/>
      <w:r w:rsidR="00DE0B76" w:rsidRPr="00765985">
        <w:rPr>
          <w:rFonts w:ascii="Arial" w:hAnsi="Arial" w:cs="Arial"/>
        </w:rPr>
        <w:t xml:space="preserve"> </w:t>
      </w:r>
      <w:r w:rsidR="005E3724">
        <w:rPr>
          <w:rFonts w:ascii="Arial" w:hAnsi="Arial" w:cs="Arial"/>
        </w:rPr>
        <w:t>langen</w:t>
      </w:r>
      <w:r w:rsidR="005E3724" w:rsidRPr="00765985">
        <w:rPr>
          <w:rFonts w:ascii="Arial" w:hAnsi="Arial" w:cs="Arial"/>
        </w:rPr>
        <w:t xml:space="preserve"> </w:t>
      </w:r>
      <w:r w:rsidR="00DE0B76" w:rsidRPr="00765985">
        <w:rPr>
          <w:rFonts w:ascii="Arial" w:hAnsi="Arial" w:cs="Arial"/>
        </w:rPr>
        <w:t>Bereichs auf dem kurzen Arm von Chromosom 16 verursacht. Das von dem betroffenen Gen codierte Protein wird dadurch funktionslos.</w:t>
      </w:r>
    </w:p>
    <w:p w14:paraId="3DFF6B20" w14:textId="77777777" w:rsidR="00765985" w:rsidRPr="00765985" w:rsidRDefault="00765985" w:rsidP="00765985">
      <w:pPr>
        <w:spacing w:after="120" w:line="288" w:lineRule="auto"/>
        <w:ind w:left="425" w:hanging="425"/>
        <w:jc w:val="both"/>
        <w:rPr>
          <w:rFonts w:ascii="Arial" w:hAnsi="Arial" w:cs="Arial"/>
        </w:rPr>
      </w:pPr>
    </w:p>
    <w:p w14:paraId="1DA44C02" w14:textId="04CFBA72" w:rsidR="00DE0B76" w:rsidRPr="00765985" w:rsidRDefault="00DE0B76" w:rsidP="00765985">
      <w:pPr>
        <w:spacing w:line="288" w:lineRule="auto"/>
        <w:ind w:left="426" w:hanging="426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5.</w:t>
      </w:r>
      <w:r w:rsidRPr="00765985">
        <w:rPr>
          <w:rFonts w:ascii="Arial" w:hAnsi="Arial" w:cs="Arial"/>
        </w:rPr>
        <w:tab/>
        <w:t>Patienten</w:t>
      </w:r>
      <w:r w:rsidR="005E3724">
        <w:rPr>
          <w:rFonts w:ascii="Arial" w:hAnsi="Arial" w:cs="Arial"/>
        </w:rPr>
        <w:t xml:space="preserve"> mit dem Turner-Syndrom</w:t>
      </w:r>
      <w:r w:rsidRPr="00765985">
        <w:rPr>
          <w:rFonts w:ascii="Arial" w:hAnsi="Arial" w:cs="Arial"/>
        </w:rPr>
        <w:t xml:space="preserve"> sind stets weiblich und fallen durch Kleinwuchs auf. Da ihre Eierstöcke meist fehlgebildet sind, sind sie in der Regel unfruchtbar. </w:t>
      </w:r>
      <w:r w:rsidR="00B45629" w:rsidRPr="00765985">
        <w:rPr>
          <w:rFonts w:ascii="Arial" w:hAnsi="Arial" w:cs="Arial"/>
        </w:rPr>
        <w:t xml:space="preserve">Ursache für das Turner-Syndrom ist die sogenannte </w:t>
      </w:r>
      <w:proofErr w:type="spellStart"/>
      <w:r w:rsidR="00B45629" w:rsidRPr="00765985">
        <w:rPr>
          <w:rFonts w:ascii="Arial" w:hAnsi="Arial" w:cs="Arial"/>
        </w:rPr>
        <w:t>Monosomie</w:t>
      </w:r>
      <w:proofErr w:type="spellEnd"/>
      <w:r w:rsidR="00B45629" w:rsidRPr="00765985">
        <w:rPr>
          <w:rFonts w:ascii="Arial" w:hAnsi="Arial" w:cs="Arial"/>
        </w:rPr>
        <w:t xml:space="preserve"> X. Die Betroffenen</w:t>
      </w:r>
      <w:r w:rsidRPr="00765985">
        <w:rPr>
          <w:rFonts w:ascii="Arial" w:hAnsi="Arial" w:cs="Arial"/>
        </w:rPr>
        <w:t xml:space="preserve"> haben in allen Körperzellen nur 45 anstatt 46 Chromosomen. Dabei fehlt ein Geschlechtschromosom (X oder Y).</w:t>
      </w:r>
    </w:p>
    <w:p w14:paraId="19B9A772" w14:textId="4C0CF5CB" w:rsidR="00440F82" w:rsidRDefault="00440F8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893F53F" w14:textId="77777777" w:rsidR="00440F82" w:rsidRPr="00765985" w:rsidRDefault="00440F82" w:rsidP="00440F82">
      <w:pPr>
        <w:spacing w:after="120" w:line="288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65985">
        <w:rPr>
          <w:rFonts w:ascii="Arial" w:hAnsi="Arial" w:cs="Arial"/>
          <w:b/>
          <w:bCs/>
          <w:sz w:val="32"/>
          <w:szCs w:val="32"/>
        </w:rPr>
        <w:lastRenderedPageBreak/>
        <w:t>Lösung: Diagnose von Mutationen</w:t>
      </w:r>
    </w:p>
    <w:p w14:paraId="5F346E7E" w14:textId="77777777" w:rsidR="00440F82" w:rsidRPr="00765985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</w:p>
    <w:p w14:paraId="797FB44F" w14:textId="78F8B30C" w:rsidR="00440F82" w:rsidRPr="00765985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1.</w:t>
      </w:r>
      <w:r w:rsidRPr="00765985">
        <w:rPr>
          <w:rFonts w:ascii="Arial" w:hAnsi="Arial" w:cs="Arial"/>
        </w:rPr>
        <w:tab/>
        <w:t xml:space="preserve">Die </w:t>
      </w:r>
      <w:proofErr w:type="spellStart"/>
      <w:r w:rsidRPr="00FA0244">
        <w:rPr>
          <w:rFonts w:ascii="Arial" w:hAnsi="Arial" w:cs="Arial"/>
        </w:rPr>
        <w:t>Myotone</w:t>
      </w:r>
      <w:proofErr w:type="spellEnd"/>
      <w:r w:rsidRPr="00765985">
        <w:rPr>
          <w:rFonts w:ascii="Arial" w:hAnsi="Arial" w:cs="Arial"/>
        </w:rPr>
        <w:t xml:space="preserve"> Dystrophie 1 kann </w:t>
      </w:r>
      <w:r w:rsidR="0055593A">
        <w:rPr>
          <w:rFonts w:ascii="Arial" w:hAnsi="Arial" w:cs="Arial"/>
        </w:rPr>
        <w:t>mithilfe</w:t>
      </w:r>
      <w:r w:rsidRPr="00765985">
        <w:rPr>
          <w:rFonts w:ascii="Arial" w:hAnsi="Arial" w:cs="Arial"/>
        </w:rPr>
        <w:t xml:space="preserve"> einer </w:t>
      </w:r>
      <w:r w:rsidRPr="00FA0244">
        <w:rPr>
          <w:rFonts w:ascii="Arial" w:hAnsi="Arial" w:cs="Arial"/>
        </w:rPr>
        <w:t>STR-Analyse</w:t>
      </w:r>
      <w:r w:rsidRPr="00765985">
        <w:rPr>
          <w:rFonts w:ascii="Arial" w:hAnsi="Arial" w:cs="Arial"/>
        </w:rPr>
        <w:t xml:space="preserve"> nachgewiesen werden. </w:t>
      </w:r>
      <w:r w:rsidR="005E3724">
        <w:rPr>
          <w:rFonts w:ascii="Arial" w:hAnsi="Arial" w:cs="Arial"/>
        </w:rPr>
        <w:t xml:space="preserve">Hierbei wird der </w:t>
      </w:r>
      <w:r w:rsidR="005E3724" w:rsidRPr="00FA0244">
        <w:rPr>
          <w:rFonts w:ascii="Arial" w:hAnsi="Arial" w:cs="Arial"/>
        </w:rPr>
        <w:t>STR-Bereich</w:t>
      </w:r>
      <w:r w:rsidR="005E3724">
        <w:rPr>
          <w:rFonts w:ascii="Arial" w:hAnsi="Arial" w:cs="Arial"/>
        </w:rPr>
        <w:t xml:space="preserve"> </w:t>
      </w:r>
      <w:r w:rsidR="0055593A">
        <w:rPr>
          <w:rFonts w:ascii="Arial" w:hAnsi="Arial" w:cs="Arial"/>
        </w:rPr>
        <w:t>mithilfe</w:t>
      </w:r>
      <w:r w:rsidR="005E3724">
        <w:rPr>
          <w:rFonts w:ascii="Arial" w:hAnsi="Arial" w:cs="Arial"/>
        </w:rPr>
        <w:t xml:space="preserve"> der </w:t>
      </w:r>
      <w:proofErr w:type="spellStart"/>
      <w:r w:rsidR="005E3724">
        <w:rPr>
          <w:rFonts w:ascii="Arial" w:hAnsi="Arial" w:cs="Arial"/>
        </w:rPr>
        <w:t>Polymerasekettenreaktion</w:t>
      </w:r>
      <w:proofErr w:type="spellEnd"/>
      <w:r w:rsidR="005E3724">
        <w:rPr>
          <w:rFonts w:ascii="Arial" w:hAnsi="Arial" w:cs="Arial"/>
        </w:rPr>
        <w:t xml:space="preserve"> (PCR) mit flankierenden </w:t>
      </w:r>
      <w:proofErr w:type="spellStart"/>
      <w:r w:rsidR="005E3724">
        <w:rPr>
          <w:rFonts w:ascii="Arial" w:hAnsi="Arial" w:cs="Arial"/>
        </w:rPr>
        <w:t>Primern</w:t>
      </w:r>
      <w:proofErr w:type="spellEnd"/>
      <w:r w:rsidR="005E3724">
        <w:rPr>
          <w:rFonts w:ascii="Arial" w:hAnsi="Arial" w:cs="Arial"/>
        </w:rPr>
        <w:t xml:space="preserve"> vervielfältigt. </w:t>
      </w:r>
      <w:r w:rsidRPr="00765985">
        <w:rPr>
          <w:rFonts w:ascii="Arial" w:hAnsi="Arial" w:cs="Arial"/>
        </w:rPr>
        <w:t xml:space="preserve">Aufgrund der unterschiedlichen Anzahl an CTG-Wiederholungseinheiten entstehen unterschiedlich große PCR-Produkte. Diese können in einer </w:t>
      </w:r>
      <w:r w:rsidRPr="00FA0244">
        <w:rPr>
          <w:rFonts w:ascii="Arial" w:hAnsi="Arial" w:cs="Arial"/>
        </w:rPr>
        <w:t>DNA-Gelelektrophorese</w:t>
      </w:r>
      <w:r w:rsidRPr="00765985">
        <w:rPr>
          <w:rFonts w:ascii="Arial" w:hAnsi="Arial" w:cs="Arial"/>
        </w:rPr>
        <w:t xml:space="preserve"> der Größe nach aufgetrennt und sichtbar gemacht werden.</w:t>
      </w:r>
    </w:p>
    <w:p w14:paraId="3335210D" w14:textId="77777777" w:rsidR="00440F82" w:rsidRPr="00765985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</w:p>
    <w:p w14:paraId="1841CE5C" w14:textId="429B56A6" w:rsidR="00440F82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2.</w:t>
      </w:r>
      <w:r w:rsidRPr="00765985">
        <w:rPr>
          <w:rFonts w:ascii="Arial" w:hAnsi="Arial" w:cs="Arial"/>
        </w:rPr>
        <w:tab/>
        <w:t xml:space="preserve">Die </w:t>
      </w:r>
      <w:r w:rsidRPr="00FA0244">
        <w:rPr>
          <w:rFonts w:ascii="Arial" w:hAnsi="Arial" w:cs="Arial"/>
        </w:rPr>
        <w:t>Chronische</w:t>
      </w:r>
      <w:r w:rsidRPr="00765985">
        <w:rPr>
          <w:rFonts w:ascii="Arial" w:hAnsi="Arial" w:cs="Arial"/>
        </w:rPr>
        <w:t xml:space="preserve"> </w:t>
      </w:r>
      <w:proofErr w:type="spellStart"/>
      <w:r w:rsidRPr="00FA0244">
        <w:rPr>
          <w:rFonts w:ascii="Arial" w:hAnsi="Arial" w:cs="Arial"/>
        </w:rPr>
        <w:t>Myeloische</w:t>
      </w:r>
      <w:proofErr w:type="spellEnd"/>
      <w:r w:rsidRPr="00765985">
        <w:rPr>
          <w:rFonts w:ascii="Arial" w:hAnsi="Arial" w:cs="Arial"/>
        </w:rPr>
        <w:t xml:space="preserve"> Leukämie kann </w:t>
      </w:r>
      <w:bookmarkStart w:id="0" w:name="_GoBack"/>
      <w:bookmarkEnd w:id="0"/>
      <w:r w:rsidR="0055593A">
        <w:rPr>
          <w:rFonts w:ascii="Arial" w:hAnsi="Arial" w:cs="Arial"/>
        </w:rPr>
        <w:t>mithilfe</w:t>
      </w:r>
      <w:r w:rsidRPr="00765985">
        <w:rPr>
          <w:rFonts w:ascii="Arial" w:hAnsi="Arial" w:cs="Arial"/>
        </w:rPr>
        <w:t xml:space="preserve"> einer FISH-Analyse diagnostiziert werden. Hierfür </w:t>
      </w:r>
      <w:proofErr w:type="gramStart"/>
      <w:r w:rsidR="004C585E">
        <w:rPr>
          <w:rFonts w:ascii="Arial" w:hAnsi="Arial" w:cs="Arial"/>
        </w:rPr>
        <w:t>müssen</w:t>
      </w:r>
      <w:proofErr w:type="gramEnd"/>
      <w:r w:rsidRPr="00765985">
        <w:rPr>
          <w:rFonts w:ascii="Arial" w:hAnsi="Arial" w:cs="Arial"/>
        </w:rPr>
        <w:t xml:space="preserve"> eine chromosomenspezifische Sonde (z. B. Sonde, die an Chrom</w:t>
      </w:r>
      <w:r w:rsidR="005F3DD3">
        <w:rPr>
          <w:rFonts w:ascii="Arial" w:hAnsi="Arial" w:cs="Arial"/>
        </w:rPr>
        <w:t>o</w:t>
      </w:r>
      <w:r w:rsidRPr="00765985">
        <w:rPr>
          <w:rFonts w:ascii="Arial" w:hAnsi="Arial" w:cs="Arial"/>
        </w:rPr>
        <w:t>som 22 bindet) und eine mutationsspezifische Sonde (z. B. Sonde, die an den translozierten Bereich des Chromosoms 9 bindet) eingesetzt werden. Liegen die beiden Fluoreszenzsignal</w:t>
      </w:r>
      <w:r w:rsidR="0078378E">
        <w:rPr>
          <w:rFonts w:ascii="Arial" w:hAnsi="Arial" w:cs="Arial"/>
        </w:rPr>
        <w:t>e</w:t>
      </w:r>
      <w:r w:rsidRPr="00765985">
        <w:rPr>
          <w:rFonts w:ascii="Arial" w:hAnsi="Arial" w:cs="Arial"/>
        </w:rPr>
        <w:t xml:space="preserve"> eng beieinander, so hat die Translokation stattgefunden.</w:t>
      </w:r>
    </w:p>
    <w:p w14:paraId="5D9DF22E" w14:textId="4A7EF399" w:rsidR="00A93AF4" w:rsidRPr="00765985" w:rsidRDefault="00A93AF4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Alternativ: Zur Diagnose der Chronische </w:t>
      </w:r>
      <w:proofErr w:type="spellStart"/>
      <w:r w:rsidRPr="00FA0244">
        <w:rPr>
          <w:rFonts w:ascii="Arial" w:hAnsi="Arial" w:cs="Arial"/>
        </w:rPr>
        <w:t>Myeloischen</w:t>
      </w:r>
      <w:proofErr w:type="spellEnd"/>
      <w:r>
        <w:rPr>
          <w:rFonts w:ascii="Arial" w:hAnsi="Arial" w:cs="Arial"/>
        </w:rPr>
        <w:t xml:space="preserve"> Leukämie kann auch ein </w:t>
      </w:r>
      <w:proofErr w:type="spellStart"/>
      <w:r>
        <w:rPr>
          <w:rFonts w:ascii="Arial" w:hAnsi="Arial" w:cs="Arial"/>
        </w:rPr>
        <w:t>Karyogramm</w:t>
      </w:r>
      <w:proofErr w:type="spellEnd"/>
      <w:r>
        <w:rPr>
          <w:rFonts w:ascii="Arial" w:hAnsi="Arial" w:cs="Arial"/>
        </w:rPr>
        <w:t xml:space="preserve"> durchgeführt werden. Anhang der Größe und der Bänderung der Chromosomen 9 und 22 kann die Translokation erkannt werden.</w:t>
      </w:r>
    </w:p>
    <w:p w14:paraId="2F9662B5" w14:textId="77777777" w:rsidR="00440F82" w:rsidRPr="00765985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</w:p>
    <w:p w14:paraId="375597F1" w14:textId="77777777" w:rsidR="00440F82" w:rsidRPr="00765985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3.</w:t>
      </w:r>
      <w:r w:rsidRPr="00765985">
        <w:rPr>
          <w:rFonts w:ascii="Arial" w:hAnsi="Arial" w:cs="Arial"/>
        </w:rPr>
        <w:tab/>
        <w:t xml:space="preserve">ADA-Mangel kann durch eine </w:t>
      </w:r>
      <w:r w:rsidRPr="00FA0244">
        <w:rPr>
          <w:rFonts w:ascii="Arial" w:hAnsi="Arial" w:cs="Arial"/>
          <w:smallCaps/>
        </w:rPr>
        <w:t>Sanger</w:t>
      </w:r>
      <w:r w:rsidRPr="00FA0244">
        <w:rPr>
          <w:rFonts w:ascii="Arial" w:hAnsi="Arial" w:cs="Arial"/>
        </w:rPr>
        <w:t>-Sequenzierung</w:t>
      </w:r>
      <w:r w:rsidRPr="00765985">
        <w:rPr>
          <w:rFonts w:ascii="Arial" w:hAnsi="Arial" w:cs="Arial"/>
        </w:rPr>
        <w:t xml:space="preserve"> nachgewiesen werden. Nach der Sequenzierung können die mutierte DNA-Sequenz und die nicht mutierte DNA-Sequenz miteinander verglichen werden. Beim Sequenzvergleich können alle möglichen ADA-Genmutationen entdeckt werden.</w:t>
      </w:r>
    </w:p>
    <w:p w14:paraId="69B2B863" w14:textId="77777777" w:rsidR="00440F82" w:rsidRPr="00765985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</w:p>
    <w:p w14:paraId="0858A4E1" w14:textId="316C8BC9" w:rsidR="00440F82" w:rsidRPr="00765985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4.</w:t>
      </w:r>
      <w:r w:rsidRPr="00765985">
        <w:rPr>
          <w:rFonts w:ascii="Arial" w:hAnsi="Arial" w:cs="Arial"/>
        </w:rPr>
        <w:tab/>
        <w:t xml:space="preserve">Die </w:t>
      </w:r>
      <w:r w:rsidRPr="00FA0244">
        <w:rPr>
          <w:rFonts w:ascii="Arial" w:hAnsi="Arial" w:cs="Arial"/>
        </w:rPr>
        <w:t>Neuronale</w:t>
      </w:r>
      <w:r w:rsidRPr="00765985">
        <w:rPr>
          <w:rFonts w:ascii="Arial" w:hAnsi="Arial" w:cs="Arial"/>
        </w:rPr>
        <w:t xml:space="preserve"> </w:t>
      </w:r>
      <w:proofErr w:type="spellStart"/>
      <w:r w:rsidRPr="00FA0244">
        <w:rPr>
          <w:rFonts w:ascii="Arial" w:hAnsi="Arial" w:cs="Arial"/>
        </w:rPr>
        <w:t>Ceroid-Lipofuszinose</w:t>
      </w:r>
      <w:proofErr w:type="spellEnd"/>
      <w:r w:rsidRPr="00765985">
        <w:rPr>
          <w:rFonts w:ascii="Arial" w:hAnsi="Arial" w:cs="Arial"/>
        </w:rPr>
        <w:t xml:space="preserve"> kann durch eine PCR mit anschließender </w:t>
      </w:r>
      <w:r w:rsidRPr="00FA0244">
        <w:rPr>
          <w:rFonts w:ascii="Arial" w:hAnsi="Arial" w:cs="Arial"/>
        </w:rPr>
        <w:t>DNA-Gelelektrophorese</w:t>
      </w:r>
      <w:r w:rsidRPr="00765985">
        <w:rPr>
          <w:rFonts w:ascii="Arial" w:hAnsi="Arial" w:cs="Arial"/>
        </w:rPr>
        <w:t xml:space="preserve"> diagnostiziert werden. Befinden sich die Bindestellen der Primer links und rechts von dem von der </w:t>
      </w:r>
      <w:proofErr w:type="spellStart"/>
      <w:r w:rsidRPr="00765985">
        <w:rPr>
          <w:rFonts w:ascii="Arial" w:hAnsi="Arial" w:cs="Arial"/>
        </w:rPr>
        <w:t>Deletion</w:t>
      </w:r>
      <w:proofErr w:type="spellEnd"/>
      <w:r w:rsidRPr="00765985">
        <w:rPr>
          <w:rFonts w:ascii="Arial" w:hAnsi="Arial" w:cs="Arial"/>
        </w:rPr>
        <w:t xml:space="preserve"> betroffenen Bereich, so ist das PCR-Produkt bei erkrankten Personen um 1 </w:t>
      </w:r>
      <w:proofErr w:type="spellStart"/>
      <w:r w:rsidRPr="00FA0244">
        <w:rPr>
          <w:rFonts w:ascii="Arial" w:hAnsi="Arial" w:cs="Arial"/>
        </w:rPr>
        <w:t>kb</w:t>
      </w:r>
      <w:proofErr w:type="spellEnd"/>
      <w:r w:rsidRPr="00765985">
        <w:rPr>
          <w:rFonts w:ascii="Arial" w:hAnsi="Arial" w:cs="Arial"/>
        </w:rPr>
        <w:t xml:space="preserve"> kürzer. Diese</w:t>
      </w:r>
      <w:r w:rsidR="0078378E">
        <w:rPr>
          <w:rFonts w:ascii="Arial" w:hAnsi="Arial" w:cs="Arial"/>
        </w:rPr>
        <w:t>r</w:t>
      </w:r>
      <w:r w:rsidRPr="00765985">
        <w:rPr>
          <w:rFonts w:ascii="Arial" w:hAnsi="Arial" w:cs="Arial"/>
        </w:rPr>
        <w:t xml:space="preserve"> Größenunterschied kann in einer </w:t>
      </w:r>
      <w:r w:rsidRPr="00FA0244">
        <w:rPr>
          <w:rFonts w:ascii="Arial" w:hAnsi="Arial" w:cs="Arial"/>
        </w:rPr>
        <w:t>DNA-Gelelektrophorese</w:t>
      </w:r>
      <w:r w:rsidRPr="00765985">
        <w:rPr>
          <w:rFonts w:ascii="Arial" w:hAnsi="Arial" w:cs="Arial"/>
        </w:rPr>
        <w:t xml:space="preserve"> sichtbar gemacht werden.</w:t>
      </w:r>
    </w:p>
    <w:p w14:paraId="4BBA0954" w14:textId="77777777" w:rsidR="00440F82" w:rsidRPr="00765985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</w:p>
    <w:p w14:paraId="3B04C132" w14:textId="5EC92A6D" w:rsidR="00440F82" w:rsidRPr="00765985" w:rsidRDefault="00440F82" w:rsidP="00440F82">
      <w:pPr>
        <w:spacing w:after="120" w:line="288" w:lineRule="auto"/>
        <w:ind w:left="426" w:hanging="426"/>
        <w:jc w:val="both"/>
        <w:rPr>
          <w:rFonts w:ascii="Arial" w:hAnsi="Arial" w:cs="Arial"/>
        </w:rPr>
      </w:pPr>
      <w:r w:rsidRPr="00765985">
        <w:rPr>
          <w:rFonts w:ascii="Arial" w:hAnsi="Arial" w:cs="Arial"/>
        </w:rPr>
        <w:t>5.</w:t>
      </w:r>
      <w:r w:rsidRPr="00765985">
        <w:rPr>
          <w:rFonts w:ascii="Arial" w:hAnsi="Arial" w:cs="Arial"/>
        </w:rPr>
        <w:tab/>
        <w:t xml:space="preserve">Das Turner-Syndrom kann durch ein </w:t>
      </w:r>
      <w:proofErr w:type="spellStart"/>
      <w:r w:rsidRPr="00765985">
        <w:rPr>
          <w:rFonts w:ascii="Arial" w:hAnsi="Arial" w:cs="Arial"/>
        </w:rPr>
        <w:t>Karyogramm</w:t>
      </w:r>
      <w:proofErr w:type="spellEnd"/>
      <w:r w:rsidRPr="00765985">
        <w:rPr>
          <w:rFonts w:ascii="Arial" w:hAnsi="Arial" w:cs="Arial"/>
        </w:rPr>
        <w:t xml:space="preserve"> oder eine FISH-Analyse nachgewiesen werden. Im </w:t>
      </w:r>
      <w:proofErr w:type="spellStart"/>
      <w:r w:rsidRPr="00765985">
        <w:rPr>
          <w:rFonts w:ascii="Arial" w:hAnsi="Arial" w:cs="Arial"/>
        </w:rPr>
        <w:t>Karyogramm</w:t>
      </w:r>
      <w:proofErr w:type="spellEnd"/>
      <w:r w:rsidRPr="00765985">
        <w:rPr>
          <w:rFonts w:ascii="Arial" w:hAnsi="Arial" w:cs="Arial"/>
        </w:rPr>
        <w:t xml:space="preserve"> erkennt man, dass nur ein X-Chromosom vorliegt. Bei der FISH-Analyse erscheint nur ein Fluoreszenz-Signal, wenn Sonden verwendet werden, die an das X- und an das Y-Chrom</w:t>
      </w:r>
      <w:r w:rsidR="00B050DD">
        <w:rPr>
          <w:rFonts w:ascii="Arial" w:hAnsi="Arial" w:cs="Arial"/>
        </w:rPr>
        <w:t>o</w:t>
      </w:r>
      <w:r w:rsidRPr="00765985">
        <w:rPr>
          <w:rFonts w:ascii="Arial" w:hAnsi="Arial" w:cs="Arial"/>
        </w:rPr>
        <w:t>som binden.</w:t>
      </w:r>
    </w:p>
    <w:p w14:paraId="283E496F" w14:textId="77777777" w:rsidR="00ED4123" w:rsidRPr="00765985" w:rsidRDefault="00ED4123" w:rsidP="00765985">
      <w:pPr>
        <w:spacing w:line="288" w:lineRule="auto"/>
        <w:jc w:val="both"/>
        <w:rPr>
          <w:rFonts w:ascii="Arial" w:hAnsi="Arial" w:cs="Arial"/>
        </w:rPr>
      </w:pPr>
    </w:p>
    <w:sectPr w:rsidR="00ED4123" w:rsidRPr="007659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A7FCA" w14:textId="77777777" w:rsidR="00C82922" w:rsidRDefault="00C82922" w:rsidP="00C66408">
      <w:pPr>
        <w:spacing w:line="240" w:lineRule="auto"/>
      </w:pPr>
      <w:r>
        <w:separator/>
      </w:r>
    </w:p>
  </w:endnote>
  <w:endnote w:type="continuationSeparator" w:id="0">
    <w:p w14:paraId="189A1A51" w14:textId="77777777" w:rsidR="00C82922" w:rsidRDefault="00C82922" w:rsidP="00C66408">
      <w:pPr>
        <w:spacing w:line="240" w:lineRule="auto"/>
      </w:pPr>
      <w:r>
        <w:continuationSeparator/>
      </w:r>
    </w:p>
  </w:endnote>
  <w:endnote w:type="continuationNotice" w:id="1">
    <w:p w14:paraId="230F0AB7" w14:textId="77777777" w:rsidR="00C82922" w:rsidRDefault="00C8292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C24CF" w14:textId="77777777" w:rsidR="0055593A" w:rsidRDefault="005559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59B78" w14:textId="77777777" w:rsidR="0055593A" w:rsidRDefault="0055593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49566" w14:textId="77777777" w:rsidR="0055593A" w:rsidRDefault="005559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6B81A" w14:textId="77777777" w:rsidR="00C82922" w:rsidRDefault="00C82922" w:rsidP="00C66408">
      <w:pPr>
        <w:spacing w:line="240" w:lineRule="auto"/>
      </w:pPr>
      <w:r>
        <w:separator/>
      </w:r>
    </w:p>
  </w:footnote>
  <w:footnote w:type="continuationSeparator" w:id="0">
    <w:p w14:paraId="70C84726" w14:textId="77777777" w:rsidR="00C82922" w:rsidRDefault="00C82922" w:rsidP="00C66408">
      <w:pPr>
        <w:spacing w:line="240" w:lineRule="auto"/>
      </w:pPr>
      <w:r>
        <w:continuationSeparator/>
      </w:r>
    </w:p>
  </w:footnote>
  <w:footnote w:type="continuationNotice" w:id="1">
    <w:p w14:paraId="15AD186A" w14:textId="77777777" w:rsidR="00C82922" w:rsidRDefault="00C8292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C048D" w14:textId="77777777" w:rsidR="0055593A" w:rsidRDefault="005559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E443F" w14:textId="576D12FF" w:rsidR="00A93AF4" w:rsidRDefault="00A93AF4" w:rsidP="00C66408">
    <w:pPr>
      <w:pStyle w:val="Kopfzeile"/>
    </w:pPr>
    <w:r>
      <w:rPr>
        <w:rFonts w:cstheme="minorHAnsi"/>
        <w:sz w:val="20"/>
        <w:u w:val="single"/>
      </w:rPr>
      <w:t xml:space="preserve">Biotechnologie </w:t>
    </w:r>
    <w:r w:rsidRPr="007018FF"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  <w:t>BPE 10.4</w:t>
    </w:r>
  </w:p>
  <w:p w14:paraId="66197DFA" w14:textId="77777777" w:rsidR="00A93AF4" w:rsidRDefault="00A93AF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5A804" w14:textId="77777777" w:rsidR="0055593A" w:rsidRDefault="005559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D2"/>
    <w:rsid w:val="001051F8"/>
    <w:rsid w:val="00355633"/>
    <w:rsid w:val="00440F82"/>
    <w:rsid w:val="004C585E"/>
    <w:rsid w:val="00500047"/>
    <w:rsid w:val="0055593A"/>
    <w:rsid w:val="005E3724"/>
    <w:rsid w:val="005F3DD3"/>
    <w:rsid w:val="00765985"/>
    <w:rsid w:val="0078378E"/>
    <w:rsid w:val="007F14CF"/>
    <w:rsid w:val="008736FD"/>
    <w:rsid w:val="00A316B1"/>
    <w:rsid w:val="00A93AF4"/>
    <w:rsid w:val="00B022D2"/>
    <w:rsid w:val="00B050DD"/>
    <w:rsid w:val="00B433C1"/>
    <w:rsid w:val="00B45629"/>
    <w:rsid w:val="00B500E9"/>
    <w:rsid w:val="00C42C26"/>
    <w:rsid w:val="00C66408"/>
    <w:rsid w:val="00C82922"/>
    <w:rsid w:val="00D54793"/>
    <w:rsid w:val="00DE0B76"/>
    <w:rsid w:val="00E43AFF"/>
    <w:rsid w:val="00E75226"/>
    <w:rsid w:val="00E977F2"/>
    <w:rsid w:val="00EC62E6"/>
    <w:rsid w:val="00ED4123"/>
    <w:rsid w:val="00FA0244"/>
    <w:rsid w:val="00FC67AB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A85502"/>
  <w15:chartTrackingRefBased/>
  <w15:docId w15:val="{76BA8D90-BA0A-4C1C-ADAB-25C3BC97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640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6408"/>
  </w:style>
  <w:style w:type="paragraph" w:styleId="Fuzeile">
    <w:name w:val="footer"/>
    <w:basedOn w:val="Standard"/>
    <w:link w:val="FuzeileZchn"/>
    <w:uiPriority w:val="99"/>
    <w:unhideWhenUsed/>
    <w:rsid w:val="00C6640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6408"/>
  </w:style>
  <w:style w:type="character" w:styleId="Kommentarzeichen">
    <w:name w:val="annotation reference"/>
    <w:basedOn w:val="Absatz-Standardschriftart"/>
    <w:uiPriority w:val="99"/>
    <w:semiHidden/>
    <w:unhideWhenUsed/>
    <w:rsid w:val="00E43AF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3AF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3AF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3AF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3AF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3AF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3AFF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8736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47752-7C10-49BC-9050-7890525C8F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4D7C22-C9B2-4063-A680-73AD78978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616B49-952E-42AB-A236-483649637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F1D97C-6E56-48BA-981D-7AC61CA5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3683</Characters>
  <Application>Microsoft Office Word</Application>
  <DocSecurity>0</DocSecurity>
  <Lines>72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Dittrich</dc:creator>
  <cp:keywords/>
  <dc:description/>
  <cp:lastModifiedBy>txtbro_ strauss</cp:lastModifiedBy>
  <cp:revision>21</cp:revision>
  <dcterms:created xsi:type="dcterms:W3CDTF">2020-07-14T10:59:00Z</dcterms:created>
  <dcterms:modified xsi:type="dcterms:W3CDTF">2021-09-28T09:09:00Z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