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EA5EE" w14:textId="77777777" w:rsidR="005B1D90" w:rsidRDefault="005B1D90" w:rsidP="0018612F">
      <w:pPr>
        <w:spacing w:line="360" w:lineRule="auto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Spezielle Regionen im Promotorbereich von Pro- und Eukaryoten</w:t>
      </w:r>
    </w:p>
    <w:p w14:paraId="268EA5EF" w14:textId="77777777" w:rsidR="005B1D90" w:rsidRDefault="005B1D90">
      <w:pPr>
        <w:spacing w:line="360" w:lineRule="auto"/>
        <w:rPr>
          <w:rFonts w:ascii="Verdana" w:hAnsi="Verdana"/>
          <w:b/>
          <w:sz w:val="24"/>
        </w:rPr>
      </w:pPr>
    </w:p>
    <w:p w14:paraId="268EA5F0" w14:textId="77777777" w:rsidR="005B1D90" w:rsidRDefault="005B1D90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Die Transkription beginnt in der Nähe von Promotorstellen</w:t>
      </w:r>
    </w:p>
    <w:p w14:paraId="268EA5F1" w14:textId="77777777" w:rsidR="005B1D90" w:rsidRDefault="005B1D90">
      <w:pPr>
        <w:spacing w:line="360" w:lineRule="auto"/>
        <w:rPr>
          <w:rFonts w:ascii="Verdana" w:hAnsi="Verdana"/>
          <w:sz w:val="24"/>
        </w:rPr>
      </w:pPr>
    </w:p>
    <w:p w14:paraId="268EA5F2" w14:textId="6801BDCD" w:rsidR="005B1D90" w:rsidRDefault="005B1D90" w:rsidP="0018612F">
      <w:pPr>
        <w:spacing w:line="360" w:lineRule="auto"/>
        <w:jc w:val="both"/>
        <w:rPr>
          <w:rFonts w:ascii="Verdana" w:hAnsi="Verdana"/>
        </w:rPr>
      </w:pPr>
      <w:r w:rsidRPr="002447BC">
        <w:rPr>
          <w:rFonts w:ascii="Verdana" w:hAnsi="Verdana"/>
          <w:noProof w:val="0"/>
          <w:szCs w:val="24"/>
        </w:rPr>
        <w:t>DNA</w:t>
      </w:r>
      <w:r w:rsidRPr="002447BC">
        <w:rPr>
          <w:rFonts w:ascii="Verdana" w:hAnsi="Verdana"/>
          <w:noProof w:val="0"/>
          <w:szCs w:val="24"/>
        </w:rPr>
        <w:noBreakHyphen/>
      </w:r>
      <w:r>
        <w:rPr>
          <w:rFonts w:ascii="Verdana" w:hAnsi="Verdana"/>
        </w:rPr>
        <w:t xml:space="preserve">Matrizen enthalten Regionen, die man als </w:t>
      </w:r>
      <w:r>
        <w:rPr>
          <w:rFonts w:ascii="Verdana" w:hAnsi="Verdana"/>
          <w:i/>
        </w:rPr>
        <w:t xml:space="preserve">Promotorstellen </w:t>
      </w:r>
      <w:r>
        <w:rPr>
          <w:rFonts w:ascii="Verdana" w:hAnsi="Verdana"/>
        </w:rPr>
        <w:t>bezeichnet. Diese binden spezifisch die RNA</w:t>
      </w:r>
      <w:r>
        <w:rPr>
          <w:rFonts w:ascii="Verdana" w:hAnsi="Verdana"/>
        </w:rPr>
        <w:noBreakHyphen/>
        <w:t xml:space="preserve">Polymerase und bestimmen, wo die Transkription beginnt. In </w:t>
      </w:r>
      <w:r>
        <w:rPr>
          <w:rFonts w:ascii="Verdana" w:hAnsi="Verdana"/>
          <w:i/>
        </w:rPr>
        <w:t xml:space="preserve">Bakterien </w:t>
      </w:r>
      <w:r>
        <w:rPr>
          <w:rFonts w:ascii="Verdana" w:hAnsi="Verdana"/>
        </w:rPr>
        <w:t>sind zwei Sequenzen auf der 5’</w:t>
      </w:r>
      <w:r>
        <w:rPr>
          <w:rFonts w:ascii="Verdana" w:hAnsi="Verdana"/>
        </w:rPr>
        <w:noBreakHyphen/>
        <w:t xml:space="preserve">Seite des ersten transkribierten Nucleotids (stromaufwärts, </w:t>
      </w:r>
      <w:r>
        <w:rPr>
          <w:rFonts w:ascii="Verdana" w:hAnsi="Verdana"/>
          <w:i/>
        </w:rPr>
        <w:t xml:space="preserve">upstream) </w:t>
      </w:r>
      <w:r>
        <w:rPr>
          <w:rFonts w:ascii="Verdana" w:hAnsi="Verdana"/>
        </w:rPr>
        <w:t>von Bedeutung (siehe Abb.</w:t>
      </w:r>
      <w:r w:rsidR="00DB2748">
        <w:rPr>
          <w:rFonts w:ascii="Verdana" w:hAnsi="Verdana"/>
        </w:rPr>
        <w:t>1</w:t>
      </w:r>
      <w:r>
        <w:rPr>
          <w:rFonts w:ascii="Verdana" w:hAnsi="Verdana"/>
        </w:rPr>
        <w:t xml:space="preserve">). Die sogenannte </w:t>
      </w:r>
      <w:r w:rsidRPr="00342B73">
        <w:rPr>
          <w:rFonts w:ascii="Verdana" w:hAnsi="Verdana"/>
          <w:b/>
          <w:i/>
        </w:rPr>
        <w:t>Pribnow</w:t>
      </w:r>
      <w:r w:rsidRPr="00342B73">
        <w:rPr>
          <w:rFonts w:ascii="Verdana" w:hAnsi="Verdana"/>
          <w:b/>
          <w:i/>
        </w:rPr>
        <w:noBreakHyphen/>
        <w:t>Box</w:t>
      </w:r>
      <w:r>
        <w:rPr>
          <w:rFonts w:ascii="Verdana" w:hAnsi="Verdana"/>
          <w:i/>
        </w:rPr>
        <w:t xml:space="preserve"> </w:t>
      </w:r>
      <w:r>
        <w:rPr>
          <w:rFonts w:ascii="Verdana" w:hAnsi="Verdana"/>
        </w:rPr>
        <w:t xml:space="preserve">besitzt die </w:t>
      </w:r>
      <w:r w:rsidR="00342B73">
        <w:rPr>
          <w:rFonts w:ascii="Verdana" w:hAnsi="Verdana"/>
        </w:rPr>
        <w:t>K</w:t>
      </w:r>
      <w:r>
        <w:rPr>
          <w:rFonts w:ascii="Verdana" w:hAnsi="Verdana"/>
        </w:rPr>
        <w:t>onsensus</w:t>
      </w:r>
      <w:r>
        <w:rPr>
          <w:rFonts w:ascii="Verdana" w:hAnsi="Verdana"/>
        </w:rPr>
        <w:noBreakHyphen/>
        <w:t xml:space="preserve">Sequenz </w:t>
      </w:r>
      <w:r w:rsidRPr="00342B73">
        <w:rPr>
          <w:rFonts w:ascii="Verdana" w:hAnsi="Verdana"/>
          <w:b/>
        </w:rPr>
        <w:t>TATAAT</w:t>
      </w:r>
      <w:r>
        <w:rPr>
          <w:rFonts w:ascii="Verdana" w:hAnsi="Verdana"/>
        </w:rPr>
        <w:t xml:space="preserve"> und liegt bei </w:t>
      </w:r>
      <w:r>
        <w:rPr>
          <w:rFonts w:ascii="Verdana" w:hAnsi="Verdana"/>
          <w:b/>
        </w:rPr>
        <w:noBreakHyphen/>
        <w:t>10</w:t>
      </w:r>
      <w:r>
        <w:rPr>
          <w:rFonts w:ascii="Verdana" w:hAnsi="Verdana"/>
        </w:rPr>
        <w:t xml:space="preserve"> (das heißt, zehn Nucleotide von der 5’</w:t>
      </w:r>
      <w:r>
        <w:rPr>
          <w:rFonts w:ascii="Verdana" w:hAnsi="Verdana"/>
        </w:rPr>
        <w:noBreakHyphen/>
        <w:t xml:space="preserve">Seite des ersten transkribierten Nucleotids entfernt, das man mit </w:t>
      </w:r>
      <w:r>
        <w:rPr>
          <w:rFonts w:ascii="Verdana" w:hAnsi="Verdana"/>
          <w:b/>
        </w:rPr>
        <w:t>+1</w:t>
      </w:r>
      <w:r>
        <w:rPr>
          <w:rFonts w:ascii="Verdana" w:hAnsi="Verdana"/>
        </w:rPr>
        <w:t xml:space="preserve"> bezeichnet). Die zweite Sequenz wird als </w:t>
      </w:r>
      <w:r>
        <w:rPr>
          <w:rFonts w:ascii="Verdana" w:hAnsi="Verdana"/>
          <w:b/>
          <w:i/>
        </w:rPr>
        <w:noBreakHyphen/>
        <w:t>35</w:t>
      </w:r>
      <w:r w:rsidRPr="00342B73">
        <w:rPr>
          <w:rFonts w:ascii="Verdana" w:hAnsi="Verdana"/>
          <w:b/>
          <w:i/>
        </w:rPr>
        <w:noBreakHyphen/>
        <w:t>Region</w:t>
      </w:r>
      <w:r>
        <w:rPr>
          <w:rFonts w:ascii="Verdana" w:hAnsi="Verdana"/>
          <w:i/>
        </w:rPr>
        <w:t xml:space="preserve"> </w:t>
      </w:r>
      <w:r>
        <w:rPr>
          <w:rFonts w:ascii="Verdana" w:hAnsi="Verdana"/>
        </w:rPr>
        <w:t>b</w:t>
      </w:r>
      <w:r w:rsidR="00FC7E8F">
        <w:rPr>
          <w:rFonts w:ascii="Verdana" w:hAnsi="Verdana"/>
        </w:rPr>
        <w:t>e</w:t>
      </w:r>
      <w:r>
        <w:rPr>
          <w:rFonts w:ascii="Verdana" w:hAnsi="Verdana"/>
        </w:rPr>
        <w:t xml:space="preserve">zeichnet und besitzt die </w:t>
      </w:r>
      <w:r w:rsidR="00342B73">
        <w:rPr>
          <w:rFonts w:ascii="Verdana" w:hAnsi="Verdana"/>
        </w:rPr>
        <w:t>K</w:t>
      </w:r>
      <w:r>
        <w:rPr>
          <w:rFonts w:ascii="Verdana" w:hAnsi="Verdana"/>
        </w:rPr>
        <w:t>onsensus</w:t>
      </w:r>
      <w:r>
        <w:rPr>
          <w:rFonts w:ascii="Verdana" w:hAnsi="Verdana"/>
        </w:rPr>
        <w:noBreakHyphen/>
        <w:t xml:space="preserve">Sequenz </w:t>
      </w:r>
      <w:r w:rsidRPr="00342B73">
        <w:rPr>
          <w:rFonts w:ascii="Verdana" w:hAnsi="Verdana"/>
          <w:b/>
        </w:rPr>
        <w:t>TTGACA</w:t>
      </w:r>
      <w:r>
        <w:rPr>
          <w:rFonts w:ascii="Verdana" w:hAnsi="Verdana"/>
        </w:rPr>
        <w:t>. Das erste transkribierte Nucleotid ist gewöhnlich ein Purin.</w:t>
      </w:r>
    </w:p>
    <w:p w14:paraId="268EA5F3" w14:textId="39C85BBE" w:rsidR="005B1D90" w:rsidRDefault="005B1D90" w:rsidP="00FC7E8F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Proteincodierende </w:t>
      </w:r>
      <w:r>
        <w:rPr>
          <w:rFonts w:ascii="Verdana" w:hAnsi="Verdana"/>
          <w:i/>
        </w:rPr>
        <w:t xml:space="preserve">Eukaryotengene </w:t>
      </w:r>
      <w:r>
        <w:rPr>
          <w:rFonts w:ascii="Verdana" w:hAnsi="Verdana"/>
        </w:rPr>
        <w:t xml:space="preserve">besitzen Promotorstellen mit einer </w:t>
      </w:r>
      <w:r w:rsidRPr="00342B73">
        <w:rPr>
          <w:rFonts w:ascii="Verdana" w:hAnsi="Verdana"/>
          <w:b/>
        </w:rPr>
        <w:t>TATAAA</w:t>
      </w:r>
      <w:r>
        <w:rPr>
          <w:rFonts w:ascii="Verdana" w:hAnsi="Verdana"/>
        </w:rPr>
        <w:t>-</w:t>
      </w:r>
      <w:r>
        <w:rPr>
          <w:rFonts w:ascii="Verdana" w:hAnsi="Verdana"/>
        </w:rPr>
        <w:softHyphen/>
        <w:t xml:space="preserve">Konsensussequenz, die bei ungefähr </w:t>
      </w:r>
      <w:r>
        <w:rPr>
          <w:rFonts w:ascii="Verdana" w:hAnsi="Verdana"/>
          <w:b/>
        </w:rPr>
        <w:noBreakHyphen/>
        <w:t>25</w:t>
      </w:r>
      <w:r>
        <w:rPr>
          <w:rFonts w:ascii="Verdana" w:hAnsi="Verdana"/>
        </w:rPr>
        <w:t xml:space="preserve"> liegt. Diese </w:t>
      </w:r>
      <w:r w:rsidRPr="00342B73">
        <w:rPr>
          <w:rFonts w:ascii="Verdana" w:hAnsi="Verdana"/>
          <w:b/>
          <w:i/>
        </w:rPr>
        <w:t>TATA</w:t>
      </w:r>
      <w:r w:rsidRPr="00342B73">
        <w:rPr>
          <w:rFonts w:ascii="Verdana" w:hAnsi="Verdana"/>
          <w:b/>
          <w:i/>
        </w:rPr>
        <w:noBreakHyphen/>
        <w:t>Box</w:t>
      </w:r>
      <w:r>
        <w:rPr>
          <w:rFonts w:ascii="Verdana" w:hAnsi="Verdana"/>
          <w:i/>
        </w:rPr>
        <w:t xml:space="preserve"> </w:t>
      </w:r>
      <w:r>
        <w:rPr>
          <w:rFonts w:ascii="Verdana" w:hAnsi="Verdana"/>
        </w:rPr>
        <w:t xml:space="preserve">(oder auch </w:t>
      </w:r>
      <w:r w:rsidRPr="00342B73">
        <w:rPr>
          <w:rFonts w:ascii="Verdana" w:hAnsi="Verdana"/>
          <w:b/>
          <w:i/>
        </w:rPr>
        <w:t>Hogness</w:t>
      </w:r>
      <w:r w:rsidRPr="00342B73">
        <w:rPr>
          <w:rFonts w:ascii="Verdana" w:hAnsi="Verdana"/>
          <w:b/>
          <w:i/>
        </w:rPr>
        <w:noBreakHyphen/>
        <w:t>Box</w:t>
      </w:r>
      <w:r>
        <w:rPr>
          <w:rFonts w:ascii="Verdana" w:hAnsi="Verdana"/>
          <w:i/>
        </w:rPr>
        <w:t xml:space="preserve">) </w:t>
      </w:r>
      <w:r>
        <w:rPr>
          <w:rFonts w:ascii="Verdana" w:hAnsi="Verdana"/>
        </w:rPr>
        <w:t>ist der prokaryotischen Pribnow</w:t>
      </w:r>
      <w:r>
        <w:rPr>
          <w:rFonts w:ascii="Verdana" w:hAnsi="Verdana"/>
        </w:rPr>
        <w:noBreakHyphen/>
        <w:t xml:space="preserve">Box ähnlich, liegt aber weiter stromaufwärts. Viele eukaryotische Promotoren besitzen noch eine </w:t>
      </w:r>
      <w:r w:rsidRPr="00342B73">
        <w:rPr>
          <w:rFonts w:ascii="Verdana" w:hAnsi="Verdana"/>
          <w:b/>
        </w:rPr>
        <w:t>CAAT</w:t>
      </w:r>
      <w:r>
        <w:rPr>
          <w:rFonts w:ascii="Verdana" w:hAnsi="Verdana"/>
        </w:rPr>
        <w:t xml:space="preserve">-Konsensussequenz bei ungefähr </w:t>
      </w:r>
      <w:r>
        <w:rPr>
          <w:rFonts w:ascii="Verdana" w:hAnsi="Verdana"/>
          <w:b/>
        </w:rPr>
        <w:noBreakHyphen/>
        <w:t>75</w:t>
      </w:r>
      <w:r>
        <w:rPr>
          <w:rFonts w:ascii="Verdana" w:hAnsi="Verdana"/>
        </w:rPr>
        <w:t xml:space="preserve">. Die Transkription eukaryotischer Gene wird ferner von sogenannten </w:t>
      </w:r>
      <w:r>
        <w:rPr>
          <w:rFonts w:ascii="Verdana" w:hAnsi="Verdana"/>
          <w:i/>
        </w:rPr>
        <w:t>Enhancer</w:t>
      </w:r>
      <w:r>
        <w:rPr>
          <w:rFonts w:ascii="Verdana" w:hAnsi="Verdana"/>
          <w:i/>
        </w:rPr>
        <w:noBreakHyphen/>
        <w:t xml:space="preserve">Sequenzen </w:t>
      </w:r>
      <w:r>
        <w:rPr>
          <w:rFonts w:ascii="Verdana" w:hAnsi="Verdana"/>
        </w:rPr>
        <w:t>(regulatorischen Sequenzen mit v</w:t>
      </w:r>
      <w:r w:rsidR="00FC7E8F">
        <w:rPr>
          <w:rFonts w:ascii="Verdana" w:hAnsi="Verdana"/>
        </w:rPr>
        <w:t>erstärkender Wirkung) beeinfluss</w:t>
      </w:r>
      <w:r>
        <w:rPr>
          <w:rFonts w:ascii="Verdana" w:hAnsi="Verdana"/>
        </w:rPr>
        <w:t>t; diese können vom Startpunkt der Transkription ziemlich weit entfernt sein (bis zu mehreren Kilobasen) und liegen entweder auf dessen 5’</w:t>
      </w:r>
      <w:r>
        <w:rPr>
          <w:rFonts w:ascii="Verdana" w:hAnsi="Verdana"/>
        </w:rPr>
        <w:noBreakHyphen/>
        <w:t xml:space="preserve"> oder 3’</w:t>
      </w:r>
      <w:r>
        <w:rPr>
          <w:rFonts w:ascii="Verdana" w:hAnsi="Verdana"/>
        </w:rPr>
        <w:noBreakHyphen/>
        <w:t>Seite.</w:t>
      </w:r>
    </w:p>
    <w:p w14:paraId="268EA5F4" w14:textId="77777777" w:rsidR="0081114A" w:rsidRDefault="0081114A" w:rsidP="0081114A">
      <w:pPr>
        <w:pStyle w:val="Textkrper"/>
        <w:spacing w:line="360" w:lineRule="auto"/>
        <w:rPr>
          <w:noProof/>
        </w:rPr>
      </w:pPr>
    </w:p>
    <w:p w14:paraId="268EA5F5" w14:textId="77777777" w:rsidR="00940484" w:rsidRPr="0081114A" w:rsidRDefault="00FC7E8F" w:rsidP="0018612F">
      <w:pPr>
        <w:spacing w:line="360" w:lineRule="auto"/>
        <w:jc w:val="center"/>
        <w:rPr>
          <w:rFonts w:ascii="Verdana" w:hAnsi="Verdana"/>
        </w:rPr>
      </w:pPr>
      <w:r>
        <w:rPr>
          <w:rFonts w:ascii="Verdana" w:hAnsi="Verdana"/>
        </w:rPr>
        <w:pict w14:anchorId="268EA6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1" o:spid="_x0000_i1025" type="#_x0000_t75" style="width:433.05pt;height:242.85pt;visibility:visible">
            <v:imagedata r:id="rId10" o:title=""/>
          </v:shape>
        </w:pict>
      </w:r>
    </w:p>
    <w:p w14:paraId="268EA5F6" w14:textId="75F6C4D5" w:rsidR="0081114A" w:rsidRDefault="00FC7E8F" w:rsidP="0081114A">
      <w:pPr>
        <w:pStyle w:val="Textkrper"/>
        <w:spacing w:line="360" w:lineRule="auto"/>
        <w:rPr>
          <w:noProof/>
        </w:rPr>
      </w:pPr>
      <w:r>
        <w:rPr>
          <w:noProof/>
        </w:rPr>
        <w:t>Abb.1</w:t>
      </w:r>
      <w:r>
        <w:rPr>
          <w:noProof/>
        </w:rPr>
        <w:tab/>
      </w:r>
      <w:r w:rsidR="0081114A">
        <w:rPr>
          <w:noProof/>
        </w:rPr>
        <w:t>Promotorstellen für die Transkription in Prokaryoten und Eukaryoten</w:t>
      </w:r>
      <w:r>
        <w:rPr>
          <w:noProof/>
        </w:rPr>
        <w:t>, a</w:t>
      </w:r>
      <w:r w:rsidR="0081114A">
        <w:rPr>
          <w:noProof/>
        </w:rPr>
        <w:t>ngegeben sind jeweils die Konsensussequenzen der Minus-35-Region, Der Pribnow-Box, der CAAT-Box und der TATA-Box. Die Position des Transkriptionsstarts ist durch +1 markiert.</w:t>
      </w:r>
    </w:p>
    <w:p w14:paraId="268EA5F7" w14:textId="77777777" w:rsidR="0081114A" w:rsidRDefault="00330494" w:rsidP="00940484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br w:type="page"/>
      </w:r>
      <w:r>
        <w:rPr>
          <w:rFonts w:ascii="Verdana" w:hAnsi="Verdana"/>
          <w:b/>
          <w:sz w:val="22"/>
          <w:szCs w:val="22"/>
        </w:rPr>
        <w:lastRenderedPageBreak/>
        <w:t>Arbeitsblatt</w:t>
      </w:r>
    </w:p>
    <w:p w14:paraId="268EA5F8" w14:textId="77777777" w:rsidR="0081114A" w:rsidRDefault="0081114A" w:rsidP="00940484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</w:p>
    <w:p w14:paraId="268EA5F9" w14:textId="77777777" w:rsidR="00940484" w:rsidRPr="00342B73" w:rsidRDefault="00940484" w:rsidP="00940484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  <w:r w:rsidRPr="00342B73">
        <w:rPr>
          <w:rFonts w:ascii="Verdana" w:hAnsi="Verdana"/>
          <w:b/>
          <w:sz w:val="22"/>
          <w:szCs w:val="22"/>
        </w:rPr>
        <w:t xml:space="preserve">Suche </w:t>
      </w:r>
      <w:r>
        <w:rPr>
          <w:rFonts w:ascii="Verdana" w:hAnsi="Verdana"/>
          <w:b/>
          <w:sz w:val="22"/>
          <w:szCs w:val="22"/>
        </w:rPr>
        <w:t xml:space="preserve">und markiere </w:t>
      </w:r>
      <w:r w:rsidRPr="00342B73">
        <w:rPr>
          <w:rFonts w:ascii="Verdana" w:hAnsi="Verdana"/>
          <w:b/>
          <w:sz w:val="22"/>
          <w:szCs w:val="22"/>
        </w:rPr>
        <w:t>die entscheidenden Promotorstellen in folgenden Promotorsequenzen:</w:t>
      </w:r>
    </w:p>
    <w:p w14:paraId="268EA5FA" w14:textId="77777777" w:rsidR="00940484" w:rsidRDefault="00940484" w:rsidP="00B328EF">
      <w:pPr>
        <w:spacing w:line="360" w:lineRule="auto"/>
        <w:jc w:val="both"/>
        <w:rPr>
          <w:rFonts w:ascii="Verdana" w:hAnsi="Verdana"/>
        </w:rPr>
      </w:pPr>
    </w:p>
    <w:p w14:paraId="268EA5FB" w14:textId="77777777" w:rsidR="00330494" w:rsidRDefault="00330494" w:rsidP="00B328EF">
      <w:pPr>
        <w:spacing w:line="360" w:lineRule="auto"/>
        <w:jc w:val="both"/>
        <w:rPr>
          <w:rFonts w:ascii="Verdana" w:hAnsi="Verdana"/>
        </w:rPr>
      </w:pPr>
    </w:p>
    <w:p w14:paraId="268EA5FC" w14:textId="77777777" w:rsidR="00330494" w:rsidRDefault="00330494" w:rsidP="00B328EF">
      <w:pPr>
        <w:spacing w:line="360" w:lineRule="auto"/>
        <w:jc w:val="both"/>
        <w:rPr>
          <w:rFonts w:ascii="Verdana" w:hAnsi="Verdana"/>
        </w:rPr>
      </w:pPr>
    </w:p>
    <w:p w14:paraId="268EA5FD" w14:textId="77777777" w:rsidR="00940484" w:rsidRPr="00342B73" w:rsidRDefault="004F52CF" w:rsidP="00940484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Eu</w:t>
      </w:r>
      <w:r w:rsidR="00940484" w:rsidRPr="00342B73">
        <w:rPr>
          <w:rFonts w:ascii="Verdana" w:hAnsi="Verdana"/>
          <w:b/>
        </w:rPr>
        <w:t>karyotische Promotorsequenz:</w:t>
      </w:r>
    </w:p>
    <w:p w14:paraId="268EA5FE" w14:textId="77777777" w:rsidR="00940484" w:rsidRDefault="00940484" w:rsidP="00940484">
      <w:pPr>
        <w:spacing w:line="360" w:lineRule="auto"/>
        <w:jc w:val="both"/>
        <w:rPr>
          <w:rFonts w:ascii="Verdana" w:hAnsi="Verdana"/>
        </w:rPr>
      </w:pPr>
    </w:p>
    <w:p w14:paraId="268EA5FF" w14:textId="77777777" w:rsidR="00940484" w:rsidRDefault="00940484" w:rsidP="00940484">
      <w:pPr>
        <w:spacing w:line="360" w:lineRule="auto"/>
        <w:jc w:val="both"/>
        <w:rPr>
          <w:rFonts w:ascii="Courier New" w:hAnsi="Courier New" w:cs="Courier New"/>
          <w:sz w:val="24"/>
          <w:szCs w:val="24"/>
        </w:rPr>
      </w:pPr>
      <w:r w:rsidRPr="00537137">
        <w:rPr>
          <w:rFonts w:ascii="Courier New" w:hAnsi="Courier New" w:cs="Courier New"/>
          <w:sz w:val="24"/>
          <w:szCs w:val="24"/>
        </w:rPr>
        <w:t>5‘</w:t>
      </w:r>
      <w:r w:rsidR="00330494">
        <w:rPr>
          <w:rFonts w:ascii="Courier New" w:hAnsi="Courier New" w:cs="Courier New"/>
          <w:sz w:val="24"/>
          <w:szCs w:val="24"/>
        </w:rPr>
        <w:t>…</w:t>
      </w:r>
      <w:r w:rsidRPr="00537137">
        <w:rPr>
          <w:rFonts w:ascii="Courier New" w:hAnsi="Courier New" w:cs="Courier New"/>
          <w:sz w:val="24"/>
          <w:szCs w:val="24"/>
        </w:rPr>
        <w:t>TGCGATGCGAGCAGATGA</w:t>
      </w:r>
      <w:r w:rsidRPr="00842502">
        <w:rPr>
          <w:rFonts w:ascii="Courier New" w:hAnsi="Courier New" w:cs="Courier New"/>
          <w:sz w:val="24"/>
          <w:szCs w:val="24"/>
        </w:rPr>
        <w:t>CCCAGATGACAGATAGGACAATCTGCAGATAGACAGATAGAGCAAGATGGAACCACAGATTAGATGATGACGACTATAGA</w:t>
      </w:r>
      <w:r w:rsidRPr="00537137">
        <w:rPr>
          <w:rFonts w:ascii="Courier New" w:hAnsi="Courier New" w:cs="Courier New"/>
          <w:sz w:val="24"/>
          <w:szCs w:val="24"/>
        </w:rPr>
        <w:t>CCAGATCAAGATGACCAGAGCT</w:t>
      </w:r>
      <w:r w:rsidRPr="00537137">
        <w:rPr>
          <w:rFonts w:ascii="Courier New" w:hAnsi="Courier New" w:cs="Courier New"/>
          <w:sz w:val="24"/>
          <w:szCs w:val="24"/>
          <w:u w:val="single"/>
        </w:rPr>
        <w:t>A</w:t>
      </w:r>
      <w:r w:rsidRPr="00537137">
        <w:rPr>
          <w:rFonts w:ascii="Courier New" w:hAnsi="Courier New" w:cs="Courier New"/>
          <w:sz w:val="24"/>
          <w:szCs w:val="24"/>
        </w:rPr>
        <w:t>GCAGATCAGCAGATAGCATGCTGAGCAGCAGTCCCCTT… 3‘</w:t>
      </w:r>
    </w:p>
    <w:p w14:paraId="268EA600" w14:textId="77777777" w:rsidR="00330494" w:rsidRPr="002F54EF" w:rsidRDefault="00330494" w:rsidP="00940484">
      <w:pPr>
        <w:spacing w:line="360" w:lineRule="auto"/>
        <w:jc w:val="both"/>
        <w:rPr>
          <w:rFonts w:ascii="Courier New" w:hAnsi="Courier New" w:cs="Courier New"/>
          <w:sz w:val="24"/>
          <w:szCs w:val="24"/>
        </w:rPr>
      </w:pPr>
    </w:p>
    <w:p w14:paraId="268EA601" w14:textId="77777777" w:rsidR="00940484" w:rsidRDefault="00940484" w:rsidP="00940484">
      <w:pPr>
        <w:spacing w:line="360" w:lineRule="auto"/>
        <w:jc w:val="both"/>
        <w:rPr>
          <w:rFonts w:ascii="Verdana" w:hAnsi="Verdana"/>
        </w:rPr>
      </w:pPr>
      <w:r w:rsidRPr="00537137">
        <w:rPr>
          <w:rFonts w:ascii="Verdana" w:hAnsi="Verdana"/>
          <w:u w:val="single"/>
        </w:rPr>
        <w:t>A</w:t>
      </w:r>
      <w:r w:rsidR="00330494">
        <w:rPr>
          <w:rFonts w:ascii="Verdana" w:hAnsi="Verdana"/>
          <w:u w:val="single"/>
        </w:rPr>
        <w:t xml:space="preserve"> </w:t>
      </w:r>
      <w:r>
        <w:rPr>
          <w:rFonts w:ascii="Verdana" w:hAnsi="Verdana"/>
        </w:rPr>
        <w:t>=+1</w:t>
      </w:r>
    </w:p>
    <w:p w14:paraId="268EA602" w14:textId="77777777" w:rsidR="00330494" w:rsidRDefault="00330494" w:rsidP="00940484">
      <w:pPr>
        <w:spacing w:line="360" w:lineRule="auto"/>
        <w:jc w:val="both"/>
        <w:rPr>
          <w:rFonts w:ascii="Verdana" w:hAnsi="Verdana"/>
        </w:rPr>
      </w:pPr>
    </w:p>
    <w:p w14:paraId="268EA603" w14:textId="07ABCC44" w:rsidR="00330494" w:rsidRDefault="00330494" w:rsidP="00940484">
      <w:pPr>
        <w:spacing w:line="360" w:lineRule="auto"/>
        <w:jc w:val="both"/>
        <w:rPr>
          <w:rFonts w:ascii="Verdana" w:hAnsi="Verdana"/>
        </w:rPr>
      </w:pPr>
    </w:p>
    <w:p w14:paraId="64C7F90F" w14:textId="77777777" w:rsidR="00FC7E8F" w:rsidRDefault="00FC7E8F" w:rsidP="00940484">
      <w:pPr>
        <w:spacing w:line="360" w:lineRule="auto"/>
        <w:jc w:val="both"/>
        <w:rPr>
          <w:rFonts w:ascii="Verdana" w:hAnsi="Verdana"/>
        </w:rPr>
      </w:pPr>
    </w:p>
    <w:p w14:paraId="268EA605" w14:textId="77777777" w:rsidR="00940484" w:rsidRDefault="004F52CF" w:rsidP="00940484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Pro</w:t>
      </w:r>
      <w:r w:rsidR="00940484" w:rsidRPr="00342B73">
        <w:rPr>
          <w:rFonts w:ascii="Verdana" w:hAnsi="Verdana"/>
          <w:b/>
        </w:rPr>
        <w:t>kary</w:t>
      </w:r>
      <w:r>
        <w:rPr>
          <w:rFonts w:ascii="Verdana" w:hAnsi="Verdana"/>
          <w:b/>
        </w:rPr>
        <w:t>o</w:t>
      </w:r>
      <w:r w:rsidR="00940484" w:rsidRPr="00342B73">
        <w:rPr>
          <w:rFonts w:ascii="Verdana" w:hAnsi="Verdana"/>
          <w:b/>
        </w:rPr>
        <w:t>t</w:t>
      </w:r>
      <w:r>
        <w:rPr>
          <w:rFonts w:ascii="Verdana" w:hAnsi="Verdana"/>
          <w:b/>
        </w:rPr>
        <w:t>i</w:t>
      </w:r>
      <w:r w:rsidR="00940484" w:rsidRPr="00342B73">
        <w:rPr>
          <w:rFonts w:ascii="Verdana" w:hAnsi="Verdana"/>
          <w:b/>
        </w:rPr>
        <w:t>sche Promotorsequenz:</w:t>
      </w:r>
    </w:p>
    <w:p w14:paraId="268EA606" w14:textId="77777777" w:rsidR="00940484" w:rsidRPr="00342B73" w:rsidRDefault="00940484" w:rsidP="00940484">
      <w:pPr>
        <w:spacing w:line="360" w:lineRule="auto"/>
        <w:ind w:left="533"/>
        <w:jc w:val="both"/>
        <w:rPr>
          <w:rFonts w:ascii="Verdana" w:hAnsi="Verdana"/>
          <w:b/>
        </w:rPr>
      </w:pPr>
    </w:p>
    <w:p w14:paraId="268EA607" w14:textId="77777777" w:rsidR="00940484" w:rsidRDefault="00940484" w:rsidP="00342B73">
      <w:pPr>
        <w:spacing w:line="360" w:lineRule="auto"/>
        <w:jc w:val="both"/>
        <w:rPr>
          <w:rFonts w:ascii="Courier New" w:hAnsi="Courier New" w:cs="Courier New"/>
          <w:sz w:val="24"/>
          <w:szCs w:val="24"/>
        </w:rPr>
      </w:pPr>
      <w:r w:rsidRPr="00537137">
        <w:rPr>
          <w:rFonts w:ascii="Courier New" w:hAnsi="Courier New" w:cs="Courier New"/>
          <w:sz w:val="24"/>
          <w:szCs w:val="24"/>
        </w:rPr>
        <w:t>5‘</w:t>
      </w:r>
      <w:r w:rsidR="00330494">
        <w:rPr>
          <w:rFonts w:ascii="Courier New" w:hAnsi="Courier New" w:cs="Courier New"/>
          <w:sz w:val="24"/>
          <w:szCs w:val="24"/>
        </w:rPr>
        <w:t>…</w:t>
      </w:r>
      <w:r w:rsidRPr="00537137">
        <w:rPr>
          <w:rFonts w:ascii="Courier New" w:hAnsi="Courier New" w:cs="Courier New"/>
          <w:sz w:val="24"/>
          <w:szCs w:val="24"/>
        </w:rPr>
        <w:t>TGCGATGCGAGCAGATGACCCAGATGACAGATAG</w:t>
      </w:r>
      <w:r w:rsidR="00842502">
        <w:rPr>
          <w:rFonts w:ascii="Courier New" w:hAnsi="Courier New" w:cs="Courier New"/>
          <w:sz w:val="24"/>
          <w:szCs w:val="24"/>
        </w:rPr>
        <w:t>C</w:t>
      </w:r>
      <w:r w:rsidRPr="00537137">
        <w:rPr>
          <w:rFonts w:ascii="Courier New" w:hAnsi="Courier New" w:cs="Courier New"/>
          <w:sz w:val="24"/>
          <w:szCs w:val="24"/>
        </w:rPr>
        <w:t>AC</w:t>
      </w:r>
      <w:r w:rsidR="00842502">
        <w:rPr>
          <w:rFonts w:ascii="Courier New" w:hAnsi="Courier New" w:cs="Courier New"/>
          <w:sz w:val="24"/>
          <w:szCs w:val="24"/>
        </w:rPr>
        <w:t>TT</w:t>
      </w:r>
      <w:r w:rsidRPr="00537137">
        <w:rPr>
          <w:rFonts w:ascii="Courier New" w:hAnsi="Courier New" w:cs="Courier New"/>
          <w:sz w:val="24"/>
          <w:szCs w:val="24"/>
        </w:rPr>
        <w:t>TCTGCAGATAGACAGATAGAGCAAGATGGAACCACAG</w:t>
      </w:r>
      <w:r w:rsidRPr="00842502">
        <w:rPr>
          <w:rFonts w:ascii="Courier New" w:hAnsi="Courier New" w:cs="Courier New"/>
          <w:sz w:val="24"/>
          <w:szCs w:val="24"/>
        </w:rPr>
        <w:t>ATTTGACA</w:t>
      </w:r>
      <w:r w:rsidR="00842502" w:rsidRPr="00842502">
        <w:rPr>
          <w:rFonts w:ascii="Courier New" w:hAnsi="Courier New" w:cs="Courier New"/>
          <w:sz w:val="24"/>
          <w:szCs w:val="24"/>
        </w:rPr>
        <w:t>AGATGATGACGACTGC</w:t>
      </w:r>
      <w:r w:rsidRPr="00842502">
        <w:rPr>
          <w:rFonts w:ascii="Courier New" w:hAnsi="Courier New" w:cs="Courier New"/>
          <w:sz w:val="24"/>
          <w:szCs w:val="24"/>
        </w:rPr>
        <w:t>AGACCAGATCAATATAATA</w:t>
      </w:r>
      <w:r w:rsidRPr="00537137">
        <w:rPr>
          <w:rFonts w:ascii="Courier New" w:hAnsi="Courier New" w:cs="Courier New"/>
          <w:sz w:val="24"/>
          <w:szCs w:val="24"/>
        </w:rPr>
        <w:t>TGACCAGA</w:t>
      </w:r>
      <w:r w:rsidRPr="00537137">
        <w:rPr>
          <w:rFonts w:ascii="Courier New" w:hAnsi="Courier New" w:cs="Courier New"/>
          <w:sz w:val="24"/>
          <w:szCs w:val="24"/>
          <w:u w:val="single"/>
        </w:rPr>
        <w:t>G</w:t>
      </w:r>
      <w:r w:rsidRPr="00537137">
        <w:rPr>
          <w:rFonts w:ascii="Courier New" w:hAnsi="Courier New" w:cs="Courier New"/>
          <w:sz w:val="24"/>
          <w:szCs w:val="24"/>
        </w:rPr>
        <w:t>CTAGCAGATTAGCAGATAGCATGGAGATACG… 3‘</w:t>
      </w:r>
    </w:p>
    <w:p w14:paraId="268EA608" w14:textId="77777777" w:rsidR="00330494" w:rsidRPr="00376313" w:rsidRDefault="00330494" w:rsidP="00342B73">
      <w:pPr>
        <w:spacing w:line="360" w:lineRule="auto"/>
        <w:jc w:val="both"/>
        <w:rPr>
          <w:rFonts w:ascii="Courier New" w:hAnsi="Courier New" w:cs="Courier New"/>
          <w:sz w:val="24"/>
          <w:szCs w:val="24"/>
        </w:rPr>
      </w:pPr>
    </w:p>
    <w:p w14:paraId="268EA609" w14:textId="77777777" w:rsidR="00940484" w:rsidRDefault="00940484" w:rsidP="00940484">
      <w:pPr>
        <w:spacing w:line="360" w:lineRule="auto"/>
        <w:jc w:val="both"/>
        <w:rPr>
          <w:rFonts w:ascii="Verdana" w:hAnsi="Verdana"/>
        </w:rPr>
      </w:pPr>
      <w:r w:rsidRPr="00537137">
        <w:rPr>
          <w:rFonts w:ascii="Verdana" w:hAnsi="Verdana"/>
          <w:u w:val="single"/>
        </w:rPr>
        <w:t>G</w:t>
      </w:r>
      <w:r w:rsidR="00330494">
        <w:rPr>
          <w:rFonts w:ascii="Verdana" w:hAnsi="Verdana"/>
          <w:u w:val="single"/>
        </w:rPr>
        <w:t xml:space="preserve"> </w:t>
      </w:r>
      <w:r>
        <w:rPr>
          <w:rFonts w:ascii="Verdana" w:hAnsi="Verdana"/>
        </w:rPr>
        <w:t>=+1</w:t>
      </w:r>
    </w:p>
    <w:p w14:paraId="268EA618" w14:textId="77777777" w:rsidR="00B328EF" w:rsidRDefault="00330494" w:rsidP="00B328EF">
      <w:pPr>
        <w:spacing w:line="360" w:lineRule="auto"/>
        <w:jc w:val="both"/>
        <w:rPr>
          <w:rFonts w:ascii="Verdana" w:hAnsi="Verdana"/>
          <w:b/>
          <w:color w:val="00B050"/>
          <w:sz w:val="22"/>
          <w:szCs w:val="22"/>
        </w:rPr>
      </w:pPr>
      <w:r>
        <w:rPr>
          <w:rFonts w:ascii="Verdana" w:hAnsi="Verdana"/>
        </w:rPr>
        <w:br w:type="page"/>
      </w:r>
      <w:r w:rsidR="00B328EF" w:rsidRPr="0081114A">
        <w:rPr>
          <w:rFonts w:ascii="Verdana" w:hAnsi="Verdana"/>
          <w:b/>
          <w:color w:val="00B050"/>
          <w:sz w:val="22"/>
          <w:szCs w:val="22"/>
        </w:rPr>
        <w:lastRenderedPageBreak/>
        <w:t>Lösung</w:t>
      </w:r>
    </w:p>
    <w:p w14:paraId="268EA619" w14:textId="77777777" w:rsidR="00330494" w:rsidRDefault="00330494" w:rsidP="00B328EF">
      <w:pPr>
        <w:spacing w:line="360" w:lineRule="auto"/>
        <w:jc w:val="both"/>
        <w:rPr>
          <w:rFonts w:ascii="Verdana" w:hAnsi="Verdana"/>
          <w:b/>
          <w:color w:val="00B050"/>
          <w:sz w:val="22"/>
          <w:szCs w:val="22"/>
        </w:rPr>
      </w:pPr>
    </w:p>
    <w:p w14:paraId="268EA61A" w14:textId="77777777" w:rsidR="00330494" w:rsidRPr="00342B73" w:rsidRDefault="00330494" w:rsidP="00330494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  <w:r w:rsidRPr="00342B73">
        <w:rPr>
          <w:rFonts w:ascii="Verdana" w:hAnsi="Verdana"/>
          <w:b/>
          <w:sz w:val="22"/>
          <w:szCs w:val="22"/>
        </w:rPr>
        <w:t xml:space="preserve">Suche </w:t>
      </w:r>
      <w:r>
        <w:rPr>
          <w:rFonts w:ascii="Verdana" w:hAnsi="Verdana"/>
          <w:b/>
          <w:sz w:val="22"/>
          <w:szCs w:val="22"/>
        </w:rPr>
        <w:t xml:space="preserve">und markiere </w:t>
      </w:r>
      <w:r w:rsidRPr="00342B73">
        <w:rPr>
          <w:rFonts w:ascii="Verdana" w:hAnsi="Verdana"/>
          <w:b/>
          <w:sz w:val="22"/>
          <w:szCs w:val="22"/>
        </w:rPr>
        <w:t>die entscheidenden Promotorstellen in folgenden Promotorsequenzen:</w:t>
      </w:r>
    </w:p>
    <w:p w14:paraId="268EA61B" w14:textId="77777777" w:rsidR="00330494" w:rsidRDefault="00330494" w:rsidP="00B328EF">
      <w:pPr>
        <w:spacing w:line="360" w:lineRule="auto"/>
        <w:jc w:val="both"/>
        <w:rPr>
          <w:rFonts w:ascii="Verdana" w:hAnsi="Verdana"/>
        </w:rPr>
      </w:pPr>
    </w:p>
    <w:p w14:paraId="268EA61C" w14:textId="7FF8574A" w:rsidR="00330494" w:rsidRDefault="00330494" w:rsidP="00B328EF">
      <w:pPr>
        <w:spacing w:line="360" w:lineRule="auto"/>
        <w:jc w:val="both"/>
        <w:rPr>
          <w:rFonts w:ascii="Verdana" w:hAnsi="Verdana"/>
        </w:rPr>
      </w:pPr>
    </w:p>
    <w:p w14:paraId="7539BF1F" w14:textId="77777777" w:rsidR="00FC7E8F" w:rsidRPr="00330494" w:rsidRDefault="00FC7E8F" w:rsidP="00B328EF">
      <w:pPr>
        <w:spacing w:line="360" w:lineRule="auto"/>
        <w:jc w:val="both"/>
        <w:rPr>
          <w:rFonts w:ascii="Verdana" w:hAnsi="Verdana"/>
        </w:rPr>
      </w:pPr>
    </w:p>
    <w:p w14:paraId="268EA61E" w14:textId="77777777" w:rsidR="00B328EF" w:rsidRPr="00342B73" w:rsidRDefault="00B328EF" w:rsidP="00B328EF">
      <w:pPr>
        <w:numPr>
          <w:ilvl w:val="0"/>
          <w:numId w:val="2"/>
        </w:numPr>
        <w:spacing w:line="360" w:lineRule="auto"/>
        <w:ind w:left="567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Eu</w:t>
      </w:r>
      <w:r w:rsidRPr="00342B73">
        <w:rPr>
          <w:rFonts w:ascii="Verdana" w:hAnsi="Verdana"/>
          <w:b/>
        </w:rPr>
        <w:t>karyotische Promotorsequenz:</w:t>
      </w:r>
    </w:p>
    <w:p w14:paraId="268EA61F" w14:textId="77777777" w:rsidR="00B328EF" w:rsidRDefault="00B328EF" w:rsidP="00B328EF">
      <w:pPr>
        <w:spacing w:line="360" w:lineRule="auto"/>
        <w:jc w:val="both"/>
        <w:rPr>
          <w:rFonts w:ascii="Verdana" w:hAnsi="Verdana"/>
        </w:rPr>
      </w:pPr>
    </w:p>
    <w:p w14:paraId="268EA620" w14:textId="77777777" w:rsidR="00B328EF" w:rsidRDefault="00B328EF" w:rsidP="00B328EF">
      <w:pPr>
        <w:spacing w:line="360" w:lineRule="auto"/>
        <w:jc w:val="both"/>
        <w:rPr>
          <w:rFonts w:ascii="Courier New" w:hAnsi="Courier New" w:cs="Courier New"/>
          <w:sz w:val="24"/>
          <w:szCs w:val="24"/>
        </w:rPr>
      </w:pPr>
      <w:r w:rsidRPr="002F54EF">
        <w:rPr>
          <w:rFonts w:ascii="Courier New" w:hAnsi="Courier New" w:cs="Courier New"/>
          <w:sz w:val="24"/>
          <w:szCs w:val="24"/>
        </w:rPr>
        <w:t>5‘</w:t>
      </w:r>
      <w:r w:rsidR="00330494">
        <w:rPr>
          <w:rFonts w:ascii="Courier New" w:hAnsi="Courier New" w:cs="Courier New"/>
          <w:sz w:val="24"/>
          <w:szCs w:val="24"/>
        </w:rPr>
        <w:t>…</w:t>
      </w:r>
      <w:r w:rsidRPr="002F54EF">
        <w:rPr>
          <w:rFonts w:ascii="Courier New" w:hAnsi="Courier New" w:cs="Courier New"/>
          <w:sz w:val="24"/>
          <w:szCs w:val="24"/>
        </w:rPr>
        <w:t>TGCGATGCGAGCAGATGACCCAGATGACAGATA</w:t>
      </w:r>
      <w:r w:rsidRPr="004F52CF">
        <w:rPr>
          <w:rFonts w:ascii="Courier New" w:hAnsi="Courier New" w:cs="Courier New"/>
          <w:b/>
          <w:sz w:val="24"/>
          <w:szCs w:val="24"/>
          <w:u w:val="single"/>
        </w:rPr>
        <w:t>GGACAATCT</w:t>
      </w:r>
      <w:r w:rsidRPr="002F54EF">
        <w:rPr>
          <w:rFonts w:ascii="Courier New" w:hAnsi="Courier New" w:cs="Courier New"/>
          <w:sz w:val="24"/>
          <w:szCs w:val="24"/>
        </w:rPr>
        <w:t>GCAGATAGACAGATAGAGCAAGATGGAACCACAGATTAGATGATGACGAC</w:t>
      </w:r>
      <w:r w:rsidRPr="004F52CF">
        <w:rPr>
          <w:rFonts w:ascii="Courier New" w:hAnsi="Courier New" w:cs="Courier New"/>
          <w:b/>
          <w:sz w:val="24"/>
          <w:szCs w:val="24"/>
          <w:u w:val="single"/>
        </w:rPr>
        <w:t>TATA</w:t>
      </w:r>
      <w:r w:rsidRPr="002F54EF">
        <w:rPr>
          <w:rFonts w:ascii="Courier New" w:hAnsi="Courier New" w:cs="Courier New"/>
          <w:sz w:val="24"/>
          <w:szCs w:val="24"/>
        </w:rPr>
        <w:t>GACCAGATCAAGATGACCAGAGCT</w:t>
      </w:r>
      <w:r w:rsidRPr="002F54EF">
        <w:rPr>
          <w:rFonts w:ascii="Courier New" w:hAnsi="Courier New" w:cs="Courier New"/>
          <w:b/>
          <w:sz w:val="24"/>
          <w:szCs w:val="24"/>
          <w:u w:val="single"/>
        </w:rPr>
        <w:t>A</w:t>
      </w:r>
      <w:r w:rsidRPr="002F54EF">
        <w:rPr>
          <w:rFonts w:ascii="Courier New" w:hAnsi="Courier New" w:cs="Courier New"/>
          <w:sz w:val="24"/>
          <w:szCs w:val="24"/>
        </w:rPr>
        <w:t>GCAGAT</w:t>
      </w:r>
      <w:r>
        <w:rPr>
          <w:rFonts w:ascii="Courier New" w:hAnsi="Courier New" w:cs="Courier New"/>
          <w:sz w:val="24"/>
          <w:szCs w:val="24"/>
        </w:rPr>
        <w:t>C</w:t>
      </w:r>
      <w:r w:rsidRPr="002F54EF">
        <w:rPr>
          <w:rFonts w:ascii="Courier New" w:hAnsi="Courier New" w:cs="Courier New"/>
          <w:sz w:val="24"/>
          <w:szCs w:val="24"/>
        </w:rPr>
        <w:t>AGCAGATAGC</w:t>
      </w:r>
      <w:r w:rsidRPr="007D3460">
        <w:rPr>
          <w:rFonts w:ascii="Courier New" w:hAnsi="Courier New" w:cs="Courier New"/>
          <w:b/>
          <w:color w:val="385623"/>
          <w:sz w:val="24"/>
          <w:szCs w:val="24"/>
          <w:u w:val="single"/>
        </w:rPr>
        <w:t>ATG</w:t>
      </w:r>
      <w:r w:rsidRPr="002F54EF">
        <w:rPr>
          <w:rFonts w:ascii="Courier New" w:hAnsi="Courier New" w:cs="Courier New"/>
          <w:sz w:val="24"/>
          <w:szCs w:val="24"/>
        </w:rPr>
        <w:t>CTGAGCAGCAGTCCCCTT…</w:t>
      </w:r>
      <w:r>
        <w:rPr>
          <w:rFonts w:ascii="Courier New" w:hAnsi="Courier New" w:cs="Courier New"/>
          <w:sz w:val="24"/>
          <w:szCs w:val="24"/>
        </w:rPr>
        <w:t xml:space="preserve"> 3‘</w:t>
      </w:r>
    </w:p>
    <w:p w14:paraId="268EA621" w14:textId="77777777" w:rsidR="00330494" w:rsidRPr="002F54EF" w:rsidRDefault="00330494" w:rsidP="00B328EF">
      <w:pPr>
        <w:spacing w:line="360" w:lineRule="auto"/>
        <w:jc w:val="both"/>
        <w:rPr>
          <w:rFonts w:ascii="Courier New" w:hAnsi="Courier New" w:cs="Courier New"/>
          <w:sz w:val="24"/>
          <w:szCs w:val="24"/>
        </w:rPr>
      </w:pPr>
    </w:p>
    <w:p w14:paraId="268EA622" w14:textId="77777777" w:rsidR="00B328EF" w:rsidRDefault="00B328EF" w:rsidP="00B328EF">
      <w:pPr>
        <w:spacing w:line="360" w:lineRule="auto"/>
        <w:jc w:val="both"/>
        <w:rPr>
          <w:rFonts w:ascii="Verdana" w:hAnsi="Verdana"/>
        </w:rPr>
      </w:pPr>
      <w:r w:rsidRPr="002F54EF">
        <w:rPr>
          <w:rFonts w:ascii="Verdana" w:hAnsi="Verdana"/>
          <w:b/>
          <w:u w:val="single"/>
        </w:rPr>
        <w:t>A</w:t>
      </w:r>
      <w:r w:rsidR="00330494">
        <w:rPr>
          <w:rFonts w:ascii="Verdana" w:hAnsi="Verdana"/>
          <w:b/>
          <w:u w:val="single"/>
        </w:rPr>
        <w:t xml:space="preserve"> </w:t>
      </w:r>
      <w:r>
        <w:rPr>
          <w:rFonts w:ascii="Verdana" w:hAnsi="Verdana"/>
        </w:rPr>
        <w:t>=+1</w:t>
      </w:r>
    </w:p>
    <w:p w14:paraId="268EA623" w14:textId="77777777" w:rsidR="00330494" w:rsidRPr="00330494" w:rsidRDefault="00330494" w:rsidP="00B328EF">
      <w:pPr>
        <w:spacing w:line="360" w:lineRule="auto"/>
        <w:jc w:val="both"/>
        <w:rPr>
          <w:rFonts w:ascii="Courier New" w:hAnsi="Courier New" w:cs="Courier New"/>
          <w:b/>
          <w:sz w:val="24"/>
          <w:szCs w:val="24"/>
        </w:rPr>
      </w:pPr>
      <w:r w:rsidRPr="004F52CF">
        <w:rPr>
          <w:rFonts w:ascii="Courier New" w:hAnsi="Courier New" w:cs="Courier New"/>
          <w:b/>
          <w:sz w:val="24"/>
          <w:szCs w:val="24"/>
          <w:u w:val="single"/>
        </w:rPr>
        <w:t>GGACAATCT</w:t>
      </w:r>
      <w:r w:rsidRPr="00330494">
        <w:rPr>
          <w:rFonts w:ascii="Courier New" w:hAnsi="Courier New" w:cs="Courier New"/>
          <w:b/>
          <w:sz w:val="24"/>
          <w:szCs w:val="24"/>
        </w:rPr>
        <w:t xml:space="preserve"> = CAAT-Box</w:t>
      </w:r>
    </w:p>
    <w:p w14:paraId="268EA624" w14:textId="77777777" w:rsidR="00330494" w:rsidRPr="00330494" w:rsidRDefault="00330494" w:rsidP="00B328EF">
      <w:pPr>
        <w:spacing w:line="360" w:lineRule="auto"/>
        <w:jc w:val="both"/>
        <w:rPr>
          <w:rFonts w:ascii="Verdana" w:hAnsi="Verdana"/>
        </w:rPr>
      </w:pPr>
      <w:r w:rsidRPr="004F52CF">
        <w:rPr>
          <w:rFonts w:ascii="Courier New" w:hAnsi="Courier New" w:cs="Courier New"/>
          <w:b/>
          <w:sz w:val="24"/>
          <w:szCs w:val="24"/>
          <w:u w:val="single"/>
        </w:rPr>
        <w:t>TATA</w:t>
      </w:r>
      <w:r w:rsidRPr="00330494">
        <w:rPr>
          <w:rFonts w:ascii="Courier New" w:hAnsi="Courier New" w:cs="Courier New"/>
          <w:b/>
          <w:sz w:val="24"/>
          <w:szCs w:val="24"/>
        </w:rPr>
        <w:t xml:space="preserve"> = TATA-Box</w:t>
      </w:r>
    </w:p>
    <w:p w14:paraId="268EA625" w14:textId="77777777" w:rsidR="00330494" w:rsidRDefault="00330494" w:rsidP="00B328EF">
      <w:pPr>
        <w:spacing w:line="360" w:lineRule="auto"/>
        <w:jc w:val="both"/>
        <w:rPr>
          <w:rFonts w:ascii="Verdana" w:hAnsi="Verdana"/>
        </w:rPr>
      </w:pPr>
    </w:p>
    <w:p w14:paraId="268EA627" w14:textId="77777777" w:rsidR="00B328EF" w:rsidRDefault="00B328EF" w:rsidP="00B328EF">
      <w:pPr>
        <w:numPr>
          <w:ilvl w:val="0"/>
          <w:numId w:val="2"/>
        </w:numPr>
        <w:spacing w:line="360" w:lineRule="auto"/>
        <w:ind w:left="567"/>
        <w:jc w:val="both"/>
        <w:rPr>
          <w:rFonts w:ascii="Verdana" w:hAnsi="Verdana"/>
          <w:b/>
        </w:rPr>
      </w:pPr>
      <w:bookmarkStart w:id="0" w:name="_GoBack"/>
      <w:bookmarkEnd w:id="0"/>
      <w:r>
        <w:rPr>
          <w:rFonts w:ascii="Verdana" w:hAnsi="Verdana"/>
          <w:b/>
        </w:rPr>
        <w:t>Prokaryoti</w:t>
      </w:r>
      <w:r w:rsidRPr="00342B73">
        <w:rPr>
          <w:rFonts w:ascii="Verdana" w:hAnsi="Verdana"/>
          <w:b/>
        </w:rPr>
        <w:t>sche Promotorsequenz:</w:t>
      </w:r>
    </w:p>
    <w:p w14:paraId="268EA628" w14:textId="77777777" w:rsidR="00B328EF" w:rsidRPr="00342B73" w:rsidRDefault="00B328EF" w:rsidP="00B328EF">
      <w:pPr>
        <w:spacing w:line="360" w:lineRule="auto"/>
        <w:ind w:left="533"/>
        <w:jc w:val="both"/>
        <w:rPr>
          <w:rFonts w:ascii="Verdana" w:hAnsi="Verdana"/>
          <w:b/>
        </w:rPr>
      </w:pPr>
    </w:p>
    <w:p w14:paraId="268EA629" w14:textId="77777777" w:rsidR="00B328EF" w:rsidRDefault="00B328EF" w:rsidP="00B328EF">
      <w:pPr>
        <w:spacing w:line="360" w:lineRule="auto"/>
        <w:jc w:val="both"/>
        <w:rPr>
          <w:rFonts w:ascii="Courier New" w:hAnsi="Courier New" w:cs="Courier New"/>
          <w:sz w:val="24"/>
          <w:szCs w:val="24"/>
        </w:rPr>
      </w:pPr>
      <w:r w:rsidRPr="00537137">
        <w:rPr>
          <w:rFonts w:ascii="Courier New" w:hAnsi="Courier New" w:cs="Courier New"/>
          <w:sz w:val="24"/>
          <w:szCs w:val="24"/>
        </w:rPr>
        <w:t>5‘</w:t>
      </w:r>
      <w:r w:rsidR="00330494">
        <w:rPr>
          <w:rFonts w:ascii="Courier New" w:hAnsi="Courier New" w:cs="Courier New"/>
          <w:sz w:val="24"/>
          <w:szCs w:val="24"/>
        </w:rPr>
        <w:t>…</w:t>
      </w:r>
      <w:r w:rsidRPr="00537137">
        <w:rPr>
          <w:rFonts w:ascii="Courier New" w:hAnsi="Courier New" w:cs="Courier New"/>
          <w:sz w:val="24"/>
          <w:szCs w:val="24"/>
        </w:rPr>
        <w:t>TGCGATGCGAGCAGATGACCCAGATGACAGATAG</w:t>
      </w:r>
      <w:r>
        <w:rPr>
          <w:rFonts w:ascii="Courier New" w:hAnsi="Courier New" w:cs="Courier New"/>
          <w:sz w:val="24"/>
          <w:szCs w:val="24"/>
        </w:rPr>
        <w:t>C</w:t>
      </w:r>
      <w:r w:rsidRPr="00537137">
        <w:rPr>
          <w:rFonts w:ascii="Courier New" w:hAnsi="Courier New" w:cs="Courier New"/>
          <w:sz w:val="24"/>
          <w:szCs w:val="24"/>
        </w:rPr>
        <w:t>AC</w:t>
      </w:r>
      <w:r>
        <w:rPr>
          <w:rFonts w:ascii="Courier New" w:hAnsi="Courier New" w:cs="Courier New"/>
          <w:sz w:val="24"/>
          <w:szCs w:val="24"/>
        </w:rPr>
        <w:t>TT</w:t>
      </w:r>
      <w:r w:rsidRPr="00537137">
        <w:rPr>
          <w:rFonts w:ascii="Courier New" w:hAnsi="Courier New" w:cs="Courier New"/>
          <w:sz w:val="24"/>
          <w:szCs w:val="24"/>
        </w:rPr>
        <w:t>TCTGCAGATAGACAGATAGAGCAAGATGGAACCACAGAT</w:t>
      </w:r>
      <w:r w:rsidRPr="004F52CF">
        <w:rPr>
          <w:rFonts w:ascii="Courier New" w:hAnsi="Courier New" w:cs="Courier New"/>
          <w:b/>
          <w:sz w:val="24"/>
          <w:szCs w:val="24"/>
          <w:u w:val="single"/>
        </w:rPr>
        <w:t>TTGACA</w:t>
      </w:r>
      <w:r>
        <w:rPr>
          <w:rFonts w:ascii="Courier New" w:hAnsi="Courier New" w:cs="Courier New"/>
          <w:sz w:val="24"/>
          <w:szCs w:val="24"/>
        </w:rPr>
        <w:t>AGATGATGACGACTGC</w:t>
      </w:r>
      <w:r w:rsidRPr="00537137">
        <w:rPr>
          <w:rFonts w:ascii="Courier New" w:hAnsi="Courier New" w:cs="Courier New"/>
          <w:sz w:val="24"/>
          <w:szCs w:val="24"/>
        </w:rPr>
        <w:t>AGACCAGATCAA</w:t>
      </w:r>
      <w:r w:rsidRPr="004F52CF">
        <w:rPr>
          <w:rFonts w:ascii="Courier New" w:hAnsi="Courier New" w:cs="Courier New"/>
          <w:b/>
          <w:sz w:val="24"/>
          <w:szCs w:val="24"/>
          <w:u w:val="single"/>
        </w:rPr>
        <w:t>TATAAT</w:t>
      </w:r>
      <w:r w:rsidRPr="00537137">
        <w:rPr>
          <w:rFonts w:ascii="Courier New" w:hAnsi="Courier New" w:cs="Courier New"/>
          <w:sz w:val="24"/>
          <w:szCs w:val="24"/>
        </w:rPr>
        <w:t>ATGACCAGA</w:t>
      </w:r>
      <w:r w:rsidRPr="00537137">
        <w:rPr>
          <w:rFonts w:ascii="Courier New" w:hAnsi="Courier New" w:cs="Courier New"/>
          <w:sz w:val="24"/>
          <w:szCs w:val="24"/>
          <w:u w:val="single"/>
        </w:rPr>
        <w:t>G</w:t>
      </w:r>
      <w:r w:rsidRPr="00537137">
        <w:rPr>
          <w:rFonts w:ascii="Courier New" w:hAnsi="Courier New" w:cs="Courier New"/>
          <w:sz w:val="24"/>
          <w:szCs w:val="24"/>
        </w:rPr>
        <w:t>CTAGCAGATTAGCAGATAGC</w:t>
      </w:r>
      <w:r w:rsidRPr="007D3460">
        <w:rPr>
          <w:rFonts w:ascii="Courier New" w:hAnsi="Courier New" w:cs="Courier New"/>
          <w:b/>
          <w:color w:val="385623"/>
          <w:sz w:val="24"/>
          <w:szCs w:val="24"/>
          <w:u w:val="single"/>
        </w:rPr>
        <w:t>ATG</w:t>
      </w:r>
      <w:r w:rsidRPr="00537137">
        <w:rPr>
          <w:rFonts w:ascii="Courier New" w:hAnsi="Courier New" w:cs="Courier New"/>
          <w:sz w:val="24"/>
          <w:szCs w:val="24"/>
        </w:rPr>
        <w:t>GAGATACG… 3‘</w:t>
      </w:r>
    </w:p>
    <w:p w14:paraId="268EA62A" w14:textId="77777777" w:rsidR="00330494" w:rsidRPr="00376313" w:rsidRDefault="00330494" w:rsidP="00B328EF">
      <w:pPr>
        <w:spacing w:line="360" w:lineRule="auto"/>
        <w:jc w:val="both"/>
        <w:rPr>
          <w:rFonts w:ascii="Courier New" w:hAnsi="Courier New" w:cs="Courier New"/>
          <w:sz w:val="24"/>
          <w:szCs w:val="24"/>
        </w:rPr>
      </w:pPr>
    </w:p>
    <w:p w14:paraId="268EA62B" w14:textId="77777777" w:rsidR="00B328EF" w:rsidRDefault="00B328EF" w:rsidP="00B328EF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  <w:u w:val="single"/>
        </w:rPr>
        <w:t>G</w:t>
      </w:r>
      <w:r w:rsidR="00330494">
        <w:rPr>
          <w:rFonts w:ascii="Verdana" w:hAnsi="Verdana"/>
          <w:b/>
          <w:u w:val="single"/>
        </w:rPr>
        <w:t xml:space="preserve"> </w:t>
      </w:r>
      <w:r>
        <w:rPr>
          <w:rFonts w:ascii="Verdana" w:hAnsi="Verdana"/>
        </w:rPr>
        <w:t>=+1</w:t>
      </w:r>
    </w:p>
    <w:p w14:paraId="268EA62C" w14:textId="77777777" w:rsidR="00330494" w:rsidRPr="00330494" w:rsidRDefault="00330494" w:rsidP="00B328EF">
      <w:pPr>
        <w:spacing w:line="360" w:lineRule="auto"/>
        <w:jc w:val="both"/>
        <w:rPr>
          <w:rFonts w:ascii="Courier New" w:hAnsi="Courier New" w:cs="Courier New"/>
          <w:b/>
          <w:sz w:val="24"/>
          <w:szCs w:val="24"/>
        </w:rPr>
      </w:pPr>
      <w:r w:rsidRPr="004F52CF">
        <w:rPr>
          <w:rFonts w:ascii="Courier New" w:hAnsi="Courier New" w:cs="Courier New"/>
          <w:b/>
          <w:sz w:val="24"/>
          <w:szCs w:val="24"/>
          <w:u w:val="single"/>
        </w:rPr>
        <w:t>TTGACA</w:t>
      </w:r>
      <w:r w:rsidRPr="00330494">
        <w:rPr>
          <w:rFonts w:ascii="Courier New" w:hAnsi="Courier New" w:cs="Courier New"/>
          <w:b/>
          <w:sz w:val="24"/>
          <w:szCs w:val="24"/>
        </w:rPr>
        <w:t xml:space="preserve"> = -35-Region</w:t>
      </w:r>
    </w:p>
    <w:p w14:paraId="268EA62D" w14:textId="77777777" w:rsidR="00330494" w:rsidRPr="00330494" w:rsidRDefault="00330494" w:rsidP="00B328EF">
      <w:pPr>
        <w:spacing w:line="360" w:lineRule="auto"/>
        <w:jc w:val="both"/>
        <w:rPr>
          <w:rFonts w:ascii="Verdana" w:hAnsi="Verdana"/>
        </w:rPr>
      </w:pPr>
      <w:r w:rsidRPr="004F52CF">
        <w:rPr>
          <w:rFonts w:ascii="Courier New" w:hAnsi="Courier New" w:cs="Courier New"/>
          <w:b/>
          <w:sz w:val="24"/>
          <w:szCs w:val="24"/>
          <w:u w:val="single"/>
        </w:rPr>
        <w:t>TATAAT</w:t>
      </w:r>
      <w:r w:rsidRPr="00330494">
        <w:rPr>
          <w:rFonts w:ascii="Courier New" w:hAnsi="Courier New" w:cs="Courier New"/>
          <w:b/>
          <w:sz w:val="24"/>
          <w:szCs w:val="24"/>
        </w:rPr>
        <w:t xml:space="preserve"> = Pribnow-Box</w:t>
      </w:r>
    </w:p>
    <w:sectPr w:rsidR="00330494" w:rsidRPr="00330494">
      <w:footerReference w:type="default" r:id="rId11"/>
      <w:pgSz w:w="11909" w:h="16834"/>
      <w:pgMar w:top="1080" w:right="720" w:bottom="10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EA635" w14:textId="77777777" w:rsidR="001356ED" w:rsidRDefault="001356ED">
      <w:r>
        <w:separator/>
      </w:r>
    </w:p>
  </w:endnote>
  <w:endnote w:type="continuationSeparator" w:id="0">
    <w:p w14:paraId="268EA636" w14:textId="77777777" w:rsidR="001356ED" w:rsidRDefault="00135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EA638" w14:textId="4F91FEC3" w:rsidR="00B656BE" w:rsidRDefault="00B656BE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FC7E8F">
      <w:t>2</w:t>
    </w:r>
    <w:r>
      <w:fldChar w:fldCharType="end"/>
    </w:r>
  </w:p>
  <w:p w14:paraId="268EA639" w14:textId="77777777" w:rsidR="00B656BE" w:rsidRDefault="00B656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EA633" w14:textId="77777777" w:rsidR="001356ED" w:rsidRDefault="001356ED">
      <w:r>
        <w:separator/>
      </w:r>
    </w:p>
  </w:footnote>
  <w:footnote w:type="continuationSeparator" w:id="0">
    <w:p w14:paraId="268EA634" w14:textId="77777777" w:rsidR="001356ED" w:rsidRDefault="00135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12BA4"/>
    <w:multiLevelType w:val="hybridMultilevel"/>
    <w:tmpl w:val="73423246"/>
    <w:lvl w:ilvl="0" w:tplc="7AE07052">
      <w:start w:val="1"/>
      <w:numFmt w:val="decimal"/>
      <w:lvlText w:val="%1."/>
      <w:lvlJc w:val="left"/>
      <w:pPr>
        <w:ind w:left="53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53" w:hanging="360"/>
      </w:pPr>
    </w:lvl>
    <w:lvl w:ilvl="2" w:tplc="0407001B" w:tentative="1">
      <w:start w:val="1"/>
      <w:numFmt w:val="lowerRoman"/>
      <w:lvlText w:val="%3."/>
      <w:lvlJc w:val="right"/>
      <w:pPr>
        <w:ind w:left="1973" w:hanging="180"/>
      </w:pPr>
    </w:lvl>
    <w:lvl w:ilvl="3" w:tplc="0407000F" w:tentative="1">
      <w:start w:val="1"/>
      <w:numFmt w:val="decimal"/>
      <w:lvlText w:val="%4."/>
      <w:lvlJc w:val="left"/>
      <w:pPr>
        <w:ind w:left="2693" w:hanging="360"/>
      </w:pPr>
    </w:lvl>
    <w:lvl w:ilvl="4" w:tplc="04070019" w:tentative="1">
      <w:start w:val="1"/>
      <w:numFmt w:val="lowerLetter"/>
      <w:lvlText w:val="%5."/>
      <w:lvlJc w:val="left"/>
      <w:pPr>
        <w:ind w:left="3413" w:hanging="360"/>
      </w:pPr>
    </w:lvl>
    <w:lvl w:ilvl="5" w:tplc="0407001B" w:tentative="1">
      <w:start w:val="1"/>
      <w:numFmt w:val="lowerRoman"/>
      <w:lvlText w:val="%6."/>
      <w:lvlJc w:val="right"/>
      <w:pPr>
        <w:ind w:left="4133" w:hanging="180"/>
      </w:pPr>
    </w:lvl>
    <w:lvl w:ilvl="6" w:tplc="0407000F" w:tentative="1">
      <w:start w:val="1"/>
      <w:numFmt w:val="decimal"/>
      <w:lvlText w:val="%7."/>
      <w:lvlJc w:val="left"/>
      <w:pPr>
        <w:ind w:left="4853" w:hanging="360"/>
      </w:pPr>
    </w:lvl>
    <w:lvl w:ilvl="7" w:tplc="04070019" w:tentative="1">
      <w:start w:val="1"/>
      <w:numFmt w:val="lowerLetter"/>
      <w:lvlText w:val="%8."/>
      <w:lvlJc w:val="left"/>
      <w:pPr>
        <w:ind w:left="5573" w:hanging="360"/>
      </w:pPr>
    </w:lvl>
    <w:lvl w:ilvl="8" w:tplc="0407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" w15:restartNumberingAfterBreak="0">
    <w:nsid w:val="20772FC4"/>
    <w:multiLevelType w:val="hybridMultilevel"/>
    <w:tmpl w:val="517674DC"/>
    <w:lvl w:ilvl="0" w:tplc="349254D8">
      <w:start w:val="1"/>
      <w:numFmt w:val="decimal"/>
      <w:lvlText w:val="%1."/>
      <w:lvlJc w:val="left"/>
      <w:pPr>
        <w:ind w:left="8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13" w:hanging="360"/>
      </w:pPr>
    </w:lvl>
    <w:lvl w:ilvl="2" w:tplc="0407001B" w:tentative="1">
      <w:start w:val="1"/>
      <w:numFmt w:val="lowerRoman"/>
      <w:lvlText w:val="%3."/>
      <w:lvlJc w:val="right"/>
      <w:pPr>
        <w:ind w:left="2333" w:hanging="180"/>
      </w:pPr>
    </w:lvl>
    <w:lvl w:ilvl="3" w:tplc="0407000F" w:tentative="1">
      <w:start w:val="1"/>
      <w:numFmt w:val="decimal"/>
      <w:lvlText w:val="%4."/>
      <w:lvlJc w:val="left"/>
      <w:pPr>
        <w:ind w:left="3053" w:hanging="360"/>
      </w:pPr>
    </w:lvl>
    <w:lvl w:ilvl="4" w:tplc="04070019" w:tentative="1">
      <w:start w:val="1"/>
      <w:numFmt w:val="lowerLetter"/>
      <w:lvlText w:val="%5."/>
      <w:lvlJc w:val="left"/>
      <w:pPr>
        <w:ind w:left="3773" w:hanging="360"/>
      </w:pPr>
    </w:lvl>
    <w:lvl w:ilvl="5" w:tplc="0407001B" w:tentative="1">
      <w:start w:val="1"/>
      <w:numFmt w:val="lowerRoman"/>
      <w:lvlText w:val="%6."/>
      <w:lvlJc w:val="right"/>
      <w:pPr>
        <w:ind w:left="4493" w:hanging="180"/>
      </w:pPr>
    </w:lvl>
    <w:lvl w:ilvl="6" w:tplc="0407000F" w:tentative="1">
      <w:start w:val="1"/>
      <w:numFmt w:val="decimal"/>
      <w:lvlText w:val="%7."/>
      <w:lvlJc w:val="left"/>
      <w:pPr>
        <w:ind w:left="5213" w:hanging="360"/>
      </w:pPr>
    </w:lvl>
    <w:lvl w:ilvl="7" w:tplc="04070019" w:tentative="1">
      <w:start w:val="1"/>
      <w:numFmt w:val="lowerLetter"/>
      <w:lvlText w:val="%8."/>
      <w:lvlJc w:val="left"/>
      <w:pPr>
        <w:ind w:left="5933" w:hanging="360"/>
      </w:pPr>
    </w:lvl>
    <w:lvl w:ilvl="8" w:tplc="0407001B" w:tentative="1">
      <w:start w:val="1"/>
      <w:numFmt w:val="lowerRoman"/>
      <w:lvlText w:val="%9."/>
      <w:lvlJc w:val="right"/>
      <w:pPr>
        <w:ind w:left="66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2B73"/>
    <w:rsid w:val="00065B4A"/>
    <w:rsid w:val="001356ED"/>
    <w:rsid w:val="0018612F"/>
    <w:rsid w:val="002447BC"/>
    <w:rsid w:val="002F54EF"/>
    <w:rsid w:val="00330494"/>
    <w:rsid w:val="00342B73"/>
    <w:rsid w:val="00376313"/>
    <w:rsid w:val="0041479C"/>
    <w:rsid w:val="00481193"/>
    <w:rsid w:val="004F52CF"/>
    <w:rsid w:val="00537137"/>
    <w:rsid w:val="005B1D90"/>
    <w:rsid w:val="0063484A"/>
    <w:rsid w:val="006832DF"/>
    <w:rsid w:val="006D5F63"/>
    <w:rsid w:val="007D3460"/>
    <w:rsid w:val="0081114A"/>
    <w:rsid w:val="00842502"/>
    <w:rsid w:val="00940484"/>
    <w:rsid w:val="00960A87"/>
    <w:rsid w:val="00B328EF"/>
    <w:rsid w:val="00B656BE"/>
    <w:rsid w:val="00BE498F"/>
    <w:rsid w:val="00DB2748"/>
    <w:rsid w:val="00EC2B69"/>
    <w:rsid w:val="00FC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68EA5ED"/>
  <w15:chartTrackingRefBased/>
  <w15:docId w15:val="{69676EF5-42D8-400A-8346-1C4A551F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berschrift1">
    <w:name w:val="heading 1"/>
    <w:basedOn w:val="Standard"/>
    <w:next w:val="Standard"/>
    <w:qFormat/>
    <w:pPr>
      <w:outlineLvl w:val="0"/>
    </w:pPr>
  </w:style>
  <w:style w:type="paragraph" w:styleId="berschrift2">
    <w:name w:val="heading 2"/>
    <w:basedOn w:val="Standard"/>
    <w:next w:val="Standard"/>
    <w:qFormat/>
    <w:pPr>
      <w:outlineLvl w:val="1"/>
    </w:pPr>
  </w:style>
  <w:style w:type="paragraph" w:styleId="berschrift3">
    <w:name w:val="heading 3"/>
    <w:basedOn w:val="Standard"/>
    <w:next w:val="Standard"/>
    <w:qFormat/>
    <w:pPr>
      <w:outlineLvl w:val="2"/>
    </w:pPr>
  </w:style>
  <w:style w:type="paragraph" w:styleId="berschrift4">
    <w:name w:val="heading 4"/>
    <w:basedOn w:val="Standard"/>
    <w:next w:val="Standard"/>
    <w:qFormat/>
    <w:pPr>
      <w:outlineLvl w:val="3"/>
    </w:pPr>
  </w:style>
  <w:style w:type="paragraph" w:styleId="berschrift5">
    <w:name w:val="heading 5"/>
    <w:basedOn w:val="Standard"/>
    <w:next w:val="Standard"/>
    <w:qFormat/>
    <w:pPr>
      <w:outlineLvl w:val="4"/>
    </w:pPr>
  </w:style>
  <w:style w:type="paragraph" w:styleId="berschrift6">
    <w:name w:val="heading 6"/>
    <w:basedOn w:val="Standard"/>
    <w:next w:val="Standard"/>
    <w:qFormat/>
    <w:pPr>
      <w:outlineLvl w:val="5"/>
    </w:pPr>
  </w:style>
  <w:style w:type="paragraph" w:styleId="berschrift7">
    <w:name w:val="heading 7"/>
    <w:basedOn w:val="Standard"/>
    <w:next w:val="Standard"/>
    <w:qFormat/>
    <w:pPr>
      <w:outlineLvl w:val="6"/>
    </w:pPr>
  </w:style>
  <w:style w:type="paragraph" w:styleId="berschrift8">
    <w:name w:val="heading 8"/>
    <w:basedOn w:val="Standard"/>
    <w:next w:val="Standard"/>
    <w:qFormat/>
    <w:pPr>
      <w:outlineLvl w:val="7"/>
    </w:pPr>
  </w:style>
  <w:style w:type="paragraph" w:styleId="berschrift9">
    <w:name w:val="heading 9"/>
    <w:basedOn w:val="Standard"/>
    <w:next w:val="Standard"/>
    <w:qFormat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656BE"/>
    <w:rPr>
      <w:noProof/>
    </w:rPr>
  </w:style>
  <w:style w:type="character" w:styleId="Kommentarzeichen">
    <w:name w:val="annotation reference"/>
    <w:semiHidden/>
    <w:rsid w:val="004F52CF"/>
    <w:rPr>
      <w:sz w:val="16"/>
      <w:szCs w:val="16"/>
    </w:rPr>
  </w:style>
  <w:style w:type="paragraph" w:styleId="Kommentartext">
    <w:name w:val="annotation text"/>
    <w:basedOn w:val="Standard"/>
    <w:semiHidden/>
    <w:rsid w:val="004F52CF"/>
  </w:style>
  <w:style w:type="paragraph" w:styleId="Kommentarthema">
    <w:name w:val="annotation subject"/>
    <w:basedOn w:val="Kommentartext"/>
    <w:next w:val="Kommentartext"/>
    <w:semiHidden/>
    <w:rsid w:val="004F52CF"/>
    <w:rPr>
      <w:b/>
      <w:bCs/>
    </w:rPr>
  </w:style>
  <w:style w:type="paragraph" w:styleId="Sprechblasentext">
    <w:name w:val="Balloon Text"/>
    <w:basedOn w:val="Standard"/>
    <w:semiHidden/>
    <w:rsid w:val="004F52CF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81114A"/>
    <w:pPr>
      <w:overflowPunct/>
      <w:autoSpaceDE/>
      <w:autoSpaceDN/>
      <w:adjustRightInd/>
      <w:spacing w:line="480" w:lineRule="auto"/>
      <w:textAlignment w:val="auto"/>
    </w:pPr>
    <w:rPr>
      <w:rFonts w:ascii="Verdana" w:hAnsi="Verdana"/>
      <w:noProof w:val="0"/>
      <w:szCs w:val="24"/>
    </w:rPr>
  </w:style>
  <w:style w:type="character" w:customStyle="1" w:styleId="TextkrperZchn">
    <w:name w:val="Textkörper Zchn"/>
    <w:link w:val="Textkrper"/>
    <w:rsid w:val="0081114A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5441B98C7BCA439646A65531D47233" ma:contentTypeVersion="" ma:contentTypeDescription="Ein neues Dokument erstellen." ma:contentTypeScope="" ma:versionID="02c9593219c964d4ff121fc8b67a010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1E1CBE-99AA-4CB7-B90A-BCDBE2E69171}">
  <ds:schemaRefs>
    <ds:schemaRef ds:uri="55696b60-0389-45c2-bb8c-032517eb46a2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03DC2EE-B513-4A97-882B-D6506167BF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F7742E-E591-4EF4-9A3C-E85044C94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Transkription:</vt:lpstr>
    </vt:vector>
  </TitlesOfParts>
  <Company>MAHAJAKA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Transkription:</dc:title>
  <dc:subject/>
  <dc:creator>Hauke Holtorf</dc:creator>
  <cp:keywords/>
  <cp:lastModifiedBy>Barbian, Markus (ZSL)</cp:lastModifiedBy>
  <cp:revision>3</cp:revision>
  <cp:lastPrinted>2011-10-08T15:05:00Z</cp:lastPrinted>
  <dcterms:created xsi:type="dcterms:W3CDTF">2020-04-15T15:45:00Z</dcterms:created>
  <dcterms:modified xsi:type="dcterms:W3CDTF">2021-05-12T07:19:00Z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0x010100275441B98C7BCA439646A65531D47233</vt:lpwstr>
  </property>
</Properties>
</file>