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DA4F7" w14:textId="77777777" w:rsidR="00C76135" w:rsidRPr="00E43E7C" w:rsidRDefault="003A2861" w:rsidP="003A2861">
      <w:pPr>
        <w:pStyle w:val="berschrift1"/>
      </w:pPr>
      <w:r w:rsidRPr="003A2861">
        <w:t>A</w:t>
      </w:r>
      <w:r w:rsidR="00F01715" w:rsidRPr="003A2861">
        <w:t>ufgabe</w:t>
      </w:r>
      <w:r>
        <w:t> </w:t>
      </w:r>
      <w:r w:rsidR="00F01715" w:rsidRPr="00E43E7C">
        <w:t>1</w:t>
      </w:r>
    </w:p>
    <w:p w14:paraId="0578A826" w14:textId="77777777" w:rsidR="0051761D" w:rsidRDefault="0051761D" w:rsidP="0051761D">
      <w:r>
        <w:t xml:space="preserve">Die </w:t>
      </w:r>
      <w:r w:rsidRPr="00554FE3">
        <w:t>TuM</w:t>
      </w:r>
      <w:r>
        <w:t xml:space="preserve"> GmbH ist ein mittelständischer Autozulieferer. Die Kernkompetenz liegt in der Herstellung von Kugellagern. Aufgrund der kriselnden Autobranche sollen die Verträge für das kommende Jahr neu verhandelt werden. Sie sind seit einiger Zeit in der Abteilung Rechnungswesen und Controlling beschäftigt. Mit Ihren guten Detailkenntnissen aus Produktion und Kostenrechnung sollen Sie zunächst das Betriebsergebnis von drei absatzstarken Kugellagern berechnen.</w:t>
      </w:r>
    </w:p>
    <w:p w14:paraId="4BC70B61" w14:textId="63E150D1" w:rsidR="0051761D" w:rsidRDefault="0051761D" w:rsidP="0051761D">
      <w:r>
        <w:t>Es liegen Ihnen folgende Daten vor:</w:t>
      </w:r>
    </w:p>
    <w:p w14:paraId="2183EB8E" w14:textId="7F0B246E" w:rsidR="0051761D" w:rsidRDefault="00BA2401" w:rsidP="00BA2401">
      <w:pPr>
        <w:pStyle w:val="Aufgabe"/>
        <w:tabs>
          <w:tab w:val="clear" w:pos="425"/>
          <w:tab w:val="left" w:pos="426"/>
        </w:tabs>
      </w:pPr>
      <w:r>
        <w:t>1.</w:t>
      </w:r>
      <w:r w:rsidR="008D151C">
        <w:fldChar w:fldCharType="begin"/>
      </w:r>
      <w:r w:rsidR="008D151C">
        <w:instrText xml:space="preserve"> SEQ 1. \* ARABIC </w:instrText>
      </w:r>
      <w:r w:rsidR="008D151C">
        <w:fldChar w:fldCharType="separate"/>
      </w:r>
      <w:r w:rsidR="00564053">
        <w:rPr>
          <w:noProof/>
        </w:rPr>
        <w:t>1</w:t>
      </w:r>
      <w:r w:rsidR="008D151C">
        <w:rPr>
          <w:noProof/>
        </w:rPr>
        <w:fldChar w:fldCharType="end"/>
      </w:r>
      <w:r>
        <w:tab/>
      </w:r>
      <w:r w:rsidR="0051761D" w:rsidRPr="0051761D">
        <w:t xml:space="preserve">Ermitteln Sie den Erfolg der </w:t>
      </w:r>
      <w:r w:rsidR="0051761D" w:rsidRPr="00554FE3">
        <w:t>TuM</w:t>
      </w:r>
      <w:r w:rsidR="0051761D" w:rsidRPr="0051761D">
        <w:t xml:space="preserve"> GmbH anhand der vorliegenden Zuschlagskalkulation. Jedes der betrachteten Kugellager hat einen durchschnittlichen Absatz von 10.000 Stück. Verwenden Sie hierzu </w:t>
      </w:r>
      <w:r w:rsidR="0051761D">
        <w:t>Material</w:t>
      </w:r>
      <w:r w:rsidR="001D2632">
        <w:t> </w:t>
      </w:r>
      <w:r w:rsidR="0051761D" w:rsidRPr="00554FE3">
        <w:rPr>
          <w:b/>
          <w:bCs/>
        </w:rPr>
        <w:t>M1</w:t>
      </w:r>
      <w:r w:rsidR="0051761D" w:rsidRPr="0051761D">
        <w:t>.</w:t>
      </w:r>
    </w:p>
    <w:p w14:paraId="31F0EB93" w14:textId="698194F5" w:rsidR="0051761D" w:rsidRDefault="00BA2401" w:rsidP="00BA2401">
      <w:pPr>
        <w:pStyle w:val="Aufgabe"/>
      </w:pPr>
      <w:r>
        <w:t>1.</w:t>
      </w:r>
      <w:r w:rsidR="008D151C">
        <w:fldChar w:fldCharType="begin"/>
      </w:r>
      <w:r w:rsidR="008D151C">
        <w:instrText xml:space="preserve"> SEQ 1. \* ARABIC </w:instrText>
      </w:r>
      <w:r w:rsidR="008D151C">
        <w:fldChar w:fldCharType="separate"/>
      </w:r>
      <w:r w:rsidR="00564053">
        <w:rPr>
          <w:noProof/>
        </w:rPr>
        <w:t>2</w:t>
      </w:r>
      <w:r w:rsidR="008D151C">
        <w:rPr>
          <w:noProof/>
        </w:rPr>
        <w:fldChar w:fldCharType="end"/>
      </w:r>
      <w:r>
        <w:tab/>
      </w:r>
      <w:r w:rsidR="0051761D" w:rsidRPr="0051761D">
        <w:t>Begründen Sie, welche Schlussfolgerungen im Rahmen der Vollkostenrechnung zu ziehen wären</w:t>
      </w:r>
      <w:r w:rsidR="00B23A78">
        <w:t>.</w:t>
      </w:r>
    </w:p>
    <w:p w14:paraId="0DE5726D" w14:textId="574F34F6" w:rsidR="00BB4EBD" w:rsidRDefault="003A2861" w:rsidP="003A2861">
      <w:pPr>
        <w:pStyle w:val="berschrift1"/>
      </w:pPr>
      <w:r>
        <w:t>A</w:t>
      </w:r>
      <w:r w:rsidR="00BB4EBD" w:rsidRPr="003A2861">
        <w:t>ufgabe</w:t>
      </w:r>
      <w:r>
        <w:t> </w:t>
      </w:r>
      <w:r w:rsidR="00BB4EBD" w:rsidRPr="00E43E7C">
        <w:t>2</w:t>
      </w:r>
    </w:p>
    <w:p w14:paraId="0173D358" w14:textId="77777777" w:rsidR="0051761D" w:rsidRDefault="0051761D" w:rsidP="0051761D">
      <w:r>
        <w:t>Eine genauere Recherche Ihrerseits ergibt, dass die Kosten in absehbarer Zeit nicht zu senken sind und bei den Autoherstellern ein höherer Listenverkaufspreis für das Kugellager III nicht durchsetzbar ist.</w:t>
      </w:r>
    </w:p>
    <w:p w14:paraId="537F917D" w14:textId="77777777" w:rsidR="0051761D" w:rsidRDefault="0051761D" w:rsidP="0051761D">
      <w:r>
        <w:t>Ihre Ergebnisse stellen Sie auf der nächsten Abteilungssitzung vor. Eine Mehrheit der Anwesenden spricht sich daraufhin für die Eliminierung der Kugellagergruppe III aus dem Sortiment aus.</w:t>
      </w:r>
    </w:p>
    <w:p w14:paraId="5FFD3CEE" w14:textId="5F5097E5" w:rsidR="0051761D" w:rsidRDefault="0051761D" w:rsidP="0051761D">
      <w:r>
        <w:t xml:space="preserve">Sie möchten die </w:t>
      </w:r>
      <w:r w:rsidR="00BB0FAF">
        <w:t xml:space="preserve">Kolleginnen und Kollegen </w:t>
      </w:r>
      <w:r>
        <w:t xml:space="preserve">überzeugen, dass unter dem Blickwinkel der Teilkostenrechnung ein Verbleib der Kugellagergruppe III im Sortiment Sinn </w:t>
      </w:r>
      <w:r w:rsidR="00A9637D">
        <w:t>ergäbe</w:t>
      </w:r>
      <w:r>
        <w:t>.</w:t>
      </w:r>
    </w:p>
    <w:p w14:paraId="0C946DC2" w14:textId="3E5ACC34" w:rsidR="004947A3" w:rsidRPr="002C2E78" w:rsidRDefault="00BA2401" w:rsidP="00BA2401">
      <w:pPr>
        <w:pStyle w:val="Aufgabe"/>
      </w:pPr>
      <w:r w:rsidRPr="00BA2401">
        <w:t>2.</w:t>
      </w:r>
      <w:r w:rsidR="008D151C">
        <w:fldChar w:fldCharType="begin"/>
      </w:r>
      <w:r w:rsidR="008D151C">
        <w:instrText xml:space="preserve"> SEQ 2. \* ARABIC </w:instrText>
      </w:r>
      <w:r w:rsidR="008D151C">
        <w:fldChar w:fldCharType="separate"/>
      </w:r>
      <w:r w:rsidR="00564053">
        <w:rPr>
          <w:noProof/>
        </w:rPr>
        <w:t>1</w:t>
      </w:r>
      <w:r w:rsidR="008D151C">
        <w:rPr>
          <w:noProof/>
        </w:rPr>
        <w:fldChar w:fldCharType="end"/>
      </w:r>
      <w:r w:rsidRPr="00BA2401">
        <w:tab/>
      </w:r>
      <w:r w:rsidR="0051761D">
        <w:t xml:space="preserve">Stellen Sie die wesentlichen Merkmale der Teilkostenrechnung in Form der Deckungsbeitragsrechnung in einer Stichwortliste für Ihren Kurzvortrag vor den </w:t>
      </w:r>
      <w:r w:rsidR="00BB0FAF">
        <w:t xml:space="preserve">Kolleginnen und </w:t>
      </w:r>
      <w:r w:rsidR="0051761D">
        <w:t>Kollegen dar. Verwenden Sie hierzu Ihr Buch oder das Internet.</w:t>
      </w:r>
    </w:p>
    <w:p w14:paraId="140AB98A" w14:textId="46F118B9" w:rsidR="0051761D" w:rsidRDefault="00BA2401" w:rsidP="00BA2401">
      <w:pPr>
        <w:pStyle w:val="Aufgabe"/>
      </w:pPr>
      <w:r w:rsidRPr="00BA2401">
        <w:t>2.</w:t>
      </w:r>
      <w:r w:rsidR="008D151C">
        <w:fldChar w:fldCharType="begin"/>
      </w:r>
      <w:r w:rsidR="008D151C">
        <w:instrText xml:space="preserve"> SEQ 2. \* ARABIC </w:instrText>
      </w:r>
      <w:r w:rsidR="008D151C">
        <w:fldChar w:fldCharType="separate"/>
      </w:r>
      <w:r w:rsidR="00564053">
        <w:rPr>
          <w:noProof/>
        </w:rPr>
        <w:t>2</w:t>
      </w:r>
      <w:r w:rsidR="008D151C">
        <w:rPr>
          <w:noProof/>
        </w:rPr>
        <w:fldChar w:fldCharType="end"/>
      </w:r>
      <w:r w:rsidRPr="00BA2401">
        <w:tab/>
      </w:r>
      <w:r w:rsidR="0051761D">
        <w:t>Berechnen Sie nun zunächst das Betriebsergebnis (1.1) nach der Teilkostenrechnung und vergleichen Sie mit Ihrem Ergebnis aus 1.1. Verwenden Sie hierzu</w:t>
      </w:r>
      <w:r w:rsidR="0051761D" w:rsidRPr="0051761D">
        <w:t xml:space="preserve"> </w:t>
      </w:r>
      <w:r w:rsidR="0051761D">
        <w:t>Material</w:t>
      </w:r>
      <w:r w:rsidR="001D2632">
        <w:t> </w:t>
      </w:r>
      <w:r w:rsidR="0051761D" w:rsidRPr="0051761D">
        <w:rPr>
          <w:b/>
          <w:bCs/>
        </w:rPr>
        <w:t>M2</w:t>
      </w:r>
      <w:r w:rsidR="0051761D">
        <w:t>.</w:t>
      </w:r>
    </w:p>
    <w:p w14:paraId="7809C868" w14:textId="0B38812E" w:rsidR="00BB4EBD" w:rsidRPr="00FD60BE" w:rsidRDefault="00FD60BE" w:rsidP="0051761D">
      <w:pPr>
        <w:pStyle w:val="Aufgabe"/>
      </w:pPr>
      <w:r w:rsidRPr="00BA2401">
        <w:t>2.</w:t>
      </w:r>
      <w:r w:rsidR="008D151C">
        <w:fldChar w:fldCharType="begin"/>
      </w:r>
      <w:r w:rsidR="008D151C">
        <w:instrText xml:space="preserve"> SEQ 2. \* ARABIC </w:instrText>
      </w:r>
      <w:r w:rsidR="008D151C">
        <w:fldChar w:fldCharType="separate"/>
      </w:r>
      <w:r w:rsidR="00564053">
        <w:rPr>
          <w:noProof/>
        </w:rPr>
        <w:t>3</w:t>
      </w:r>
      <w:r w:rsidR="008D151C">
        <w:rPr>
          <w:noProof/>
        </w:rPr>
        <w:fldChar w:fldCharType="end"/>
      </w:r>
      <w:r w:rsidR="00B23A78">
        <w:t xml:space="preserve"> Um</w:t>
      </w:r>
      <w:r w:rsidR="0051761D">
        <w:t xml:space="preserve"> die </w:t>
      </w:r>
      <w:r w:rsidR="00BB0FAF">
        <w:t xml:space="preserve">Kolleginnen und Kollegen </w:t>
      </w:r>
      <w:r w:rsidR="0051761D">
        <w:t xml:space="preserve">zu überzeugen, berechnen Sie anschließend das Betriebsergebnis nach der Voll- und Teilkostenrechnung, wenn das Kugellager III nicht mehr produziert würde und weiterhin 10.000 </w:t>
      </w:r>
      <w:r w:rsidR="0051761D">
        <w:tab/>
        <w:t>Stück von Kugellager I und II abgesetzt würden.</w:t>
      </w:r>
      <w:r w:rsidR="0051761D">
        <w:br/>
        <w:t>Verwenden Sie hierzu das Material</w:t>
      </w:r>
      <w:r w:rsidR="001D2632">
        <w:t> </w:t>
      </w:r>
      <w:r w:rsidR="0051761D" w:rsidRPr="0051761D">
        <w:rPr>
          <w:b/>
          <w:bCs/>
        </w:rPr>
        <w:t>M3</w:t>
      </w:r>
      <w:r w:rsidR="0051761D">
        <w:t xml:space="preserve"> und stellen Sie Ihre Ergebnisse Ihren </w:t>
      </w:r>
      <w:r w:rsidR="00BB0FAF">
        <w:t xml:space="preserve">Kolleginnen und Kollegen </w:t>
      </w:r>
      <w:r w:rsidR="0051761D">
        <w:t>(Klassenplenum) vor.</w:t>
      </w:r>
    </w:p>
    <w:p w14:paraId="2A5A2A5B" w14:textId="7C6B3E73" w:rsidR="0061600A" w:rsidRPr="00FD60BE" w:rsidRDefault="00FD60BE" w:rsidP="00FD60BE">
      <w:pPr>
        <w:pStyle w:val="Aufgabe"/>
      </w:pPr>
      <w:r w:rsidRPr="00BA2401">
        <w:t>2.</w:t>
      </w:r>
      <w:r w:rsidR="008D151C">
        <w:fldChar w:fldCharType="begin"/>
      </w:r>
      <w:r w:rsidR="008D151C">
        <w:instrText xml:space="preserve"> SEQ 2. \* ARABIC </w:instrText>
      </w:r>
      <w:r w:rsidR="008D151C">
        <w:fldChar w:fldCharType="separate"/>
      </w:r>
      <w:r w:rsidR="00564053">
        <w:rPr>
          <w:noProof/>
        </w:rPr>
        <w:t>4</w:t>
      </w:r>
      <w:r w:rsidR="008D151C">
        <w:rPr>
          <w:noProof/>
        </w:rPr>
        <w:fldChar w:fldCharType="end"/>
      </w:r>
      <w:r w:rsidRPr="00BA2401">
        <w:tab/>
      </w:r>
      <w:r w:rsidR="0051761D">
        <w:t xml:space="preserve">Begründen Sie für Ihre </w:t>
      </w:r>
      <w:r w:rsidR="00BB0FAF">
        <w:t xml:space="preserve">Kolleginnen und Kollegen </w:t>
      </w:r>
      <w:r w:rsidR="0051761D">
        <w:t>die Ergebnisse in einer kurzen Merknotiz.</w:t>
      </w:r>
    </w:p>
    <w:p w14:paraId="1F2DC962" w14:textId="6BA45847" w:rsidR="0051761D" w:rsidRDefault="00FD60BE" w:rsidP="0051761D">
      <w:pPr>
        <w:pStyle w:val="Aufgabe"/>
      </w:pPr>
      <w:r w:rsidRPr="00BA2401">
        <w:t>2.</w:t>
      </w:r>
      <w:r w:rsidR="008D151C">
        <w:fldChar w:fldCharType="begin"/>
      </w:r>
      <w:r w:rsidR="008D151C">
        <w:instrText xml:space="preserve"> SEQ 2. \* ARABIC </w:instrText>
      </w:r>
      <w:r w:rsidR="008D151C">
        <w:fldChar w:fldCharType="separate"/>
      </w:r>
      <w:r w:rsidR="00564053">
        <w:rPr>
          <w:noProof/>
        </w:rPr>
        <w:t>5</w:t>
      </w:r>
      <w:r w:rsidR="008D151C">
        <w:rPr>
          <w:noProof/>
        </w:rPr>
        <w:fldChar w:fldCharType="end"/>
      </w:r>
      <w:r w:rsidR="00B23A78">
        <w:t xml:space="preserve"> Ein</w:t>
      </w:r>
      <w:r w:rsidR="0051761D">
        <w:t xml:space="preserve"> Autohersteller stellt eine Auftragsanfrage, über 15.000 Stück Kugellager I für einen Bezugspreis von 2,50 € pro Stück.</w:t>
      </w:r>
      <w:r w:rsidR="0051761D">
        <w:br/>
        <w:t xml:space="preserve">Um Ihre </w:t>
      </w:r>
      <w:r w:rsidR="00BB0FAF">
        <w:t xml:space="preserve">Kolleginnen und Kollegen </w:t>
      </w:r>
      <w:r w:rsidR="0051761D">
        <w:t>auch hier von der Notwendigkeit der Teilkostenrechnung zu überzeugen, analysieren Sie, ob dieser Zusatzauftrag bei freier Kapazität angenommen werden soll. Verwenden Sie hierzu Ihre selbst erstellte Stichwortliste aus Aufgabe 2.1 und Material</w:t>
      </w:r>
      <w:r w:rsidR="001D2632">
        <w:t> </w:t>
      </w:r>
      <w:r w:rsidR="0051761D" w:rsidRPr="00554FE3">
        <w:rPr>
          <w:b/>
          <w:bCs/>
        </w:rPr>
        <w:t>M4</w:t>
      </w:r>
      <w:r w:rsidR="0051761D">
        <w:t>.</w:t>
      </w:r>
    </w:p>
    <w:p w14:paraId="0568C441" w14:textId="750289B3" w:rsidR="00E43E7C" w:rsidRPr="00FD60BE" w:rsidRDefault="00FD60BE" w:rsidP="001D2632">
      <w:pPr>
        <w:pStyle w:val="Aufgabe"/>
      </w:pPr>
      <w:r w:rsidRPr="00BA2401">
        <w:t>2.</w:t>
      </w:r>
      <w:r w:rsidR="008D151C">
        <w:fldChar w:fldCharType="begin"/>
      </w:r>
      <w:r w:rsidR="008D151C">
        <w:instrText xml:space="preserve"> SEQ 2. \* ARABIC </w:instrText>
      </w:r>
      <w:r w:rsidR="008D151C">
        <w:fldChar w:fldCharType="separate"/>
      </w:r>
      <w:r w:rsidR="00564053">
        <w:rPr>
          <w:noProof/>
        </w:rPr>
        <w:t>6</w:t>
      </w:r>
      <w:r w:rsidR="008D151C">
        <w:rPr>
          <w:noProof/>
        </w:rPr>
        <w:fldChar w:fldCharType="end"/>
      </w:r>
      <w:r w:rsidRPr="00BA2401">
        <w:tab/>
      </w:r>
      <w:r w:rsidR="001D2632">
        <w:t xml:space="preserve">Um weiterhin am Markt bestehen zu können, möchte die </w:t>
      </w:r>
      <w:r w:rsidR="001D2632" w:rsidRPr="00554FE3">
        <w:t>TuM</w:t>
      </w:r>
      <w:r w:rsidR="001D2632">
        <w:t xml:space="preserve"> GmbH einen innovativen, neuen Kugellagertyp am Markt etablieren. Die variablen </w:t>
      </w:r>
      <w:r w:rsidR="00B23A78">
        <w:t>Stückkosten für den Kugellagert</w:t>
      </w:r>
      <w:r w:rsidR="001D2632">
        <w:t>yp IV belaufen sich auf 4,80 €. Die fixen Kosten auf 100.000 €. Der voraussichtliche Verkaufspreis liegt bei 8,50 €.</w:t>
      </w:r>
      <w:r w:rsidR="001D2632">
        <w:br/>
        <w:t xml:space="preserve">Für Ihre </w:t>
      </w:r>
      <w:r w:rsidR="00BB0FAF">
        <w:t xml:space="preserve">Kolleginnen und Kollegen </w:t>
      </w:r>
      <w:r w:rsidR="001D2632">
        <w:t xml:space="preserve">berechnen Sie, wo die Gewinnschwelle liegt, falls die </w:t>
      </w:r>
      <w:r w:rsidR="001D2632" w:rsidRPr="00554FE3">
        <w:t>TuM</w:t>
      </w:r>
      <w:r w:rsidR="001D2632">
        <w:t xml:space="preserve"> GmbH die neue Maschine anschafft. Verwenden Sie zur Recherche Ihr Buch oder das Internet.</w:t>
      </w:r>
    </w:p>
    <w:p w14:paraId="339EEA63" w14:textId="714FB42A" w:rsidR="001D2632" w:rsidRDefault="00FD60BE" w:rsidP="001D2632">
      <w:pPr>
        <w:pStyle w:val="Aufgabe"/>
      </w:pPr>
      <w:r w:rsidRPr="00BA2401">
        <w:lastRenderedPageBreak/>
        <w:t>2.</w:t>
      </w:r>
      <w:r w:rsidR="008D151C">
        <w:fldChar w:fldCharType="begin"/>
      </w:r>
      <w:r w:rsidR="008D151C">
        <w:instrText xml:space="preserve"> SEQ 2. \* ARABIC </w:instrText>
      </w:r>
      <w:r w:rsidR="008D151C">
        <w:fldChar w:fldCharType="separate"/>
      </w:r>
      <w:r w:rsidR="00564053">
        <w:rPr>
          <w:noProof/>
        </w:rPr>
        <w:t>7</w:t>
      </w:r>
      <w:r w:rsidR="008D151C">
        <w:rPr>
          <w:noProof/>
        </w:rPr>
        <w:fldChar w:fldCharType="end"/>
      </w:r>
      <w:r w:rsidRPr="00BA2401">
        <w:tab/>
      </w:r>
      <w:r w:rsidR="001D2632">
        <w:t xml:space="preserve">Ein innovativer Wettbewerber hat angekündigt ein zum Typ IV vergleichbares Kugellager zu einem Verkaufspreis von 8,00 / Stück anbieten zu können. Um Ihren </w:t>
      </w:r>
      <w:r w:rsidR="00BB0FAF">
        <w:t xml:space="preserve">Kolleginnen und Kollegen </w:t>
      </w:r>
      <w:r w:rsidR="001D2632">
        <w:t>die Entscheidung zum Kauf der Produktionsmaschine für das Kugellager Typ IV zu erleichtern</w:t>
      </w:r>
      <w:r w:rsidR="00B23A78">
        <w:t>,</w:t>
      </w:r>
      <w:r w:rsidR="001D2632">
        <w:t xml:space="preserve"> berechnen Sie, ab welcher Menge der Fremdbezug günstiger wäre als die eigene Fertigung. Verwenden Sie zur Recherche Ihr Buch oder das Internet.</w:t>
      </w:r>
    </w:p>
    <w:p w14:paraId="63ACC52E" w14:textId="6AC21B51" w:rsidR="00E12FA7" w:rsidRPr="003A2861" w:rsidRDefault="00E12FA7" w:rsidP="001D2632">
      <w:pPr>
        <w:pStyle w:val="berschrift1"/>
      </w:pPr>
      <w:r w:rsidRPr="003A2861">
        <w:t>Aufgabe</w:t>
      </w:r>
      <w:r w:rsidR="003A2861">
        <w:t> </w:t>
      </w:r>
      <w:r w:rsidRPr="003A2861">
        <w:t>3</w:t>
      </w:r>
    </w:p>
    <w:p w14:paraId="2039569D" w14:textId="4BC07146" w:rsidR="001D2632" w:rsidRDefault="001D2632" w:rsidP="001D2632">
      <w:r>
        <w:t xml:space="preserve">Bei der </w:t>
      </w:r>
      <w:r w:rsidRPr="00554FE3">
        <w:t>TuM</w:t>
      </w:r>
      <w:r>
        <w:t xml:space="preserve"> GmbH durchlaufen alle Kugellager die Abteilung Qualitätskontrolle. In dieser Abteilung stehen zurzeit </w:t>
      </w:r>
      <w:r w:rsidR="00B23A78">
        <w:t>aufgrund</w:t>
      </w:r>
      <w:r>
        <w:t xml:space="preserve"> personeller Engpässe nur eine Prüfkapazität von 300 Stunden pro Monat zur </w:t>
      </w:r>
      <w:r w:rsidR="00B23A78">
        <w:t>Verfügung.</w:t>
      </w:r>
      <w:r>
        <w:t xml:space="preserve"> </w:t>
      </w:r>
    </w:p>
    <w:p w14:paraId="67B3528F" w14:textId="3112BE91" w:rsidR="001D2632" w:rsidRDefault="00FD60BE" w:rsidP="001D2632">
      <w:pPr>
        <w:pStyle w:val="Aufgabe"/>
      </w:pPr>
      <w:r>
        <w:t>3.</w:t>
      </w:r>
      <w:r w:rsidR="008D151C">
        <w:fldChar w:fldCharType="begin"/>
      </w:r>
      <w:r w:rsidR="008D151C">
        <w:instrText xml:space="preserve"> SEQ 3. \* ARABIC </w:instrText>
      </w:r>
      <w:r w:rsidR="008D151C">
        <w:fldChar w:fldCharType="separate"/>
      </w:r>
      <w:r w:rsidR="00564053">
        <w:rPr>
          <w:noProof/>
        </w:rPr>
        <w:t>1</w:t>
      </w:r>
      <w:r w:rsidR="008D151C">
        <w:rPr>
          <w:noProof/>
        </w:rPr>
        <w:fldChar w:fldCharType="end"/>
      </w:r>
      <w:r w:rsidR="001D2632">
        <w:tab/>
        <w:t>Um einen Überblick zu erhalten, berechnen Sie zunächst die absoluten dB und vergeben eine Rangfolge unter dem Blickwinkel der grundsätzlichen Sortimentsbedeutung der jeweiligen Kugellager. Verwenden Sie hierzu</w:t>
      </w:r>
      <w:r w:rsidR="001D2632" w:rsidRPr="001D2632">
        <w:t xml:space="preserve"> </w:t>
      </w:r>
      <w:r w:rsidR="001D2632">
        <w:t>Material </w:t>
      </w:r>
      <w:r w:rsidR="001D2632" w:rsidRPr="00554FE3">
        <w:rPr>
          <w:b/>
          <w:bCs/>
        </w:rPr>
        <w:t>M5</w:t>
      </w:r>
      <w:r w:rsidR="001D2632">
        <w:t>.</w:t>
      </w:r>
    </w:p>
    <w:p w14:paraId="70320D70" w14:textId="37258131" w:rsidR="006571A9" w:rsidRPr="00FD60BE" w:rsidRDefault="00FD60BE" w:rsidP="00FD60BE">
      <w:pPr>
        <w:pStyle w:val="Aufgabe"/>
      </w:pPr>
      <w:r>
        <w:t>3.</w:t>
      </w:r>
      <w:r w:rsidR="008D151C">
        <w:fldChar w:fldCharType="begin"/>
      </w:r>
      <w:r w:rsidR="008D151C">
        <w:instrText xml:space="preserve"> SEQ 3. \* ARABIC </w:instrText>
      </w:r>
      <w:r w:rsidR="008D151C">
        <w:fldChar w:fldCharType="separate"/>
      </w:r>
      <w:r w:rsidR="00564053">
        <w:rPr>
          <w:noProof/>
        </w:rPr>
        <w:t>2</w:t>
      </w:r>
      <w:r w:rsidR="008D151C">
        <w:rPr>
          <w:noProof/>
        </w:rPr>
        <w:fldChar w:fldCharType="end"/>
      </w:r>
      <w:r w:rsidRPr="00BA2401">
        <w:tab/>
      </w:r>
      <w:r w:rsidR="001D2632">
        <w:t>Um der Engpasssituation in der Abteilung Qualitätskontrolle gerecht zu werden, berechnen Sie dafür den relativen Deckungsbeitrag der vier Kugellager und treffen Sie für Ihren Produktionsleiter eine Entscheidung für das „Engpassprogramm“. Verwenden Sie hierzu Ihr Buch oder das Internet und</w:t>
      </w:r>
      <w:r w:rsidR="001D2632" w:rsidRPr="001D2632">
        <w:t xml:space="preserve"> </w:t>
      </w:r>
      <w:r w:rsidR="001D2632">
        <w:t>Material </w:t>
      </w:r>
      <w:r w:rsidR="001D2632" w:rsidRPr="00554FE3">
        <w:rPr>
          <w:b/>
          <w:bCs/>
        </w:rPr>
        <w:t>M6</w:t>
      </w:r>
      <w:r w:rsidR="001D2632">
        <w:t>.</w:t>
      </w:r>
    </w:p>
    <w:p w14:paraId="4B3A6352" w14:textId="34D9F757" w:rsidR="00915DCF" w:rsidRDefault="00FD60BE" w:rsidP="00FD60BE">
      <w:pPr>
        <w:pStyle w:val="Aufgabe"/>
      </w:pPr>
      <w:r w:rsidRPr="00FD60BE">
        <w:t>3.</w:t>
      </w:r>
      <w:r w:rsidR="008D151C">
        <w:fldChar w:fldCharType="begin"/>
      </w:r>
      <w:r w:rsidR="008D151C">
        <w:instrText xml:space="preserve"> SEQ 3. \* ARABIC </w:instrText>
      </w:r>
      <w:r w:rsidR="008D151C">
        <w:fldChar w:fldCharType="separate"/>
      </w:r>
      <w:r w:rsidR="00564053">
        <w:rPr>
          <w:noProof/>
        </w:rPr>
        <w:t>3</w:t>
      </w:r>
      <w:r w:rsidR="008D151C">
        <w:rPr>
          <w:noProof/>
        </w:rPr>
        <w:fldChar w:fldCharType="end"/>
      </w:r>
      <w:r w:rsidRPr="00FD60BE">
        <w:tab/>
      </w:r>
      <w:r w:rsidR="001D2632">
        <w:t>Ermitteln Sie, wie hoch der Gesamtdeckungsbeitrag sein wird und welche Höhe der entgangene Deckungsbeitrag haben wird? Verwenden Sie dazu</w:t>
      </w:r>
      <w:r w:rsidR="001D2632" w:rsidRPr="001D2632">
        <w:t xml:space="preserve"> </w:t>
      </w:r>
      <w:r w:rsidR="001D2632">
        <w:t>Material </w:t>
      </w:r>
      <w:r w:rsidR="001D2632" w:rsidRPr="00554FE3">
        <w:rPr>
          <w:b/>
          <w:bCs/>
        </w:rPr>
        <w:t>M7</w:t>
      </w:r>
      <w:r w:rsidR="001D2632">
        <w:t>.</w:t>
      </w:r>
    </w:p>
    <w:p w14:paraId="2825659C" w14:textId="77777777" w:rsidR="00F35BAA" w:rsidRDefault="00F35BAA" w:rsidP="00FD60BE">
      <w:pPr>
        <w:pStyle w:val="Aufgabe"/>
        <w:sectPr w:rsidR="00F35BAA" w:rsidSect="00F01715">
          <w:headerReference w:type="even" r:id="rId11"/>
          <w:headerReference w:type="default" r:id="rId12"/>
          <w:footerReference w:type="even" r:id="rId13"/>
          <w:footerReference w:type="default" r:id="rId14"/>
          <w:headerReference w:type="first" r:id="rId15"/>
          <w:footerReference w:type="first" r:id="rId16"/>
          <w:type w:val="continuous"/>
          <w:pgSz w:w="12000" w:h="16832" w:code="9"/>
          <w:pgMar w:top="1134" w:right="1134" w:bottom="851" w:left="1134" w:header="482" w:footer="720" w:gutter="0"/>
          <w:cols w:space="708"/>
          <w:noEndnote/>
          <w:docGrid w:linePitch="245"/>
        </w:sectPr>
      </w:pPr>
    </w:p>
    <w:p w14:paraId="547F2543" w14:textId="0D3B41A7" w:rsidR="00F35BAA" w:rsidRDefault="00064EC6" w:rsidP="00064EC6">
      <w:pPr>
        <w:pStyle w:val="berschrift1"/>
      </w:pPr>
      <w:r>
        <w:lastRenderedPageBreak/>
        <w:t>Material </w:t>
      </w:r>
      <w:r w:rsidRPr="00554FE3">
        <w:t>M1</w:t>
      </w:r>
    </w:p>
    <w:p w14:paraId="37220D5F" w14:textId="77777777" w:rsidR="00D2295B" w:rsidRPr="00D2295B" w:rsidRDefault="00D2295B" w:rsidP="00D2295B"/>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1587"/>
        <w:gridCol w:w="1587"/>
        <w:gridCol w:w="1587"/>
      </w:tblGrid>
      <w:tr w:rsidR="00D37F5C" w:rsidRPr="002C2E78" w14:paraId="1CB2EFB0" w14:textId="77777777" w:rsidTr="00564053">
        <w:tc>
          <w:tcPr>
            <w:tcW w:w="2468" w:type="dxa"/>
            <w:shd w:val="clear" w:color="auto" w:fill="auto"/>
          </w:tcPr>
          <w:p w14:paraId="0457A983" w14:textId="77777777" w:rsidR="00D37F5C" w:rsidRPr="006C1334" w:rsidRDefault="00D37F5C" w:rsidP="00564053">
            <w:pPr>
              <w:pStyle w:val="StandardFett"/>
            </w:pPr>
            <w:r w:rsidRPr="006C1334">
              <w:t>Kugellager</w:t>
            </w:r>
          </w:p>
        </w:tc>
        <w:tc>
          <w:tcPr>
            <w:tcW w:w="1587" w:type="dxa"/>
            <w:shd w:val="clear" w:color="auto" w:fill="auto"/>
          </w:tcPr>
          <w:p w14:paraId="320EC395" w14:textId="77777777" w:rsidR="00D37F5C" w:rsidRPr="006C1334" w:rsidRDefault="00D37F5C" w:rsidP="00564053">
            <w:pPr>
              <w:pStyle w:val="StandardFettzentriert"/>
            </w:pPr>
            <w:r w:rsidRPr="006C1334">
              <w:t>Kugellager I</w:t>
            </w:r>
          </w:p>
        </w:tc>
        <w:tc>
          <w:tcPr>
            <w:tcW w:w="1587" w:type="dxa"/>
            <w:shd w:val="clear" w:color="auto" w:fill="auto"/>
          </w:tcPr>
          <w:p w14:paraId="7B71FF6C" w14:textId="77777777" w:rsidR="00D37F5C" w:rsidRPr="006C1334" w:rsidRDefault="00D37F5C" w:rsidP="00564053">
            <w:pPr>
              <w:pStyle w:val="StandardFettzentriert"/>
            </w:pPr>
            <w:r w:rsidRPr="006C1334">
              <w:t>Kugellager II</w:t>
            </w:r>
          </w:p>
        </w:tc>
        <w:tc>
          <w:tcPr>
            <w:tcW w:w="1587" w:type="dxa"/>
            <w:shd w:val="clear" w:color="auto" w:fill="auto"/>
          </w:tcPr>
          <w:p w14:paraId="5F60B956" w14:textId="77777777" w:rsidR="00D37F5C" w:rsidRPr="006C1334" w:rsidRDefault="00D37F5C" w:rsidP="00564053">
            <w:pPr>
              <w:pStyle w:val="StandardFettzentriert"/>
            </w:pPr>
            <w:r w:rsidRPr="006C1334">
              <w:t>Kugellager III</w:t>
            </w:r>
          </w:p>
        </w:tc>
      </w:tr>
      <w:tr w:rsidR="00D37F5C" w:rsidRPr="002C2E78" w14:paraId="2B4B2171" w14:textId="77777777" w:rsidTr="00564053">
        <w:tc>
          <w:tcPr>
            <w:tcW w:w="2468" w:type="dxa"/>
            <w:shd w:val="clear" w:color="auto" w:fill="auto"/>
          </w:tcPr>
          <w:p w14:paraId="17A1E571" w14:textId="77777777" w:rsidR="00D37F5C" w:rsidRPr="00E43E7C" w:rsidRDefault="00D37F5C" w:rsidP="00564053">
            <w:pPr>
              <w:pStyle w:val="StandardFett"/>
            </w:pPr>
            <w:r w:rsidRPr="006C1334">
              <w:t>Listenverkaufspreis</w:t>
            </w:r>
          </w:p>
        </w:tc>
        <w:tc>
          <w:tcPr>
            <w:tcW w:w="1587" w:type="dxa"/>
            <w:shd w:val="clear" w:color="auto" w:fill="auto"/>
          </w:tcPr>
          <w:p w14:paraId="38EBE3DD" w14:textId="77777777" w:rsidR="00D37F5C" w:rsidRPr="002C2E78" w:rsidRDefault="00D37F5C" w:rsidP="00564053">
            <w:pPr>
              <w:pStyle w:val="Standardrechts"/>
            </w:pPr>
            <w:r w:rsidRPr="002C2E78">
              <w:t>5,8</w:t>
            </w:r>
            <w:r>
              <w:t>0 </w:t>
            </w:r>
            <w:r w:rsidRPr="002C2E78">
              <w:t>€</w:t>
            </w:r>
          </w:p>
        </w:tc>
        <w:tc>
          <w:tcPr>
            <w:tcW w:w="1587" w:type="dxa"/>
            <w:shd w:val="clear" w:color="auto" w:fill="auto"/>
          </w:tcPr>
          <w:p w14:paraId="4C915785" w14:textId="77777777" w:rsidR="00D37F5C" w:rsidRPr="002C2E78" w:rsidRDefault="00D37F5C" w:rsidP="00564053">
            <w:pPr>
              <w:pStyle w:val="Standardrechts"/>
            </w:pPr>
            <w:r w:rsidRPr="002C2E78">
              <w:t>6,8</w:t>
            </w:r>
            <w:r>
              <w:t>0 </w:t>
            </w:r>
            <w:r w:rsidRPr="002C2E78">
              <w:t>€</w:t>
            </w:r>
          </w:p>
        </w:tc>
        <w:tc>
          <w:tcPr>
            <w:tcW w:w="1587" w:type="dxa"/>
            <w:shd w:val="clear" w:color="auto" w:fill="auto"/>
          </w:tcPr>
          <w:p w14:paraId="7ED77908" w14:textId="77777777" w:rsidR="00D37F5C" w:rsidRPr="002C2E78" w:rsidRDefault="00D37F5C" w:rsidP="00564053">
            <w:pPr>
              <w:pStyle w:val="Standardrechts"/>
            </w:pPr>
            <w:r w:rsidRPr="002C2E78">
              <w:t>4,8</w:t>
            </w:r>
            <w:r>
              <w:t>0 </w:t>
            </w:r>
            <w:r w:rsidRPr="002C2E78">
              <w:t>€</w:t>
            </w:r>
          </w:p>
        </w:tc>
      </w:tr>
    </w:tbl>
    <w:p w14:paraId="7C4EB780" w14:textId="3067BD72" w:rsidR="00D37F5C" w:rsidRDefault="00D37F5C" w:rsidP="00D37F5C">
      <w:pPr>
        <w:rPr>
          <w:szCs w:val="20"/>
        </w:rPr>
      </w:pPr>
    </w:p>
    <w:p w14:paraId="16DB8047" w14:textId="77777777" w:rsidR="00D2295B" w:rsidRDefault="00D2295B" w:rsidP="00D37F5C">
      <w:pPr>
        <w:rPr>
          <w:szCs w:val="20"/>
        </w:rPr>
      </w:pPr>
    </w:p>
    <w:tbl>
      <w:tblPr>
        <w:tblW w:w="8228" w:type="dxa"/>
        <w:tblInd w:w="510" w:type="dxa"/>
        <w:tblCellMar>
          <w:left w:w="70" w:type="dxa"/>
          <w:right w:w="70" w:type="dxa"/>
        </w:tblCellMar>
        <w:tblLook w:val="04A0" w:firstRow="1" w:lastRow="0" w:firstColumn="1" w:lastColumn="0" w:noHBand="0" w:noVBand="1"/>
      </w:tblPr>
      <w:tblGrid>
        <w:gridCol w:w="847"/>
        <w:gridCol w:w="1846"/>
        <w:gridCol w:w="1845"/>
        <w:gridCol w:w="1845"/>
        <w:gridCol w:w="1845"/>
      </w:tblGrid>
      <w:tr w:rsidR="00D37F5C" w:rsidRPr="00A44CAE" w14:paraId="7F05E6AF" w14:textId="77777777" w:rsidTr="00564053">
        <w:trPr>
          <w:trHeight w:val="600"/>
        </w:trPr>
        <w:tc>
          <w:tcPr>
            <w:tcW w:w="84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72E2A654" w14:textId="77777777" w:rsidR="00D37F5C" w:rsidRPr="00A44CAE" w:rsidRDefault="00D37F5C" w:rsidP="00564053">
            <w:pPr>
              <w:pStyle w:val="StandardFettzentriert"/>
            </w:pPr>
            <w:r w:rsidRPr="00A44CAE">
              <w:t>Pos.</w:t>
            </w:r>
          </w:p>
        </w:tc>
        <w:tc>
          <w:tcPr>
            <w:tcW w:w="1846" w:type="dxa"/>
            <w:tcBorders>
              <w:top w:val="single" w:sz="4" w:space="0" w:color="auto"/>
              <w:left w:val="nil"/>
              <w:bottom w:val="single" w:sz="4" w:space="0" w:color="auto"/>
              <w:right w:val="single" w:sz="4" w:space="0" w:color="auto"/>
            </w:tcBorders>
            <w:shd w:val="clear" w:color="000000" w:fill="FFFF99"/>
            <w:vAlign w:val="center"/>
            <w:hideMark/>
          </w:tcPr>
          <w:p w14:paraId="7C13D607" w14:textId="77777777" w:rsidR="00D37F5C" w:rsidRPr="00A44CAE" w:rsidRDefault="00D37F5C" w:rsidP="00564053">
            <w:pPr>
              <w:pStyle w:val="StandardFettzentriert"/>
            </w:pPr>
            <w:r w:rsidRPr="00554FE3">
              <w:t>Kalkulations-schema</w:t>
            </w:r>
          </w:p>
        </w:tc>
        <w:tc>
          <w:tcPr>
            <w:tcW w:w="1845" w:type="dxa"/>
            <w:tcBorders>
              <w:top w:val="single" w:sz="4" w:space="0" w:color="auto"/>
              <w:left w:val="nil"/>
              <w:bottom w:val="single" w:sz="4" w:space="0" w:color="auto"/>
              <w:right w:val="single" w:sz="4" w:space="0" w:color="auto"/>
            </w:tcBorders>
            <w:shd w:val="clear" w:color="000000" w:fill="FFFF99"/>
            <w:noWrap/>
            <w:vAlign w:val="center"/>
            <w:hideMark/>
          </w:tcPr>
          <w:p w14:paraId="2006D1F1" w14:textId="7DF414D0" w:rsidR="00D37F5C" w:rsidRPr="00A44CAE" w:rsidRDefault="00D37F5C" w:rsidP="00564053">
            <w:pPr>
              <w:pStyle w:val="StandardFettzentriert"/>
            </w:pPr>
            <w:r>
              <w:t>Kugellager </w:t>
            </w:r>
            <w:r w:rsidRPr="00A44CAE">
              <w:t>I</w:t>
            </w:r>
          </w:p>
        </w:tc>
        <w:tc>
          <w:tcPr>
            <w:tcW w:w="1845" w:type="dxa"/>
            <w:tcBorders>
              <w:top w:val="single" w:sz="4" w:space="0" w:color="auto"/>
              <w:left w:val="nil"/>
              <w:bottom w:val="single" w:sz="4" w:space="0" w:color="auto"/>
              <w:right w:val="single" w:sz="4" w:space="0" w:color="auto"/>
            </w:tcBorders>
            <w:shd w:val="clear" w:color="000000" w:fill="FFFF99"/>
            <w:noWrap/>
            <w:vAlign w:val="center"/>
            <w:hideMark/>
          </w:tcPr>
          <w:p w14:paraId="40B0C6B8" w14:textId="173B4386" w:rsidR="00D37F5C" w:rsidRPr="00A44CAE" w:rsidRDefault="00D37F5C" w:rsidP="00564053">
            <w:pPr>
              <w:pStyle w:val="StandardFettzentriert"/>
            </w:pPr>
            <w:r>
              <w:t>Kugellager </w:t>
            </w:r>
            <w:r w:rsidRPr="00A44CAE">
              <w:t>II</w:t>
            </w:r>
          </w:p>
        </w:tc>
        <w:tc>
          <w:tcPr>
            <w:tcW w:w="1845" w:type="dxa"/>
            <w:tcBorders>
              <w:top w:val="single" w:sz="4" w:space="0" w:color="auto"/>
              <w:left w:val="nil"/>
              <w:bottom w:val="single" w:sz="4" w:space="0" w:color="auto"/>
              <w:right w:val="single" w:sz="4" w:space="0" w:color="auto"/>
            </w:tcBorders>
            <w:shd w:val="clear" w:color="000000" w:fill="FFFF99"/>
            <w:noWrap/>
            <w:vAlign w:val="center"/>
            <w:hideMark/>
          </w:tcPr>
          <w:p w14:paraId="58C45536" w14:textId="4C79A452" w:rsidR="00D37F5C" w:rsidRPr="00A44CAE" w:rsidRDefault="00D37F5C" w:rsidP="00564053">
            <w:pPr>
              <w:pStyle w:val="StandardFettzentriert"/>
            </w:pPr>
            <w:r>
              <w:t>Kugellager </w:t>
            </w:r>
            <w:r w:rsidRPr="00A44CAE">
              <w:t>III</w:t>
            </w:r>
          </w:p>
        </w:tc>
      </w:tr>
      <w:tr w:rsidR="00D37F5C" w:rsidRPr="00A44CAE" w14:paraId="0D9C2329"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206FC143" w14:textId="77777777" w:rsidR="00D37F5C" w:rsidRPr="00A44CAE" w:rsidRDefault="00D37F5C" w:rsidP="00564053">
            <w:pPr>
              <w:pStyle w:val="Standardzentriert"/>
            </w:pPr>
            <w:r w:rsidRPr="00A44CAE">
              <w:t>1</w:t>
            </w:r>
          </w:p>
        </w:tc>
        <w:tc>
          <w:tcPr>
            <w:tcW w:w="1846" w:type="dxa"/>
            <w:tcBorders>
              <w:top w:val="nil"/>
              <w:left w:val="nil"/>
              <w:bottom w:val="single" w:sz="4" w:space="0" w:color="auto"/>
              <w:right w:val="single" w:sz="4" w:space="0" w:color="auto"/>
            </w:tcBorders>
            <w:shd w:val="clear" w:color="auto" w:fill="auto"/>
            <w:vAlign w:val="center"/>
            <w:hideMark/>
          </w:tcPr>
          <w:p w14:paraId="7A55DA37" w14:textId="77777777" w:rsidR="00D37F5C" w:rsidRPr="00E26166" w:rsidRDefault="00D37F5C" w:rsidP="00564053">
            <w:r w:rsidRPr="00E26166">
              <w:t>FM</w:t>
            </w:r>
          </w:p>
        </w:tc>
        <w:tc>
          <w:tcPr>
            <w:tcW w:w="1845" w:type="dxa"/>
            <w:tcBorders>
              <w:top w:val="nil"/>
              <w:left w:val="nil"/>
              <w:bottom w:val="single" w:sz="4" w:space="0" w:color="auto"/>
              <w:right w:val="single" w:sz="4" w:space="0" w:color="auto"/>
            </w:tcBorders>
            <w:shd w:val="clear" w:color="auto" w:fill="auto"/>
            <w:vAlign w:val="center"/>
            <w:hideMark/>
          </w:tcPr>
          <w:p w14:paraId="4AA156A2" w14:textId="77777777" w:rsidR="00D37F5C" w:rsidRPr="00E26166" w:rsidRDefault="00D37F5C" w:rsidP="00564053">
            <w:pPr>
              <w:pStyle w:val="Standardrechts"/>
            </w:pPr>
            <w:r w:rsidRPr="00E26166">
              <w:t>9.000,00 €</w:t>
            </w:r>
          </w:p>
        </w:tc>
        <w:tc>
          <w:tcPr>
            <w:tcW w:w="1845" w:type="dxa"/>
            <w:tcBorders>
              <w:top w:val="nil"/>
              <w:left w:val="nil"/>
              <w:bottom w:val="single" w:sz="4" w:space="0" w:color="auto"/>
              <w:right w:val="single" w:sz="4" w:space="0" w:color="auto"/>
            </w:tcBorders>
            <w:shd w:val="clear" w:color="auto" w:fill="auto"/>
            <w:noWrap/>
            <w:vAlign w:val="center"/>
            <w:hideMark/>
          </w:tcPr>
          <w:p w14:paraId="2A8558FF" w14:textId="77777777" w:rsidR="00D37F5C" w:rsidRPr="00E26166" w:rsidRDefault="00D37F5C" w:rsidP="00564053">
            <w:pPr>
              <w:pStyle w:val="Standardrechts"/>
            </w:pPr>
            <w:r w:rsidRPr="00E26166">
              <w:t>12.000,00 €</w:t>
            </w:r>
          </w:p>
        </w:tc>
        <w:tc>
          <w:tcPr>
            <w:tcW w:w="1845" w:type="dxa"/>
            <w:tcBorders>
              <w:top w:val="nil"/>
              <w:left w:val="nil"/>
              <w:bottom w:val="single" w:sz="4" w:space="0" w:color="auto"/>
              <w:right w:val="single" w:sz="4" w:space="0" w:color="auto"/>
            </w:tcBorders>
            <w:shd w:val="clear" w:color="auto" w:fill="auto"/>
            <w:noWrap/>
            <w:vAlign w:val="center"/>
            <w:hideMark/>
          </w:tcPr>
          <w:p w14:paraId="58B407CD" w14:textId="77777777" w:rsidR="00D37F5C" w:rsidRPr="00E26166" w:rsidRDefault="00D37F5C" w:rsidP="00564053">
            <w:pPr>
              <w:pStyle w:val="Standardrechts"/>
            </w:pPr>
            <w:r w:rsidRPr="00E26166">
              <w:t>15.000,00 €</w:t>
            </w:r>
          </w:p>
        </w:tc>
      </w:tr>
      <w:tr w:rsidR="00D37F5C" w:rsidRPr="00A44CAE" w14:paraId="52C850FA"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39FD8DA6" w14:textId="77777777" w:rsidR="00D37F5C" w:rsidRPr="00A44CAE" w:rsidRDefault="00D37F5C" w:rsidP="00564053">
            <w:pPr>
              <w:pStyle w:val="Standardzentriert"/>
            </w:pPr>
            <w:r w:rsidRPr="00A44CAE">
              <w:t>2</w:t>
            </w:r>
          </w:p>
        </w:tc>
        <w:tc>
          <w:tcPr>
            <w:tcW w:w="1846" w:type="dxa"/>
            <w:tcBorders>
              <w:top w:val="nil"/>
              <w:left w:val="nil"/>
              <w:bottom w:val="single" w:sz="4" w:space="0" w:color="auto"/>
              <w:right w:val="single" w:sz="4" w:space="0" w:color="auto"/>
            </w:tcBorders>
            <w:shd w:val="clear" w:color="auto" w:fill="auto"/>
            <w:vAlign w:val="center"/>
            <w:hideMark/>
          </w:tcPr>
          <w:p w14:paraId="4F2FE428" w14:textId="0CCF5A78" w:rsidR="00D37F5C" w:rsidRPr="00E26166" w:rsidRDefault="00D37F5C" w:rsidP="00564053">
            <w:r w:rsidRPr="00554FE3">
              <w:t>MGK</w:t>
            </w:r>
            <w:r w:rsidRPr="00E26166">
              <w:t xml:space="preserve"> (</w:t>
            </w:r>
            <w:r w:rsidRPr="00554FE3">
              <w:t>10</w:t>
            </w:r>
            <w:r w:rsidR="00A9637D" w:rsidRPr="00554FE3">
              <w:t xml:space="preserve"> </w:t>
            </w:r>
            <w:r w:rsidRPr="00554FE3">
              <w:t>%</w:t>
            </w:r>
            <w:r w:rsidRPr="00E26166">
              <w:t>)</w:t>
            </w:r>
          </w:p>
        </w:tc>
        <w:tc>
          <w:tcPr>
            <w:tcW w:w="1845" w:type="dxa"/>
            <w:tcBorders>
              <w:top w:val="nil"/>
              <w:left w:val="nil"/>
              <w:bottom w:val="single" w:sz="4" w:space="0" w:color="auto"/>
              <w:right w:val="single" w:sz="4" w:space="0" w:color="auto"/>
            </w:tcBorders>
            <w:shd w:val="clear" w:color="auto" w:fill="auto"/>
            <w:noWrap/>
            <w:vAlign w:val="center"/>
            <w:hideMark/>
          </w:tcPr>
          <w:p w14:paraId="7B50BDFA" w14:textId="77777777" w:rsidR="00D37F5C" w:rsidRPr="00E26166" w:rsidRDefault="00D37F5C" w:rsidP="00564053">
            <w:pPr>
              <w:pStyle w:val="Standardrechts"/>
            </w:pPr>
            <w:r w:rsidRPr="00E26166">
              <w:t>900,00 €</w:t>
            </w:r>
          </w:p>
        </w:tc>
        <w:tc>
          <w:tcPr>
            <w:tcW w:w="1845" w:type="dxa"/>
            <w:tcBorders>
              <w:top w:val="nil"/>
              <w:left w:val="nil"/>
              <w:bottom w:val="single" w:sz="4" w:space="0" w:color="auto"/>
              <w:right w:val="single" w:sz="4" w:space="0" w:color="auto"/>
            </w:tcBorders>
            <w:shd w:val="clear" w:color="auto" w:fill="auto"/>
            <w:noWrap/>
            <w:vAlign w:val="center"/>
            <w:hideMark/>
          </w:tcPr>
          <w:p w14:paraId="63950BCA" w14:textId="77777777" w:rsidR="00D37F5C" w:rsidRPr="00E26166" w:rsidRDefault="00D37F5C" w:rsidP="00564053">
            <w:pPr>
              <w:pStyle w:val="Standardrechts"/>
            </w:pPr>
            <w:r w:rsidRPr="00E26166">
              <w:t>1.200,00 €</w:t>
            </w:r>
          </w:p>
        </w:tc>
        <w:tc>
          <w:tcPr>
            <w:tcW w:w="1845" w:type="dxa"/>
            <w:tcBorders>
              <w:top w:val="nil"/>
              <w:left w:val="nil"/>
              <w:bottom w:val="single" w:sz="4" w:space="0" w:color="auto"/>
              <w:right w:val="single" w:sz="4" w:space="0" w:color="auto"/>
            </w:tcBorders>
            <w:shd w:val="clear" w:color="auto" w:fill="auto"/>
            <w:noWrap/>
            <w:vAlign w:val="center"/>
            <w:hideMark/>
          </w:tcPr>
          <w:p w14:paraId="67F23AD8" w14:textId="77777777" w:rsidR="00D37F5C" w:rsidRPr="00E26166" w:rsidRDefault="00D37F5C" w:rsidP="00564053">
            <w:pPr>
              <w:pStyle w:val="Standardrechts"/>
            </w:pPr>
            <w:r w:rsidRPr="00E26166">
              <w:t>1.500,00 €</w:t>
            </w:r>
          </w:p>
        </w:tc>
      </w:tr>
      <w:tr w:rsidR="00D37F5C" w:rsidRPr="00A44CAE" w14:paraId="570447C8"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69D75EDC" w14:textId="77777777" w:rsidR="00D37F5C" w:rsidRPr="00A44CAE" w:rsidRDefault="00D37F5C" w:rsidP="00564053">
            <w:pPr>
              <w:pStyle w:val="Standardzentriert"/>
            </w:pPr>
            <w:r w:rsidRPr="00A44CAE">
              <w:t>3</w:t>
            </w:r>
          </w:p>
        </w:tc>
        <w:tc>
          <w:tcPr>
            <w:tcW w:w="1846" w:type="dxa"/>
            <w:tcBorders>
              <w:top w:val="nil"/>
              <w:left w:val="nil"/>
              <w:bottom w:val="single" w:sz="4" w:space="0" w:color="auto"/>
              <w:right w:val="single" w:sz="4" w:space="0" w:color="auto"/>
            </w:tcBorders>
            <w:shd w:val="clear" w:color="auto" w:fill="auto"/>
            <w:vAlign w:val="center"/>
            <w:hideMark/>
          </w:tcPr>
          <w:p w14:paraId="065F082D" w14:textId="77777777" w:rsidR="00D37F5C" w:rsidRPr="00E26166" w:rsidRDefault="00D37F5C" w:rsidP="00564053">
            <w:pPr>
              <w:pStyle w:val="StandardFett"/>
            </w:pPr>
            <w:r w:rsidRPr="00E26166">
              <w:t>MK</w:t>
            </w:r>
          </w:p>
        </w:tc>
        <w:tc>
          <w:tcPr>
            <w:tcW w:w="1845" w:type="dxa"/>
            <w:tcBorders>
              <w:top w:val="nil"/>
              <w:left w:val="nil"/>
              <w:bottom w:val="single" w:sz="4" w:space="0" w:color="auto"/>
              <w:right w:val="single" w:sz="4" w:space="0" w:color="auto"/>
            </w:tcBorders>
            <w:shd w:val="clear" w:color="auto" w:fill="auto"/>
            <w:noWrap/>
            <w:vAlign w:val="center"/>
            <w:hideMark/>
          </w:tcPr>
          <w:p w14:paraId="06C94931" w14:textId="77777777" w:rsidR="00D37F5C" w:rsidRPr="00E26166" w:rsidRDefault="00D37F5C" w:rsidP="00564053">
            <w:pPr>
              <w:pStyle w:val="Standardfettrechts"/>
            </w:pPr>
            <w:r w:rsidRPr="00E26166">
              <w:t>9.900,00 €</w:t>
            </w:r>
          </w:p>
        </w:tc>
        <w:tc>
          <w:tcPr>
            <w:tcW w:w="1845" w:type="dxa"/>
            <w:tcBorders>
              <w:top w:val="nil"/>
              <w:left w:val="nil"/>
              <w:bottom w:val="single" w:sz="4" w:space="0" w:color="auto"/>
              <w:right w:val="single" w:sz="4" w:space="0" w:color="auto"/>
            </w:tcBorders>
            <w:shd w:val="clear" w:color="auto" w:fill="auto"/>
            <w:noWrap/>
            <w:vAlign w:val="center"/>
            <w:hideMark/>
          </w:tcPr>
          <w:p w14:paraId="7309A208" w14:textId="77777777" w:rsidR="00D37F5C" w:rsidRPr="00E26166" w:rsidRDefault="00D37F5C" w:rsidP="00564053">
            <w:pPr>
              <w:pStyle w:val="Standardfettrechts"/>
            </w:pPr>
            <w:r w:rsidRPr="00E26166">
              <w:t>13.200,00 €</w:t>
            </w:r>
          </w:p>
        </w:tc>
        <w:tc>
          <w:tcPr>
            <w:tcW w:w="1845" w:type="dxa"/>
            <w:tcBorders>
              <w:top w:val="nil"/>
              <w:left w:val="nil"/>
              <w:bottom w:val="single" w:sz="4" w:space="0" w:color="auto"/>
              <w:right w:val="single" w:sz="4" w:space="0" w:color="auto"/>
            </w:tcBorders>
            <w:shd w:val="clear" w:color="auto" w:fill="auto"/>
            <w:noWrap/>
            <w:vAlign w:val="center"/>
            <w:hideMark/>
          </w:tcPr>
          <w:p w14:paraId="539A06D0" w14:textId="77777777" w:rsidR="00D37F5C" w:rsidRPr="00E26166" w:rsidRDefault="00D37F5C" w:rsidP="00564053">
            <w:pPr>
              <w:pStyle w:val="Standardfettrechts"/>
            </w:pPr>
            <w:r w:rsidRPr="00E26166">
              <w:t>16.500,00 €</w:t>
            </w:r>
          </w:p>
        </w:tc>
      </w:tr>
      <w:tr w:rsidR="00D37F5C" w:rsidRPr="00A44CAE" w14:paraId="238EE752"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5A42A4E9" w14:textId="77777777" w:rsidR="00D37F5C" w:rsidRPr="00A44CAE" w:rsidRDefault="00D37F5C" w:rsidP="00564053">
            <w:pPr>
              <w:pStyle w:val="Standardzentriert"/>
            </w:pPr>
            <w:r w:rsidRPr="00A44CAE">
              <w:t>4</w:t>
            </w:r>
          </w:p>
        </w:tc>
        <w:tc>
          <w:tcPr>
            <w:tcW w:w="1846" w:type="dxa"/>
            <w:tcBorders>
              <w:top w:val="nil"/>
              <w:left w:val="nil"/>
              <w:bottom w:val="single" w:sz="4" w:space="0" w:color="auto"/>
              <w:right w:val="single" w:sz="4" w:space="0" w:color="auto"/>
            </w:tcBorders>
            <w:shd w:val="clear" w:color="auto" w:fill="auto"/>
            <w:vAlign w:val="center"/>
            <w:hideMark/>
          </w:tcPr>
          <w:p w14:paraId="49BD7601" w14:textId="77777777" w:rsidR="00D37F5C" w:rsidRPr="00E26166" w:rsidRDefault="00D37F5C" w:rsidP="00564053">
            <w:r w:rsidRPr="00E26166">
              <w:t>FL</w:t>
            </w:r>
          </w:p>
        </w:tc>
        <w:tc>
          <w:tcPr>
            <w:tcW w:w="1845" w:type="dxa"/>
            <w:tcBorders>
              <w:top w:val="nil"/>
              <w:left w:val="nil"/>
              <w:bottom w:val="single" w:sz="4" w:space="0" w:color="auto"/>
              <w:right w:val="single" w:sz="4" w:space="0" w:color="auto"/>
            </w:tcBorders>
            <w:shd w:val="clear" w:color="auto" w:fill="auto"/>
            <w:noWrap/>
            <w:vAlign w:val="center"/>
            <w:hideMark/>
          </w:tcPr>
          <w:p w14:paraId="0464EBC5" w14:textId="77777777" w:rsidR="00D37F5C" w:rsidRPr="00E26166" w:rsidRDefault="00D37F5C" w:rsidP="00564053">
            <w:pPr>
              <w:pStyle w:val="Standardrechts"/>
            </w:pPr>
            <w:r w:rsidRPr="00E26166">
              <w:t>6.000,00 €</w:t>
            </w:r>
          </w:p>
        </w:tc>
        <w:tc>
          <w:tcPr>
            <w:tcW w:w="1845" w:type="dxa"/>
            <w:tcBorders>
              <w:top w:val="nil"/>
              <w:left w:val="nil"/>
              <w:bottom w:val="single" w:sz="4" w:space="0" w:color="auto"/>
              <w:right w:val="single" w:sz="4" w:space="0" w:color="auto"/>
            </w:tcBorders>
            <w:shd w:val="clear" w:color="auto" w:fill="auto"/>
            <w:noWrap/>
            <w:vAlign w:val="center"/>
            <w:hideMark/>
          </w:tcPr>
          <w:p w14:paraId="2EB58B28" w14:textId="77777777" w:rsidR="00D37F5C" w:rsidRPr="00E26166" w:rsidRDefault="00D37F5C" w:rsidP="00564053">
            <w:pPr>
              <w:pStyle w:val="Standardrechts"/>
            </w:pPr>
            <w:r w:rsidRPr="00E26166">
              <w:t>7.000,00 €</w:t>
            </w:r>
          </w:p>
        </w:tc>
        <w:tc>
          <w:tcPr>
            <w:tcW w:w="1845" w:type="dxa"/>
            <w:tcBorders>
              <w:top w:val="nil"/>
              <w:left w:val="nil"/>
              <w:bottom w:val="single" w:sz="4" w:space="0" w:color="auto"/>
              <w:right w:val="single" w:sz="4" w:space="0" w:color="auto"/>
            </w:tcBorders>
            <w:shd w:val="clear" w:color="auto" w:fill="auto"/>
            <w:noWrap/>
            <w:vAlign w:val="center"/>
            <w:hideMark/>
          </w:tcPr>
          <w:p w14:paraId="05A845EA" w14:textId="77777777" w:rsidR="00D37F5C" w:rsidRPr="00E26166" w:rsidRDefault="00D37F5C" w:rsidP="00564053">
            <w:pPr>
              <w:pStyle w:val="Standardrechts"/>
            </w:pPr>
            <w:r w:rsidRPr="00E26166">
              <w:t>8.000,00 €</w:t>
            </w:r>
          </w:p>
        </w:tc>
      </w:tr>
      <w:tr w:rsidR="00D37F5C" w:rsidRPr="00A44CAE" w14:paraId="3580F9C5"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3C4CE8F1" w14:textId="77777777" w:rsidR="00D37F5C" w:rsidRPr="00A44CAE" w:rsidRDefault="00D37F5C" w:rsidP="00564053">
            <w:pPr>
              <w:pStyle w:val="Standardzentriert"/>
            </w:pPr>
            <w:r w:rsidRPr="00A44CAE">
              <w:t>5</w:t>
            </w:r>
          </w:p>
        </w:tc>
        <w:tc>
          <w:tcPr>
            <w:tcW w:w="1846" w:type="dxa"/>
            <w:tcBorders>
              <w:top w:val="nil"/>
              <w:left w:val="nil"/>
              <w:bottom w:val="single" w:sz="4" w:space="0" w:color="auto"/>
              <w:right w:val="single" w:sz="4" w:space="0" w:color="auto"/>
            </w:tcBorders>
            <w:shd w:val="clear" w:color="auto" w:fill="auto"/>
            <w:vAlign w:val="center"/>
            <w:hideMark/>
          </w:tcPr>
          <w:p w14:paraId="6D912935" w14:textId="47D7E428" w:rsidR="00D37F5C" w:rsidRPr="00E26166" w:rsidRDefault="00D37F5C" w:rsidP="00564053">
            <w:r w:rsidRPr="00554FE3">
              <w:t>FGK</w:t>
            </w:r>
            <w:r w:rsidRPr="00E26166">
              <w:t xml:space="preserve"> (</w:t>
            </w:r>
            <w:r w:rsidRPr="00554FE3">
              <w:t>100</w:t>
            </w:r>
            <w:r w:rsidR="00A9637D" w:rsidRPr="00554FE3">
              <w:t xml:space="preserve"> </w:t>
            </w:r>
            <w:r w:rsidRPr="00554FE3">
              <w:t>%</w:t>
            </w:r>
            <w:r w:rsidRPr="00E26166">
              <w:t>)</w:t>
            </w:r>
          </w:p>
        </w:tc>
        <w:tc>
          <w:tcPr>
            <w:tcW w:w="1845" w:type="dxa"/>
            <w:tcBorders>
              <w:top w:val="nil"/>
              <w:left w:val="nil"/>
              <w:bottom w:val="single" w:sz="4" w:space="0" w:color="auto"/>
              <w:right w:val="single" w:sz="4" w:space="0" w:color="auto"/>
            </w:tcBorders>
            <w:shd w:val="clear" w:color="auto" w:fill="auto"/>
            <w:noWrap/>
            <w:vAlign w:val="center"/>
            <w:hideMark/>
          </w:tcPr>
          <w:p w14:paraId="74E6D747" w14:textId="77777777" w:rsidR="00D37F5C" w:rsidRPr="00E26166" w:rsidRDefault="00D37F5C" w:rsidP="00564053">
            <w:pPr>
              <w:pStyle w:val="Standardrechts"/>
            </w:pPr>
            <w:r w:rsidRPr="00E26166">
              <w:t>6.000,00 €</w:t>
            </w:r>
          </w:p>
        </w:tc>
        <w:tc>
          <w:tcPr>
            <w:tcW w:w="1845" w:type="dxa"/>
            <w:tcBorders>
              <w:top w:val="nil"/>
              <w:left w:val="nil"/>
              <w:bottom w:val="single" w:sz="4" w:space="0" w:color="auto"/>
              <w:right w:val="single" w:sz="4" w:space="0" w:color="auto"/>
            </w:tcBorders>
            <w:shd w:val="clear" w:color="auto" w:fill="auto"/>
            <w:noWrap/>
            <w:vAlign w:val="center"/>
            <w:hideMark/>
          </w:tcPr>
          <w:p w14:paraId="56DDB6E7" w14:textId="77777777" w:rsidR="00D37F5C" w:rsidRPr="00E26166" w:rsidRDefault="00D37F5C" w:rsidP="00564053">
            <w:pPr>
              <w:pStyle w:val="Standardrechts"/>
            </w:pPr>
            <w:r w:rsidRPr="00E26166">
              <w:t>7.000,00 €</w:t>
            </w:r>
          </w:p>
        </w:tc>
        <w:tc>
          <w:tcPr>
            <w:tcW w:w="1845" w:type="dxa"/>
            <w:tcBorders>
              <w:top w:val="nil"/>
              <w:left w:val="nil"/>
              <w:bottom w:val="single" w:sz="4" w:space="0" w:color="auto"/>
              <w:right w:val="single" w:sz="4" w:space="0" w:color="auto"/>
            </w:tcBorders>
            <w:shd w:val="clear" w:color="auto" w:fill="auto"/>
            <w:noWrap/>
            <w:vAlign w:val="center"/>
            <w:hideMark/>
          </w:tcPr>
          <w:p w14:paraId="12BE9C5B" w14:textId="77777777" w:rsidR="00D37F5C" w:rsidRPr="00E26166" w:rsidRDefault="00D37F5C" w:rsidP="00564053">
            <w:pPr>
              <w:pStyle w:val="Standardrechts"/>
            </w:pPr>
            <w:r w:rsidRPr="00E26166">
              <w:t>8.000,00 €</w:t>
            </w:r>
          </w:p>
        </w:tc>
      </w:tr>
      <w:tr w:rsidR="00D37F5C" w:rsidRPr="00A44CAE" w14:paraId="742CC58D"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2FFAC293" w14:textId="77777777" w:rsidR="00D37F5C" w:rsidRPr="00A44CAE" w:rsidRDefault="00D37F5C" w:rsidP="00564053">
            <w:pPr>
              <w:pStyle w:val="Standardzentriert"/>
            </w:pPr>
            <w:r w:rsidRPr="00A44CAE">
              <w:t>6</w:t>
            </w:r>
          </w:p>
        </w:tc>
        <w:tc>
          <w:tcPr>
            <w:tcW w:w="1846" w:type="dxa"/>
            <w:tcBorders>
              <w:top w:val="nil"/>
              <w:left w:val="nil"/>
              <w:bottom w:val="single" w:sz="4" w:space="0" w:color="auto"/>
              <w:right w:val="single" w:sz="4" w:space="0" w:color="auto"/>
            </w:tcBorders>
            <w:shd w:val="clear" w:color="auto" w:fill="auto"/>
            <w:vAlign w:val="center"/>
            <w:hideMark/>
          </w:tcPr>
          <w:p w14:paraId="42074A3C" w14:textId="77777777" w:rsidR="00D37F5C" w:rsidRPr="00E26166" w:rsidRDefault="00D37F5C" w:rsidP="00564053">
            <w:pPr>
              <w:pStyle w:val="StandardFett"/>
            </w:pPr>
            <w:r w:rsidRPr="00E26166">
              <w:t>FK</w:t>
            </w:r>
          </w:p>
        </w:tc>
        <w:tc>
          <w:tcPr>
            <w:tcW w:w="1845" w:type="dxa"/>
            <w:tcBorders>
              <w:top w:val="nil"/>
              <w:left w:val="nil"/>
              <w:bottom w:val="single" w:sz="4" w:space="0" w:color="auto"/>
              <w:right w:val="single" w:sz="4" w:space="0" w:color="auto"/>
            </w:tcBorders>
            <w:shd w:val="clear" w:color="auto" w:fill="auto"/>
            <w:noWrap/>
            <w:vAlign w:val="center"/>
            <w:hideMark/>
          </w:tcPr>
          <w:p w14:paraId="2CB7A88E" w14:textId="77777777" w:rsidR="00D37F5C" w:rsidRPr="00E26166" w:rsidRDefault="00D37F5C" w:rsidP="00564053">
            <w:pPr>
              <w:pStyle w:val="Standardfettrechts"/>
            </w:pPr>
            <w:r w:rsidRPr="00E26166">
              <w:t>12.000,00 €</w:t>
            </w:r>
          </w:p>
        </w:tc>
        <w:tc>
          <w:tcPr>
            <w:tcW w:w="1845" w:type="dxa"/>
            <w:tcBorders>
              <w:top w:val="nil"/>
              <w:left w:val="nil"/>
              <w:bottom w:val="single" w:sz="4" w:space="0" w:color="auto"/>
              <w:right w:val="single" w:sz="4" w:space="0" w:color="auto"/>
            </w:tcBorders>
            <w:shd w:val="clear" w:color="auto" w:fill="auto"/>
            <w:noWrap/>
            <w:vAlign w:val="center"/>
            <w:hideMark/>
          </w:tcPr>
          <w:p w14:paraId="1CCA1160" w14:textId="77777777" w:rsidR="00D37F5C" w:rsidRPr="00E26166" w:rsidRDefault="00D37F5C" w:rsidP="00564053">
            <w:pPr>
              <w:pStyle w:val="Standardfettrechts"/>
            </w:pPr>
            <w:r w:rsidRPr="00E26166">
              <w:t>14.000,00 €</w:t>
            </w:r>
          </w:p>
        </w:tc>
        <w:tc>
          <w:tcPr>
            <w:tcW w:w="1845" w:type="dxa"/>
            <w:tcBorders>
              <w:top w:val="nil"/>
              <w:left w:val="nil"/>
              <w:bottom w:val="single" w:sz="4" w:space="0" w:color="auto"/>
              <w:right w:val="single" w:sz="4" w:space="0" w:color="auto"/>
            </w:tcBorders>
            <w:shd w:val="clear" w:color="auto" w:fill="auto"/>
            <w:noWrap/>
            <w:vAlign w:val="center"/>
            <w:hideMark/>
          </w:tcPr>
          <w:p w14:paraId="0F0955C9" w14:textId="77777777" w:rsidR="00D37F5C" w:rsidRPr="00E26166" w:rsidRDefault="00D37F5C" w:rsidP="00564053">
            <w:pPr>
              <w:pStyle w:val="Standardfettrechts"/>
            </w:pPr>
            <w:r w:rsidRPr="00E26166">
              <w:t>16.000,00 €</w:t>
            </w:r>
          </w:p>
        </w:tc>
      </w:tr>
      <w:tr w:rsidR="00D37F5C" w:rsidRPr="00A44CAE" w14:paraId="3378CC72"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74A3A1A3" w14:textId="77777777" w:rsidR="00D37F5C" w:rsidRPr="00A44CAE" w:rsidRDefault="00D37F5C" w:rsidP="00564053">
            <w:pPr>
              <w:pStyle w:val="Standardzentriert"/>
            </w:pPr>
            <w:r w:rsidRPr="00A44CAE">
              <w:t>7</w:t>
            </w:r>
          </w:p>
        </w:tc>
        <w:tc>
          <w:tcPr>
            <w:tcW w:w="1846" w:type="dxa"/>
            <w:tcBorders>
              <w:top w:val="nil"/>
              <w:left w:val="nil"/>
              <w:bottom w:val="single" w:sz="4" w:space="0" w:color="auto"/>
              <w:right w:val="single" w:sz="4" w:space="0" w:color="auto"/>
            </w:tcBorders>
            <w:shd w:val="clear" w:color="auto" w:fill="auto"/>
            <w:vAlign w:val="center"/>
            <w:hideMark/>
          </w:tcPr>
          <w:p w14:paraId="447CEE50" w14:textId="77777777" w:rsidR="00D37F5C" w:rsidRPr="00E26166" w:rsidRDefault="00D37F5C" w:rsidP="00564053">
            <w:pPr>
              <w:pStyle w:val="StandardFett"/>
            </w:pPr>
            <w:r w:rsidRPr="00554FE3">
              <w:t>HK</w:t>
            </w:r>
          </w:p>
        </w:tc>
        <w:tc>
          <w:tcPr>
            <w:tcW w:w="1845" w:type="dxa"/>
            <w:tcBorders>
              <w:top w:val="nil"/>
              <w:left w:val="nil"/>
              <w:bottom w:val="single" w:sz="4" w:space="0" w:color="auto"/>
              <w:right w:val="single" w:sz="4" w:space="0" w:color="auto"/>
            </w:tcBorders>
            <w:shd w:val="clear" w:color="auto" w:fill="auto"/>
            <w:noWrap/>
            <w:vAlign w:val="center"/>
            <w:hideMark/>
          </w:tcPr>
          <w:p w14:paraId="07CF55E6" w14:textId="77777777" w:rsidR="00D37F5C" w:rsidRPr="00E26166" w:rsidRDefault="00D37F5C" w:rsidP="00564053">
            <w:pPr>
              <w:pStyle w:val="Standardfettrechts"/>
            </w:pPr>
            <w:r w:rsidRPr="00E26166">
              <w:t>21.900,00 €</w:t>
            </w:r>
          </w:p>
        </w:tc>
        <w:tc>
          <w:tcPr>
            <w:tcW w:w="1845" w:type="dxa"/>
            <w:tcBorders>
              <w:top w:val="nil"/>
              <w:left w:val="nil"/>
              <w:bottom w:val="single" w:sz="4" w:space="0" w:color="auto"/>
              <w:right w:val="single" w:sz="4" w:space="0" w:color="auto"/>
            </w:tcBorders>
            <w:shd w:val="clear" w:color="auto" w:fill="auto"/>
            <w:noWrap/>
            <w:vAlign w:val="center"/>
            <w:hideMark/>
          </w:tcPr>
          <w:p w14:paraId="381EFC12" w14:textId="77777777" w:rsidR="00D37F5C" w:rsidRPr="00E26166" w:rsidRDefault="00D37F5C" w:rsidP="00564053">
            <w:pPr>
              <w:pStyle w:val="Standardfettrechts"/>
            </w:pPr>
            <w:r w:rsidRPr="00E26166">
              <w:t>27.200,00 €</w:t>
            </w:r>
          </w:p>
        </w:tc>
        <w:tc>
          <w:tcPr>
            <w:tcW w:w="1845" w:type="dxa"/>
            <w:tcBorders>
              <w:top w:val="nil"/>
              <w:left w:val="nil"/>
              <w:bottom w:val="single" w:sz="4" w:space="0" w:color="auto"/>
              <w:right w:val="single" w:sz="4" w:space="0" w:color="auto"/>
            </w:tcBorders>
            <w:shd w:val="clear" w:color="auto" w:fill="auto"/>
            <w:noWrap/>
            <w:vAlign w:val="center"/>
            <w:hideMark/>
          </w:tcPr>
          <w:p w14:paraId="17B91C21" w14:textId="77777777" w:rsidR="00D37F5C" w:rsidRPr="00E26166" w:rsidRDefault="00D37F5C" w:rsidP="00564053">
            <w:pPr>
              <w:pStyle w:val="Standardfettrechts"/>
            </w:pPr>
            <w:r w:rsidRPr="00E26166">
              <w:t>32.500,00 €</w:t>
            </w:r>
          </w:p>
        </w:tc>
      </w:tr>
      <w:tr w:rsidR="00D37F5C" w:rsidRPr="00A44CAE" w14:paraId="4D34E284"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3C47FC91" w14:textId="77777777" w:rsidR="00D37F5C" w:rsidRPr="00A44CAE" w:rsidRDefault="00D37F5C" w:rsidP="00564053">
            <w:pPr>
              <w:pStyle w:val="Standardzentriert"/>
            </w:pPr>
            <w:r w:rsidRPr="00A44CAE">
              <w:t>8</w:t>
            </w:r>
          </w:p>
        </w:tc>
        <w:tc>
          <w:tcPr>
            <w:tcW w:w="1846" w:type="dxa"/>
            <w:tcBorders>
              <w:top w:val="nil"/>
              <w:left w:val="nil"/>
              <w:bottom w:val="single" w:sz="4" w:space="0" w:color="auto"/>
              <w:right w:val="single" w:sz="4" w:space="0" w:color="auto"/>
            </w:tcBorders>
            <w:shd w:val="clear" w:color="auto" w:fill="auto"/>
            <w:vAlign w:val="center"/>
            <w:hideMark/>
          </w:tcPr>
          <w:p w14:paraId="30B127A2" w14:textId="371290B6" w:rsidR="00D37F5C" w:rsidRPr="00E26166" w:rsidRDefault="00D37F5C" w:rsidP="00564053">
            <w:r w:rsidRPr="00554FE3">
              <w:t>VwGK</w:t>
            </w:r>
            <w:r w:rsidRPr="00E26166">
              <w:t xml:space="preserve"> (</w:t>
            </w:r>
            <w:r w:rsidRPr="00554FE3">
              <w:t>50</w:t>
            </w:r>
            <w:r w:rsidR="00A9637D" w:rsidRPr="00554FE3">
              <w:t xml:space="preserve"> </w:t>
            </w:r>
            <w:r w:rsidRPr="00554FE3">
              <w:t>%</w:t>
            </w:r>
            <w:r w:rsidRPr="00E26166">
              <w:t>)</w:t>
            </w:r>
          </w:p>
        </w:tc>
        <w:tc>
          <w:tcPr>
            <w:tcW w:w="1845" w:type="dxa"/>
            <w:tcBorders>
              <w:top w:val="nil"/>
              <w:left w:val="nil"/>
              <w:bottom w:val="nil"/>
              <w:right w:val="nil"/>
            </w:tcBorders>
            <w:shd w:val="clear" w:color="auto" w:fill="auto"/>
            <w:noWrap/>
            <w:vAlign w:val="center"/>
            <w:hideMark/>
          </w:tcPr>
          <w:p w14:paraId="174A4D58" w14:textId="77777777" w:rsidR="00D37F5C" w:rsidRPr="00E26166" w:rsidRDefault="00D37F5C" w:rsidP="00564053">
            <w:pPr>
              <w:pStyle w:val="Standardrechts"/>
            </w:pPr>
            <w:r w:rsidRPr="00E26166">
              <w:t>10.950,00 €</w:t>
            </w:r>
          </w:p>
        </w:tc>
        <w:tc>
          <w:tcPr>
            <w:tcW w:w="1845" w:type="dxa"/>
            <w:tcBorders>
              <w:top w:val="nil"/>
              <w:left w:val="single" w:sz="4" w:space="0" w:color="auto"/>
              <w:bottom w:val="single" w:sz="4" w:space="0" w:color="auto"/>
              <w:right w:val="single" w:sz="4" w:space="0" w:color="auto"/>
            </w:tcBorders>
            <w:shd w:val="clear" w:color="auto" w:fill="auto"/>
            <w:noWrap/>
            <w:vAlign w:val="center"/>
            <w:hideMark/>
          </w:tcPr>
          <w:p w14:paraId="1885D421" w14:textId="77777777" w:rsidR="00D37F5C" w:rsidRPr="00E26166" w:rsidRDefault="00D37F5C" w:rsidP="00564053">
            <w:pPr>
              <w:pStyle w:val="Standardrechts"/>
            </w:pPr>
            <w:r w:rsidRPr="00E26166">
              <w:t>13.600,00 €</w:t>
            </w:r>
          </w:p>
        </w:tc>
        <w:tc>
          <w:tcPr>
            <w:tcW w:w="1845" w:type="dxa"/>
            <w:tcBorders>
              <w:top w:val="nil"/>
              <w:left w:val="nil"/>
              <w:bottom w:val="single" w:sz="4" w:space="0" w:color="auto"/>
              <w:right w:val="single" w:sz="4" w:space="0" w:color="auto"/>
            </w:tcBorders>
            <w:shd w:val="clear" w:color="auto" w:fill="auto"/>
            <w:noWrap/>
            <w:vAlign w:val="center"/>
            <w:hideMark/>
          </w:tcPr>
          <w:p w14:paraId="6127C170" w14:textId="77777777" w:rsidR="00D37F5C" w:rsidRPr="00E26166" w:rsidRDefault="00D37F5C" w:rsidP="00564053">
            <w:pPr>
              <w:pStyle w:val="Standardrechts"/>
            </w:pPr>
            <w:r w:rsidRPr="00E26166">
              <w:t>16.250,00 €</w:t>
            </w:r>
          </w:p>
        </w:tc>
      </w:tr>
      <w:tr w:rsidR="00D37F5C" w:rsidRPr="00A44CAE" w14:paraId="4CCC02D7"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00E2D353" w14:textId="77777777" w:rsidR="00D37F5C" w:rsidRPr="00A44CAE" w:rsidRDefault="00D37F5C" w:rsidP="00564053">
            <w:pPr>
              <w:pStyle w:val="Standardzentriert"/>
            </w:pPr>
            <w:r w:rsidRPr="00A44CAE">
              <w:t>9</w:t>
            </w:r>
          </w:p>
        </w:tc>
        <w:tc>
          <w:tcPr>
            <w:tcW w:w="1846" w:type="dxa"/>
            <w:tcBorders>
              <w:top w:val="nil"/>
              <w:left w:val="nil"/>
              <w:bottom w:val="single" w:sz="4" w:space="0" w:color="auto"/>
              <w:right w:val="single" w:sz="4" w:space="0" w:color="auto"/>
            </w:tcBorders>
            <w:shd w:val="clear" w:color="auto" w:fill="auto"/>
            <w:vAlign w:val="center"/>
            <w:hideMark/>
          </w:tcPr>
          <w:p w14:paraId="18D1C3D0" w14:textId="54720C3A" w:rsidR="00D37F5C" w:rsidRPr="00E26166" w:rsidRDefault="00D37F5C" w:rsidP="00564053">
            <w:r w:rsidRPr="00554FE3">
              <w:t>VtGK</w:t>
            </w:r>
            <w:r w:rsidRPr="00E26166">
              <w:t xml:space="preserve"> (</w:t>
            </w:r>
            <w:r w:rsidRPr="00554FE3">
              <w:t>20</w:t>
            </w:r>
            <w:r w:rsidR="00A9637D" w:rsidRPr="00554FE3">
              <w:t xml:space="preserve"> </w:t>
            </w:r>
            <w:r w:rsidRPr="00554FE3">
              <w:t>%</w:t>
            </w:r>
            <w:r w:rsidRPr="00E26166">
              <w:t>)</w:t>
            </w:r>
          </w:p>
        </w:tc>
        <w:tc>
          <w:tcPr>
            <w:tcW w:w="1845" w:type="dxa"/>
            <w:tcBorders>
              <w:top w:val="single" w:sz="4" w:space="0" w:color="auto"/>
              <w:left w:val="nil"/>
              <w:bottom w:val="single" w:sz="4" w:space="0" w:color="auto"/>
              <w:right w:val="single" w:sz="4" w:space="0" w:color="auto"/>
            </w:tcBorders>
            <w:shd w:val="clear" w:color="auto" w:fill="auto"/>
            <w:noWrap/>
            <w:vAlign w:val="center"/>
            <w:hideMark/>
          </w:tcPr>
          <w:p w14:paraId="4251BFEE" w14:textId="77777777" w:rsidR="00D37F5C" w:rsidRPr="00E26166" w:rsidRDefault="00D37F5C" w:rsidP="00564053">
            <w:pPr>
              <w:pStyle w:val="Standardrechts"/>
            </w:pPr>
            <w:r w:rsidRPr="00E26166">
              <w:t>4.380,00 €</w:t>
            </w:r>
          </w:p>
        </w:tc>
        <w:tc>
          <w:tcPr>
            <w:tcW w:w="1845" w:type="dxa"/>
            <w:tcBorders>
              <w:top w:val="nil"/>
              <w:left w:val="nil"/>
              <w:bottom w:val="single" w:sz="4" w:space="0" w:color="auto"/>
              <w:right w:val="single" w:sz="4" w:space="0" w:color="auto"/>
            </w:tcBorders>
            <w:shd w:val="clear" w:color="auto" w:fill="auto"/>
            <w:noWrap/>
            <w:vAlign w:val="center"/>
            <w:hideMark/>
          </w:tcPr>
          <w:p w14:paraId="553CE9BC" w14:textId="77777777" w:rsidR="00D37F5C" w:rsidRPr="00E26166" w:rsidRDefault="00D37F5C" w:rsidP="00564053">
            <w:pPr>
              <w:pStyle w:val="Standardrechts"/>
            </w:pPr>
            <w:r w:rsidRPr="00E26166">
              <w:t>5.440,00 €</w:t>
            </w:r>
          </w:p>
        </w:tc>
        <w:tc>
          <w:tcPr>
            <w:tcW w:w="1845" w:type="dxa"/>
            <w:tcBorders>
              <w:top w:val="nil"/>
              <w:left w:val="nil"/>
              <w:bottom w:val="single" w:sz="4" w:space="0" w:color="auto"/>
              <w:right w:val="single" w:sz="4" w:space="0" w:color="auto"/>
            </w:tcBorders>
            <w:shd w:val="clear" w:color="auto" w:fill="auto"/>
            <w:noWrap/>
            <w:vAlign w:val="center"/>
            <w:hideMark/>
          </w:tcPr>
          <w:p w14:paraId="1CDFB268" w14:textId="77777777" w:rsidR="00D37F5C" w:rsidRPr="00E26166" w:rsidRDefault="00D37F5C" w:rsidP="00564053">
            <w:pPr>
              <w:pStyle w:val="Standardrechts"/>
            </w:pPr>
            <w:r w:rsidRPr="00E26166">
              <w:t>6.500,00 €</w:t>
            </w:r>
          </w:p>
        </w:tc>
      </w:tr>
      <w:tr w:rsidR="00D37F5C" w:rsidRPr="00A44CAE" w14:paraId="5B8C69C3"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4995E1C0" w14:textId="77777777" w:rsidR="00D37F5C" w:rsidRPr="00A44CAE" w:rsidRDefault="00D37F5C" w:rsidP="00564053">
            <w:pPr>
              <w:pStyle w:val="Standardzentriert"/>
            </w:pPr>
            <w:r w:rsidRPr="00A44CAE">
              <w:t>12</w:t>
            </w:r>
          </w:p>
        </w:tc>
        <w:tc>
          <w:tcPr>
            <w:tcW w:w="1846" w:type="dxa"/>
            <w:tcBorders>
              <w:top w:val="nil"/>
              <w:left w:val="nil"/>
              <w:bottom w:val="single" w:sz="4" w:space="0" w:color="auto"/>
              <w:right w:val="single" w:sz="4" w:space="0" w:color="auto"/>
            </w:tcBorders>
            <w:shd w:val="clear" w:color="auto" w:fill="auto"/>
            <w:vAlign w:val="center"/>
            <w:hideMark/>
          </w:tcPr>
          <w:p w14:paraId="16024EF4" w14:textId="77777777" w:rsidR="00D37F5C" w:rsidRPr="00E26166" w:rsidRDefault="00D37F5C" w:rsidP="00564053">
            <w:pPr>
              <w:pStyle w:val="StandardFett"/>
            </w:pPr>
            <w:r w:rsidRPr="00554FE3">
              <w:t>SK</w:t>
            </w:r>
          </w:p>
        </w:tc>
        <w:tc>
          <w:tcPr>
            <w:tcW w:w="1845" w:type="dxa"/>
            <w:tcBorders>
              <w:top w:val="nil"/>
              <w:left w:val="nil"/>
              <w:bottom w:val="single" w:sz="4" w:space="0" w:color="auto"/>
              <w:right w:val="single" w:sz="4" w:space="0" w:color="auto"/>
            </w:tcBorders>
            <w:shd w:val="clear" w:color="auto" w:fill="auto"/>
            <w:noWrap/>
            <w:vAlign w:val="center"/>
            <w:hideMark/>
          </w:tcPr>
          <w:p w14:paraId="719BB610" w14:textId="77777777" w:rsidR="00D37F5C" w:rsidRPr="00E26166" w:rsidRDefault="00D37F5C" w:rsidP="00564053">
            <w:pPr>
              <w:pStyle w:val="Standardfettrechts"/>
            </w:pPr>
            <w:r w:rsidRPr="00E26166">
              <w:t>37.230,00 €</w:t>
            </w:r>
          </w:p>
        </w:tc>
        <w:tc>
          <w:tcPr>
            <w:tcW w:w="1845" w:type="dxa"/>
            <w:tcBorders>
              <w:top w:val="nil"/>
              <w:left w:val="nil"/>
              <w:bottom w:val="single" w:sz="4" w:space="0" w:color="auto"/>
              <w:right w:val="single" w:sz="4" w:space="0" w:color="auto"/>
            </w:tcBorders>
            <w:shd w:val="clear" w:color="auto" w:fill="auto"/>
            <w:noWrap/>
            <w:vAlign w:val="center"/>
            <w:hideMark/>
          </w:tcPr>
          <w:p w14:paraId="7DA47254" w14:textId="77777777" w:rsidR="00D37F5C" w:rsidRPr="00E26166" w:rsidRDefault="00D37F5C" w:rsidP="00564053">
            <w:pPr>
              <w:pStyle w:val="Standardfettrechts"/>
            </w:pPr>
            <w:r w:rsidRPr="00E26166">
              <w:t>46.240,00 €</w:t>
            </w:r>
          </w:p>
        </w:tc>
        <w:tc>
          <w:tcPr>
            <w:tcW w:w="1845" w:type="dxa"/>
            <w:tcBorders>
              <w:top w:val="nil"/>
              <w:left w:val="nil"/>
              <w:bottom w:val="single" w:sz="4" w:space="0" w:color="auto"/>
              <w:right w:val="single" w:sz="4" w:space="0" w:color="auto"/>
            </w:tcBorders>
            <w:shd w:val="clear" w:color="auto" w:fill="auto"/>
            <w:noWrap/>
            <w:vAlign w:val="center"/>
            <w:hideMark/>
          </w:tcPr>
          <w:p w14:paraId="28C2FDB9" w14:textId="77777777" w:rsidR="00D37F5C" w:rsidRPr="00E26166" w:rsidRDefault="00D37F5C" w:rsidP="00564053">
            <w:pPr>
              <w:pStyle w:val="Standardfettrechts"/>
            </w:pPr>
            <w:r w:rsidRPr="00E26166">
              <w:t>55.250,00 €</w:t>
            </w:r>
          </w:p>
        </w:tc>
      </w:tr>
      <w:tr w:rsidR="00D37F5C" w:rsidRPr="00A44CAE" w14:paraId="73C9BFBA"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34C24996" w14:textId="77777777" w:rsidR="00D37F5C" w:rsidRPr="00A44CAE" w:rsidRDefault="00D37F5C" w:rsidP="00564053">
            <w:pPr>
              <w:pStyle w:val="Standardzentriert"/>
            </w:pPr>
            <w:r w:rsidRPr="00A44CAE">
              <w:t>13</w:t>
            </w:r>
          </w:p>
        </w:tc>
        <w:tc>
          <w:tcPr>
            <w:tcW w:w="1846" w:type="dxa"/>
            <w:tcBorders>
              <w:top w:val="nil"/>
              <w:left w:val="nil"/>
              <w:bottom w:val="single" w:sz="4" w:space="0" w:color="auto"/>
              <w:right w:val="single" w:sz="4" w:space="0" w:color="auto"/>
            </w:tcBorders>
            <w:shd w:val="clear" w:color="auto" w:fill="auto"/>
            <w:vAlign w:val="center"/>
            <w:hideMark/>
          </w:tcPr>
          <w:p w14:paraId="1C8DE0FA" w14:textId="77777777" w:rsidR="00D37F5C" w:rsidRPr="001D6427" w:rsidRDefault="00D37F5C" w:rsidP="00564053">
            <w:r w:rsidRPr="001D6427">
              <w:t>Umsatzerlöse</w:t>
            </w:r>
          </w:p>
        </w:tc>
        <w:tc>
          <w:tcPr>
            <w:tcW w:w="1845" w:type="dxa"/>
            <w:tcBorders>
              <w:top w:val="nil"/>
              <w:left w:val="nil"/>
              <w:bottom w:val="single" w:sz="4" w:space="0" w:color="auto"/>
              <w:right w:val="single" w:sz="4" w:space="0" w:color="auto"/>
            </w:tcBorders>
            <w:shd w:val="clear" w:color="auto" w:fill="auto"/>
            <w:noWrap/>
            <w:vAlign w:val="center"/>
          </w:tcPr>
          <w:p w14:paraId="09FC965D" w14:textId="77777777" w:rsidR="00D37F5C" w:rsidRPr="00E26166" w:rsidRDefault="00D37F5C" w:rsidP="00564053">
            <w:pPr>
              <w:pStyle w:val="Standardrechts"/>
            </w:pPr>
          </w:p>
        </w:tc>
        <w:tc>
          <w:tcPr>
            <w:tcW w:w="1845" w:type="dxa"/>
            <w:tcBorders>
              <w:top w:val="nil"/>
              <w:left w:val="nil"/>
              <w:bottom w:val="single" w:sz="4" w:space="0" w:color="auto"/>
              <w:right w:val="single" w:sz="4" w:space="0" w:color="auto"/>
            </w:tcBorders>
            <w:shd w:val="clear" w:color="auto" w:fill="auto"/>
            <w:noWrap/>
            <w:vAlign w:val="center"/>
          </w:tcPr>
          <w:p w14:paraId="3A212276" w14:textId="77777777" w:rsidR="00D37F5C" w:rsidRPr="00E26166" w:rsidRDefault="00D37F5C" w:rsidP="00564053">
            <w:pPr>
              <w:pStyle w:val="Standardrechts"/>
            </w:pPr>
          </w:p>
        </w:tc>
        <w:tc>
          <w:tcPr>
            <w:tcW w:w="1845" w:type="dxa"/>
            <w:tcBorders>
              <w:top w:val="nil"/>
              <w:left w:val="nil"/>
              <w:bottom w:val="single" w:sz="4" w:space="0" w:color="auto"/>
              <w:right w:val="single" w:sz="4" w:space="0" w:color="auto"/>
            </w:tcBorders>
            <w:shd w:val="clear" w:color="auto" w:fill="auto"/>
            <w:noWrap/>
            <w:vAlign w:val="bottom"/>
          </w:tcPr>
          <w:p w14:paraId="2433D6F2" w14:textId="77777777" w:rsidR="00D37F5C" w:rsidRPr="00E26166" w:rsidRDefault="00D37F5C" w:rsidP="00564053">
            <w:pPr>
              <w:pStyle w:val="Standardrechts"/>
            </w:pPr>
          </w:p>
        </w:tc>
      </w:tr>
      <w:tr w:rsidR="00D37F5C" w:rsidRPr="00A44CAE" w14:paraId="240A9454"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1DCD3D28" w14:textId="77777777" w:rsidR="00D37F5C" w:rsidRPr="00A44CAE" w:rsidRDefault="00D37F5C" w:rsidP="00564053">
            <w:pPr>
              <w:pStyle w:val="Standardzentriert"/>
            </w:pPr>
            <w:r w:rsidRPr="00A44CAE">
              <w:t>14</w:t>
            </w:r>
          </w:p>
        </w:tc>
        <w:tc>
          <w:tcPr>
            <w:tcW w:w="1846" w:type="dxa"/>
            <w:tcBorders>
              <w:top w:val="nil"/>
              <w:left w:val="nil"/>
              <w:bottom w:val="single" w:sz="4" w:space="0" w:color="auto"/>
              <w:right w:val="single" w:sz="4" w:space="0" w:color="auto"/>
            </w:tcBorders>
            <w:shd w:val="clear" w:color="auto" w:fill="auto"/>
            <w:vAlign w:val="center"/>
            <w:hideMark/>
          </w:tcPr>
          <w:p w14:paraId="65AFE14D" w14:textId="77777777" w:rsidR="00D37F5C" w:rsidRPr="001D6427" w:rsidRDefault="00D37F5C" w:rsidP="00564053">
            <w:pPr>
              <w:pStyle w:val="StandardFett"/>
            </w:pPr>
            <w:r w:rsidRPr="001D6427">
              <w:t>Betriebsergebnis</w:t>
            </w:r>
          </w:p>
        </w:tc>
        <w:tc>
          <w:tcPr>
            <w:tcW w:w="1845" w:type="dxa"/>
            <w:tcBorders>
              <w:top w:val="nil"/>
              <w:left w:val="nil"/>
              <w:bottom w:val="single" w:sz="4" w:space="0" w:color="auto"/>
              <w:right w:val="single" w:sz="4" w:space="0" w:color="auto"/>
            </w:tcBorders>
            <w:shd w:val="clear" w:color="auto" w:fill="auto"/>
            <w:noWrap/>
            <w:vAlign w:val="center"/>
          </w:tcPr>
          <w:p w14:paraId="27632289" w14:textId="77777777" w:rsidR="00D37F5C" w:rsidRPr="00E26166" w:rsidRDefault="00D37F5C" w:rsidP="00564053">
            <w:pPr>
              <w:pStyle w:val="Standardrechts"/>
            </w:pPr>
          </w:p>
        </w:tc>
        <w:tc>
          <w:tcPr>
            <w:tcW w:w="1845" w:type="dxa"/>
            <w:tcBorders>
              <w:top w:val="nil"/>
              <w:left w:val="nil"/>
              <w:bottom w:val="single" w:sz="4" w:space="0" w:color="auto"/>
              <w:right w:val="single" w:sz="4" w:space="0" w:color="auto"/>
            </w:tcBorders>
            <w:shd w:val="clear" w:color="auto" w:fill="auto"/>
            <w:noWrap/>
            <w:vAlign w:val="center"/>
          </w:tcPr>
          <w:p w14:paraId="2130BA43" w14:textId="77777777" w:rsidR="00D37F5C" w:rsidRPr="00E26166" w:rsidRDefault="00D37F5C" w:rsidP="00564053">
            <w:pPr>
              <w:pStyle w:val="Standardrechts"/>
            </w:pPr>
          </w:p>
        </w:tc>
        <w:tc>
          <w:tcPr>
            <w:tcW w:w="1845" w:type="dxa"/>
            <w:tcBorders>
              <w:top w:val="nil"/>
              <w:left w:val="nil"/>
              <w:bottom w:val="single" w:sz="4" w:space="0" w:color="auto"/>
              <w:right w:val="single" w:sz="4" w:space="0" w:color="auto"/>
            </w:tcBorders>
            <w:shd w:val="clear" w:color="auto" w:fill="auto"/>
            <w:noWrap/>
            <w:vAlign w:val="bottom"/>
          </w:tcPr>
          <w:p w14:paraId="656663AB" w14:textId="77777777" w:rsidR="00D37F5C" w:rsidRPr="00E26166" w:rsidRDefault="00D37F5C" w:rsidP="00564053">
            <w:pPr>
              <w:pStyle w:val="Standardrechts"/>
            </w:pPr>
          </w:p>
        </w:tc>
      </w:tr>
      <w:tr w:rsidR="00D37F5C" w:rsidRPr="00A44CAE" w14:paraId="52B0392C" w14:textId="77777777" w:rsidTr="00564053">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44E921FF" w14:textId="77777777" w:rsidR="00D37F5C" w:rsidRPr="00A44CAE" w:rsidRDefault="00D37F5C" w:rsidP="00564053">
            <w:pPr>
              <w:pStyle w:val="Standardzentriert"/>
            </w:pPr>
            <w:r w:rsidRPr="00A44CAE">
              <w:t>15</w:t>
            </w:r>
          </w:p>
        </w:tc>
        <w:tc>
          <w:tcPr>
            <w:tcW w:w="1846" w:type="dxa"/>
            <w:tcBorders>
              <w:top w:val="nil"/>
              <w:left w:val="nil"/>
              <w:bottom w:val="single" w:sz="4" w:space="0" w:color="auto"/>
              <w:right w:val="single" w:sz="4" w:space="0" w:color="auto"/>
            </w:tcBorders>
            <w:shd w:val="clear" w:color="auto" w:fill="auto"/>
            <w:vAlign w:val="center"/>
            <w:hideMark/>
          </w:tcPr>
          <w:p w14:paraId="3ECA186A" w14:textId="77777777" w:rsidR="00D37F5C" w:rsidRPr="001D6427" w:rsidRDefault="00D37F5C" w:rsidP="00564053">
            <w:pPr>
              <w:pStyle w:val="StandardFett"/>
            </w:pPr>
            <w:r w:rsidRPr="001D6427">
              <w:t>Gesamtergebnis</w:t>
            </w:r>
          </w:p>
        </w:tc>
        <w:tc>
          <w:tcPr>
            <w:tcW w:w="1845" w:type="dxa"/>
            <w:tcBorders>
              <w:top w:val="nil"/>
              <w:left w:val="nil"/>
              <w:bottom w:val="single" w:sz="4" w:space="0" w:color="auto"/>
              <w:right w:val="nil"/>
            </w:tcBorders>
            <w:shd w:val="clear" w:color="auto" w:fill="auto"/>
            <w:noWrap/>
            <w:vAlign w:val="center"/>
          </w:tcPr>
          <w:p w14:paraId="6A17801C" w14:textId="77777777" w:rsidR="00D37F5C" w:rsidRPr="00E26166" w:rsidRDefault="00D37F5C" w:rsidP="00564053">
            <w:pPr>
              <w:pStyle w:val="Standardrechts"/>
            </w:pPr>
          </w:p>
        </w:tc>
        <w:tc>
          <w:tcPr>
            <w:tcW w:w="1845" w:type="dxa"/>
            <w:tcBorders>
              <w:top w:val="nil"/>
              <w:left w:val="nil"/>
              <w:bottom w:val="single" w:sz="4" w:space="0" w:color="auto"/>
              <w:right w:val="nil"/>
            </w:tcBorders>
            <w:shd w:val="clear" w:color="auto" w:fill="auto"/>
            <w:noWrap/>
            <w:vAlign w:val="center"/>
          </w:tcPr>
          <w:p w14:paraId="229A97B4" w14:textId="77777777" w:rsidR="00D37F5C" w:rsidRPr="00E26166" w:rsidRDefault="00D37F5C" w:rsidP="00564053">
            <w:pPr>
              <w:pStyle w:val="Standardrechts"/>
            </w:pPr>
          </w:p>
        </w:tc>
        <w:tc>
          <w:tcPr>
            <w:tcW w:w="1845" w:type="dxa"/>
            <w:tcBorders>
              <w:top w:val="nil"/>
              <w:left w:val="nil"/>
              <w:bottom w:val="single" w:sz="4" w:space="0" w:color="auto"/>
              <w:right w:val="single" w:sz="4" w:space="0" w:color="auto"/>
            </w:tcBorders>
            <w:shd w:val="clear" w:color="auto" w:fill="auto"/>
            <w:noWrap/>
            <w:vAlign w:val="center"/>
          </w:tcPr>
          <w:p w14:paraId="1FBA8C97" w14:textId="77777777" w:rsidR="00D37F5C" w:rsidRPr="00E26166" w:rsidRDefault="00D37F5C" w:rsidP="00564053">
            <w:pPr>
              <w:pStyle w:val="Standardrechts"/>
            </w:pPr>
          </w:p>
        </w:tc>
      </w:tr>
    </w:tbl>
    <w:p w14:paraId="21A85423" w14:textId="77777777" w:rsidR="00D2295B" w:rsidRPr="00D2295B" w:rsidRDefault="00D2295B" w:rsidP="00D2295B"/>
    <w:p w14:paraId="7B9E915B" w14:textId="77777777" w:rsidR="00D2295B" w:rsidRDefault="00D2295B">
      <w:pPr>
        <w:spacing w:before="0" w:after="0"/>
        <w:jc w:val="left"/>
        <w:rPr>
          <w:b/>
          <w:bCs/>
          <w:sz w:val="26"/>
        </w:rPr>
      </w:pPr>
      <w:r>
        <w:br w:type="page"/>
      </w:r>
    </w:p>
    <w:p w14:paraId="2F6A38C8" w14:textId="7DD4F0AA" w:rsidR="00064EC6" w:rsidRDefault="00064EC6" w:rsidP="00064EC6">
      <w:pPr>
        <w:pStyle w:val="berschrift1"/>
      </w:pPr>
      <w:r>
        <w:lastRenderedPageBreak/>
        <w:t>Material M2</w:t>
      </w:r>
    </w:p>
    <w:p w14:paraId="6D21B7E5" w14:textId="4198BC0F" w:rsidR="00D2295B" w:rsidRDefault="00D2295B" w:rsidP="00D2295B"/>
    <w:tbl>
      <w:tblPr>
        <w:tblW w:w="6519" w:type="dxa"/>
        <w:tblInd w:w="510" w:type="dxa"/>
        <w:tblCellMar>
          <w:left w:w="70" w:type="dxa"/>
          <w:right w:w="70" w:type="dxa"/>
        </w:tblCellMar>
        <w:tblLook w:val="04A0" w:firstRow="1" w:lastRow="0" w:firstColumn="1" w:lastColumn="0" w:noHBand="0" w:noVBand="1"/>
      </w:tblPr>
      <w:tblGrid>
        <w:gridCol w:w="2268"/>
        <w:gridCol w:w="1417"/>
        <w:gridCol w:w="1417"/>
        <w:gridCol w:w="1417"/>
      </w:tblGrid>
      <w:tr w:rsidR="00D2295B" w14:paraId="5318C4BD" w14:textId="77777777" w:rsidTr="00D2295B">
        <w:trPr>
          <w:trHeight w:val="600"/>
        </w:trPr>
        <w:tc>
          <w:tcPr>
            <w:tcW w:w="2268"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0274ED1" w14:textId="2A5876D0" w:rsidR="00D2295B" w:rsidRPr="00A44CAE" w:rsidRDefault="00D2295B" w:rsidP="00564053">
            <w:pPr>
              <w:pStyle w:val="StandardFettzentriert"/>
            </w:pPr>
            <w:r>
              <w:t>Kugellager</w:t>
            </w:r>
          </w:p>
        </w:tc>
        <w:tc>
          <w:tcPr>
            <w:tcW w:w="1417" w:type="dxa"/>
            <w:tcBorders>
              <w:top w:val="single" w:sz="4" w:space="0" w:color="auto"/>
              <w:left w:val="nil"/>
              <w:bottom w:val="single" w:sz="4" w:space="0" w:color="auto"/>
              <w:right w:val="single" w:sz="4" w:space="0" w:color="auto"/>
            </w:tcBorders>
            <w:shd w:val="clear" w:color="000000" w:fill="FFFF99"/>
            <w:vAlign w:val="center"/>
            <w:hideMark/>
          </w:tcPr>
          <w:p w14:paraId="4F076451" w14:textId="18EC94CE" w:rsidR="00D2295B" w:rsidRPr="00A44CAE" w:rsidRDefault="00D2295B" w:rsidP="00564053">
            <w:pPr>
              <w:pStyle w:val="StandardFettzentriert"/>
            </w:pPr>
            <w:r>
              <w:t>I</w:t>
            </w:r>
          </w:p>
        </w:tc>
        <w:tc>
          <w:tcPr>
            <w:tcW w:w="1417" w:type="dxa"/>
            <w:tcBorders>
              <w:top w:val="single" w:sz="4" w:space="0" w:color="auto"/>
              <w:left w:val="nil"/>
              <w:bottom w:val="single" w:sz="4" w:space="0" w:color="auto"/>
              <w:right w:val="single" w:sz="4" w:space="0" w:color="auto"/>
            </w:tcBorders>
            <w:shd w:val="clear" w:color="000000" w:fill="FFFF99"/>
            <w:noWrap/>
            <w:vAlign w:val="center"/>
            <w:hideMark/>
          </w:tcPr>
          <w:p w14:paraId="69A060B3" w14:textId="2CE3A2DF" w:rsidR="00D2295B" w:rsidRPr="00A44CAE" w:rsidRDefault="00D2295B" w:rsidP="00564053">
            <w:pPr>
              <w:pStyle w:val="StandardFettzentriert"/>
            </w:pPr>
            <w:r>
              <w:t>II</w:t>
            </w:r>
          </w:p>
        </w:tc>
        <w:tc>
          <w:tcPr>
            <w:tcW w:w="1417" w:type="dxa"/>
            <w:tcBorders>
              <w:top w:val="single" w:sz="4" w:space="0" w:color="auto"/>
              <w:left w:val="single" w:sz="4" w:space="0" w:color="auto"/>
              <w:bottom w:val="single" w:sz="4" w:space="0" w:color="auto"/>
              <w:right w:val="single" w:sz="4" w:space="0" w:color="auto"/>
            </w:tcBorders>
            <w:shd w:val="clear" w:color="000000" w:fill="FFFF99"/>
            <w:vAlign w:val="center"/>
          </w:tcPr>
          <w:p w14:paraId="48AA94BC" w14:textId="27CA6916" w:rsidR="00D2295B" w:rsidRDefault="00D2295B" w:rsidP="00564053">
            <w:pPr>
              <w:pStyle w:val="StandardFettzentriert"/>
            </w:pPr>
            <w:r>
              <w:t>III</w:t>
            </w:r>
          </w:p>
        </w:tc>
      </w:tr>
      <w:tr w:rsidR="00D2295B" w:rsidRPr="00E26166" w14:paraId="580E6408" w14:textId="77777777" w:rsidTr="00D2295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noWrap/>
            <w:vAlign w:val="center"/>
            <w:hideMark/>
          </w:tcPr>
          <w:p w14:paraId="78407BB2" w14:textId="641C35E5" w:rsidR="00D2295B" w:rsidRPr="00A44CAE" w:rsidRDefault="00D2295B" w:rsidP="00D2295B">
            <w:r>
              <w:t>Fertigungsmaterial</w:t>
            </w:r>
          </w:p>
        </w:tc>
        <w:tc>
          <w:tcPr>
            <w:tcW w:w="1417" w:type="dxa"/>
            <w:tcBorders>
              <w:top w:val="single" w:sz="4" w:space="0" w:color="auto"/>
              <w:left w:val="single" w:sz="4" w:space="0" w:color="auto"/>
              <w:bottom w:val="single" w:sz="4" w:space="0" w:color="auto"/>
              <w:right w:val="single" w:sz="4" w:space="0" w:color="auto"/>
            </w:tcBorders>
            <w:vAlign w:val="center"/>
          </w:tcPr>
          <w:p w14:paraId="5CD6513A" w14:textId="443FC13A" w:rsidR="00D2295B" w:rsidRPr="00E26166" w:rsidRDefault="00D2295B" w:rsidP="00D2295B">
            <w:pPr>
              <w:pStyle w:val="Standardrechts"/>
            </w:pPr>
            <w:r>
              <w:t>0,90 €</w:t>
            </w:r>
          </w:p>
        </w:tc>
        <w:tc>
          <w:tcPr>
            <w:tcW w:w="1417" w:type="dxa"/>
            <w:tcBorders>
              <w:top w:val="single" w:sz="4" w:space="0" w:color="auto"/>
              <w:left w:val="single" w:sz="4" w:space="0" w:color="auto"/>
              <w:bottom w:val="single" w:sz="4" w:space="0" w:color="auto"/>
              <w:right w:val="single" w:sz="4" w:space="0" w:color="auto"/>
            </w:tcBorders>
            <w:vAlign w:val="center"/>
          </w:tcPr>
          <w:p w14:paraId="24F6F7C3" w14:textId="00764460" w:rsidR="00D2295B" w:rsidRPr="00E26166" w:rsidRDefault="00D2295B" w:rsidP="00D2295B">
            <w:pPr>
              <w:pStyle w:val="Standardrechts"/>
            </w:pPr>
            <w:r>
              <w:t>1,20 €</w:t>
            </w:r>
          </w:p>
        </w:tc>
        <w:tc>
          <w:tcPr>
            <w:tcW w:w="1417" w:type="dxa"/>
            <w:tcBorders>
              <w:top w:val="single" w:sz="4" w:space="0" w:color="auto"/>
              <w:left w:val="single" w:sz="4" w:space="0" w:color="auto"/>
              <w:bottom w:val="single" w:sz="4" w:space="0" w:color="auto"/>
              <w:right w:val="single" w:sz="4" w:space="0" w:color="auto"/>
            </w:tcBorders>
            <w:vAlign w:val="center"/>
          </w:tcPr>
          <w:p w14:paraId="318BB794" w14:textId="421CA97A" w:rsidR="00D2295B" w:rsidRPr="00E26166" w:rsidRDefault="00D2295B" w:rsidP="00D2295B">
            <w:pPr>
              <w:pStyle w:val="Standardrechts"/>
            </w:pPr>
            <w:r>
              <w:t>1,50 €</w:t>
            </w:r>
          </w:p>
        </w:tc>
      </w:tr>
      <w:tr w:rsidR="00D2295B" w:rsidRPr="00E26166" w14:paraId="481410AC" w14:textId="77777777" w:rsidTr="00D2295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noWrap/>
            <w:vAlign w:val="center"/>
            <w:hideMark/>
          </w:tcPr>
          <w:p w14:paraId="3B207ABF" w14:textId="7FD79D55" w:rsidR="00D2295B" w:rsidRPr="00A44CAE" w:rsidRDefault="00D2295B" w:rsidP="00D2295B">
            <w:r>
              <w:t>Fertigungslöhne</w:t>
            </w:r>
          </w:p>
        </w:tc>
        <w:tc>
          <w:tcPr>
            <w:tcW w:w="1417" w:type="dxa"/>
            <w:tcBorders>
              <w:top w:val="single" w:sz="4" w:space="0" w:color="auto"/>
              <w:left w:val="single" w:sz="4" w:space="0" w:color="auto"/>
              <w:bottom w:val="single" w:sz="4" w:space="0" w:color="auto"/>
              <w:right w:val="single" w:sz="4" w:space="0" w:color="auto"/>
            </w:tcBorders>
            <w:vAlign w:val="center"/>
          </w:tcPr>
          <w:p w14:paraId="6811C42E" w14:textId="4DB0C8CC" w:rsidR="00D2295B" w:rsidRPr="00E26166" w:rsidRDefault="00D2295B" w:rsidP="00D2295B">
            <w:pPr>
              <w:pStyle w:val="Standardrechts"/>
            </w:pPr>
            <w:r>
              <w:t>0,60 €</w:t>
            </w:r>
          </w:p>
        </w:tc>
        <w:tc>
          <w:tcPr>
            <w:tcW w:w="1417" w:type="dxa"/>
            <w:tcBorders>
              <w:top w:val="single" w:sz="4" w:space="0" w:color="auto"/>
              <w:left w:val="single" w:sz="4" w:space="0" w:color="auto"/>
              <w:bottom w:val="single" w:sz="4" w:space="0" w:color="auto"/>
              <w:right w:val="single" w:sz="4" w:space="0" w:color="auto"/>
            </w:tcBorders>
            <w:noWrap/>
            <w:vAlign w:val="center"/>
          </w:tcPr>
          <w:p w14:paraId="0CA00DE7" w14:textId="62DA29A4" w:rsidR="00D2295B" w:rsidRPr="00E26166" w:rsidRDefault="00D2295B" w:rsidP="00D2295B">
            <w:pPr>
              <w:pStyle w:val="Standardrechts"/>
            </w:pPr>
            <w:r>
              <w:t>0,70 €</w:t>
            </w:r>
          </w:p>
        </w:tc>
        <w:tc>
          <w:tcPr>
            <w:tcW w:w="1417" w:type="dxa"/>
            <w:tcBorders>
              <w:top w:val="single" w:sz="4" w:space="0" w:color="auto"/>
              <w:left w:val="single" w:sz="4" w:space="0" w:color="auto"/>
              <w:bottom w:val="single" w:sz="4" w:space="0" w:color="auto"/>
              <w:right w:val="single" w:sz="4" w:space="0" w:color="auto"/>
            </w:tcBorders>
            <w:vAlign w:val="center"/>
          </w:tcPr>
          <w:p w14:paraId="73420DB0" w14:textId="3B0D7494" w:rsidR="00D2295B" w:rsidRPr="00E26166" w:rsidRDefault="00D2295B" w:rsidP="00D2295B">
            <w:pPr>
              <w:pStyle w:val="Standardrechts"/>
            </w:pPr>
            <w:r>
              <w:t>0,80 €</w:t>
            </w:r>
          </w:p>
        </w:tc>
      </w:tr>
      <w:tr w:rsidR="00D2295B" w:rsidRPr="00E26166" w14:paraId="2D03D1A5" w14:textId="77777777" w:rsidTr="00D2295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noWrap/>
            <w:vAlign w:val="center"/>
            <w:hideMark/>
          </w:tcPr>
          <w:p w14:paraId="44D07A84" w14:textId="5319C999" w:rsidR="00D2295B" w:rsidRPr="00A44CAE" w:rsidRDefault="00D2295B" w:rsidP="00D2295B">
            <w:r w:rsidRPr="00554FE3">
              <w:t>variable</w:t>
            </w:r>
            <w:r>
              <w:t xml:space="preserve"> Gemeinkosten</w:t>
            </w:r>
          </w:p>
        </w:tc>
        <w:tc>
          <w:tcPr>
            <w:tcW w:w="1417" w:type="dxa"/>
            <w:tcBorders>
              <w:top w:val="single" w:sz="4" w:space="0" w:color="auto"/>
              <w:left w:val="single" w:sz="4" w:space="0" w:color="auto"/>
              <w:bottom w:val="single" w:sz="4" w:space="0" w:color="auto"/>
              <w:right w:val="single" w:sz="4" w:space="0" w:color="auto"/>
            </w:tcBorders>
            <w:vAlign w:val="center"/>
          </w:tcPr>
          <w:p w14:paraId="0CF8E03D" w14:textId="25377B01" w:rsidR="00D2295B" w:rsidRPr="00E26166" w:rsidRDefault="00D2295B" w:rsidP="00D2295B">
            <w:pPr>
              <w:pStyle w:val="Standardrechts"/>
            </w:pPr>
            <w:r>
              <w:t>0,85 €</w:t>
            </w:r>
          </w:p>
        </w:tc>
        <w:tc>
          <w:tcPr>
            <w:tcW w:w="1417" w:type="dxa"/>
            <w:tcBorders>
              <w:top w:val="single" w:sz="4" w:space="0" w:color="auto"/>
              <w:left w:val="single" w:sz="4" w:space="0" w:color="auto"/>
              <w:bottom w:val="single" w:sz="4" w:space="0" w:color="auto"/>
              <w:right w:val="single" w:sz="4" w:space="0" w:color="auto"/>
            </w:tcBorders>
            <w:noWrap/>
            <w:vAlign w:val="center"/>
          </w:tcPr>
          <w:p w14:paraId="42BF462C" w14:textId="4E7A961D" w:rsidR="00D2295B" w:rsidRPr="00E26166" w:rsidRDefault="00D2295B" w:rsidP="00D2295B">
            <w:pPr>
              <w:pStyle w:val="Standardrechts"/>
            </w:pPr>
            <w:r>
              <w:t>1,04 €</w:t>
            </w:r>
          </w:p>
        </w:tc>
        <w:tc>
          <w:tcPr>
            <w:tcW w:w="1417" w:type="dxa"/>
            <w:tcBorders>
              <w:top w:val="single" w:sz="4" w:space="0" w:color="auto"/>
              <w:left w:val="single" w:sz="4" w:space="0" w:color="auto"/>
              <w:bottom w:val="single" w:sz="4" w:space="0" w:color="auto"/>
              <w:right w:val="single" w:sz="4" w:space="0" w:color="auto"/>
            </w:tcBorders>
            <w:vAlign w:val="center"/>
          </w:tcPr>
          <w:p w14:paraId="3EF3E0CC" w14:textId="00D6D999" w:rsidR="00D2295B" w:rsidRPr="00E26166" w:rsidRDefault="00D2295B" w:rsidP="00D2295B">
            <w:pPr>
              <w:pStyle w:val="Standardrechts"/>
            </w:pPr>
            <w:r>
              <w:t>1,83 €</w:t>
            </w:r>
          </w:p>
        </w:tc>
      </w:tr>
      <w:tr w:rsidR="00D2295B" w:rsidRPr="00E26166" w14:paraId="242C15DC" w14:textId="77777777" w:rsidTr="00D2295B">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noWrap/>
            <w:vAlign w:val="center"/>
            <w:hideMark/>
          </w:tcPr>
          <w:p w14:paraId="068E7120" w14:textId="65F26250" w:rsidR="00D2295B" w:rsidRPr="00A44CAE" w:rsidRDefault="00D2295B" w:rsidP="00D2295B">
            <w:r>
              <w:t>Listenverkaufspreis</w:t>
            </w:r>
          </w:p>
        </w:tc>
        <w:tc>
          <w:tcPr>
            <w:tcW w:w="1417" w:type="dxa"/>
            <w:tcBorders>
              <w:top w:val="single" w:sz="4" w:space="0" w:color="auto"/>
              <w:left w:val="single" w:sz="4" w:space="0" w:color="auto"/>
              <w:bottom w:val="single" w:sz="4" w:space="0" w:color="auto"/>
              <w:right w:val="single" w:sz="4" w:space="0" w:color="auto"/>
            </w:tcBorders>
            <w:vAlign w:val="center"/>
          </w:tcPr>
          <w:p w14:paraId="2196855C" w14:textId="4FFE31A2" w:rsidR="00D2295B" w:rsidRPr="00E26166" w:rsidRDefault="00D2295B" w:rsidP="00D2295B">
            <w:pPr>
              <w:pStyle w:val="Standardrechts"/>
            </w:pPr>
            <w:r>
              <w:t>5,80 €</w:t>
            </w:r>
          </w:p>
        </w:tc>
        <w:tc>
          <w:tcPr>
            <w:tcW w:w="1417" w:type="dxa"/>
            <w:tcBorders>
              <w:top w:val="single" w:sz="4" w:space="0" w:color="auto"/>
              <w:left w:val="single" w:sz="4" w:space="0" w:color="auto"/>
              <w:bottom w:val="single" w:sz="4" w:space="0" w:color="auto"/>
              <w:right w:val="single" w:sz="4" w:space="0" w:color="auto"/>
            </w:tcBorders>
            <w:noWrap/>
            <w:vAlign w:val="center"/>
          </w:tcPr>
          <w:p w14:paraId="2686DEC2" w14:textId="0933E87D" w:rsidR="00D2295B" w:rsidRPr="00E26166" w:rsidRDefault="00D2295B" w:rsidP="00D2295B">
            <w:pPr>
              <w:pStyle w:val="Standardrechts"/>
            </w:pPr>
            <w:r>
              <w:t>6,80 €</w:t>
            </w:r>
          </w:p>
        </w:tc>
        <w:tc>
          <w:tcPr>
            <w:tcW w:w="1417" w:type="dxa"/>
            <w:tcBorders>
              <w:top w:val="single" w:sz="4" w:space="0" w:color="auto"/>
              <w:left w:val="single" w:sz="4" w:space="0" w:color="auto"/>
              <w:bottom w:val="single" w:sz="4" w:space="0" w:color="auto"/>
              <w:right w:val="single" w:sz="4" w:space="0" w:color="auto"/>
            </w:tcBorders>
            <w:vAlign w:val="center"/>
          </w:tcPr>
          <w:p w14:paraId="1F1C8521" w14:textId="6F86C6B7" w:rsidR="00D2295B" w:rsidRPr="00E26166" w:rsidRDefault="00D2295B" w:rsidP="00D2295B">
            <w:pPr>
              <w:pStyle w:val="Standardrechts"/>
            </w:pPr>
            <w:r>
              <w:t>4,80 €</w:t>
            </w:r>
          </w:p>
        </w:tc>
      </w:tr>
    </w:tbl>
    <w:p w14:paraId="1B736CA2" w14:textId="361B4CE2" w:rsidR="00D2295B" w:rsidRDefault="00D2295B" w:rsidP="00D2295B"/>
    <w:p w14:paraId="50613F42" w14:textId="77777777" w:rsidR="00D2295B" w:rsidRPr="00D2295B" w:rsidRDefault="00D2295B" w:rsidP="00D2295B"/>
    <w:tbl>
      <w:tblPr>
        <w:tblW w:w="8732" w:type="dxa"/>
        <w:tblInd w:w="510" w:type="dxa"/>
        <w:tblCellMar>
          <w:left w:w="70" w:type="dxa"/>
          <w:right w:w="70" w:type="dxa"/>
        </w:tblCellMar>
        <w:tblLook w:val="04A0" w:firstRow="1" w:lastRow="0" w:firstColumn="1" w:lastColumn="0" w:noHBand="0" w:noVBand="1"/>
      </w:tblPr>
      <w:tblGrid>
        <w:gridCol w:w="567"/>
        <w:gridCol w:w="2721"/>
        <w:gridCol w:w="1361"/>
        <w:gridCol w:w="1361"/>
        <w:gridCol w:w="1361"/>
        <w:gridCol w:w="1361"/>
      </w:tblGrid>
      <w:tr w:rsidR="00D2295B" w:rsidRPr="00A44CAE" w14:paraId="18421502" w14:textId="77777777" w:rsidTr="00D2295B">
        <w:trPr>
          <w:trHeight w:val="600"/>
        </w:trPr>
        <w:tc>
          <w:tcPr>
            <w:tcW w:w="56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AE87A66" w14:textId="77777777" w:rsidR="00D2295B" w:rsidRPr="00A44CAE" w:rsidRDefault="00D2295B" w:rsidP="00564053">
            <w:pPr>
              <w:pStyle w:val="StandardFettzentriert"/>
            </w:pPr>
            <w:r w:rsidRPr="00A44CAE">
              <w:t>Pos.</w:t>
            </w:r>
          </w:p>
        </w:tc>
        <w:tc>
          <w:tcPr>
            <w:tcW w:w="2721" w:type="dxa"/>
            <w:tcBorders>
              <w:top w:val="single" w:sz="4" w:space="0" w:color="auto"/>
              <w:left w:val="nil"/>
              <w:bottom w:val="single" w:sz="4" w:space="0" w:color="auto"/>
              <w:right w:val="single" w:sz="4" w:space="0" w:color="auto"/>
            </w:tcBorders>
            <w:shd w:val="clear" w:color="000000" w:fill="FFFF99"/>
            <w:vAlign w:val="center"/>
            <w:hideMark/>
          </w:tcPr>
          <w:p w14:paraId="33AC6BD4" w14:textId="77777777" w:rsidR="00D2295B" w:rsidRPr="00A44CAE" w:rsidRDefault="00D2295B" w:rsidP="00564053">
            <w:pPr>
              <w:pStyle w:val="StandardFettzentriert"/>
            </w:pPr>
            <w:r w:rsidRPr="00A44CAE">
              <w:t>Kalkulationsschema</w:t>
            </w:r>
          </w:p>
        </w:tc>
        <w:tc>
          <w:tcPr>
            <w:tcW w:w="1361" w:type="dxa"/>
            <w:tcBorders>
              <w:top w:val="single" w:sz="4" w:space="0" w:color="auto"/>
              <w:left w:val="nil"/>
              <w:bottom w:val="single" w:sz="4" w:space="0" w:color="auto"/>
              <w:right w:val="single" w:sz="4" w:space="0" w:color="auto"/>
            </w:tcBorders>
            <w:shd w:val="clear" w:color="000000" w:fill="FFFF99"/>
            <w:noWrap/>
            <w:vAlign w:val="center"/>
            <w:hideMark/>
          </w:tcPr>
          <w:p w14:paraId="78B17682" w14:textId="77777777" w:rsidR="00D2295B" w:rsidRPr="00A44CAE" w:rsidRDefault="00D2295B" w:rsidP="00D2295B">
            <w:pPr>
              <w:pStyle w:val="StandardFettzentriert"/>
            </w:pPr>
            <w:r>
              <w:t>Kugellager </w:t>
            </w:r>
            <w:r w:rsidRPr="00A44CAE">
              <w:t>I</w:t>
            </w:r>
          </w:p>
        </w:tc>
        <w:tc>
          <w:tcPr>
            <w:tcW w:w="1361" w:type="dxa"/>
            <w:tcBorders>
              <w:top w:val="single" w:sz="4" w:space="0" w:color="auto"/>
              <w:left w:val="single" w:sz="4" w:space="0" w:color="auto"/>
              <w:bottom w:val="single" w:sz="4" w:space="0" w:color="auto"/>
              <w:right w:val="single" w:sz="4" w:space="0" w:color="auto"/>
            </w:tcBorders>
            <w:shd w:val="clear" w:color="000000" w:fill="FFFF99"/>
            <w:vAlign w:val="center"/>
          </w:tcPr>
          <w:p w14:paraId="0F5DE027" w14:textId="165CEAD8" w:rsidR="00D2295B" w:rsidRDefault="00D2295B" w:rsidP="00D2295B">
            <w:pPr>
              <w:pStyle w:val="StandardFettzentriert"/>
            </w:pPr>
            <w:r>
              <w:t>Kugellager </w:t>
            </w:r>
            <w:r w:rsidRPr="00A44CAE">
              <w:t>I</w:t>
            </w:r>
            <w:r>
              <w:t>I</w:t>
            </w:r>
          </w:p>
        </w:tc>
        <w:tc>
          <w:tcPr>
            <w:tcW w:w="1361"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B1C58E7" w14:textId="12B83839" w:rsidR="00D2295B" w:rsidRPr="00A44CAE" w:rsidRDefault="00D2295B" w:rsidP="00D2295B">
            <w:pPr>
              <w:pStyle w:val="StandardFettzentriert"/>
            </w:pPr>
            <w:r>
              <w:t>Kugellager </w:t>
            </w:r>
            <w:r w:rsidRPr="00A44CAE">
              <w:t>I</w:t>
            </w:r>
            <w:r>
              <w:t>I</w:t>
            </w:r>
            <w:r w:rsidRPr="00A44CAE">
              <w:t>I</w:t>
            </w:r>
          </w:p>
        </w:tc>
        <w:tc>
          <w:tcPr>
            <w:tcW w:w="1361"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98B838A" w14:textId="77777777" w:rsidR="00D2295B" w:rsidRPr="00A44CAE" w:rsidRDefault="00D2295B" w:rsidP="00D2295B">
            <w:pPr>
              <w:pStyle w:val="StandardFettzentriert"/>
            </w:pPr>
            <w:r>
              <w:t>Gesamt</w:t>
            </w:r>
          </w:p>
        </w:tc>
      </w:tr>
      <w:tr w:rsidR="00D2295B" w:rsidRPr="00E26166" w14:paraId="550D49C2" w14:textId="77777777" w:rsidTr="00D2295B">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3A2CB954" w14:textId="77777777" w:rsidR="00D2295B" w:rsidRPr="00A44CAE" w:rsidRDefault="00D2295B" w:rsidP="00564053">
            <w:pPr>
              <w:pStyle w:val="Standardzentriert"/>
            </w:pPr>
            <w:r w:rsidRPr="00A44CAE">
              <w:t>1</w:t>
            </w:r>
          </w:p>
        </w:tc>
        <w:tc>
          <w:tcPr>
            <w:tcW w:w="2721" w:type="dxa"/>
            <w:tcBorders>
              <w:top w:val="nil"/>
              <w:left w:val="nil"/>
              <w:bottom w:val="single" w:sz="4" w:space="0" w:color="auto"/>
              <w:right w:val="single" w:sz="4" w:space="0" w:color="auto"/>
            </w:tcBorders>
            <w:shd w:val="clear" w:color="auto" w:fill="auto"/>
            <w:vAlign w:val="center"/>
            <w:hideMark/>
          </w:tcPr>
          <w:p w14:paraId="60CEAFEB" w14:textId="77777777" w:rsidR="00D2295B" w:rsidRPr="00E26166" w:rsidRDefault="00D2295B" w:rsidP="00564053">
            <w:pPr>
              <w:tabs>
                <w:tab w:val="right" w:pos="2700"/>
              </w:tabs>
              <w:jc w:val="left"/>
            </w:pPr>
            <w:r>
              <w:rPr>
                <w:rFonts w:cs="Calibri"/>
                <w:color w:val="000000"/>
                <w:szCs w:val="22"/>
              </w:rPr>
              <w:tab/>
              <w:t>Umsatzerlöse </w:t>
            </w:r>
            <w:r w:rsidRPr="00554FE3">
              <w:rPr>
                <w:rFonts w:cs="Calibri"/>
                <w:color w:val="000000"/>
                <w:szCs w:val="22"/>
              </w:rPr>
              <w:t>UE</w:t>
            </w:r>
          </w:p>
        </w:tc>
        <w:tc>
          <w:tcPr>
            <w:tcW w:w="1361" w:type="dxa"/>
            <w:tcBorders>
              <w:top w:val="single" w:sz="4" w:space="0" w:color="auto"/>
              <w:left w:val="nil"/>
              <w:bottom w:val="single" w:sz="4" w:space="0" w:color="auto"/>
              <w:right w:val="single" w:sz="4" w:space="0" w:color="auto"/>
            </w:tcBorders>
            <w:shd w:val="clear" w:color="auto" w:fill="auto"/>
            <w:vAlign w:val="center"/>
          </w:tcPr>
          <w:p w14:paraId="743FB37E"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vAlign w:val="center"/>
          </w:tcPr>
          <w:p w14:paraId="33B806A9"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5E2E8" w14:textId="1F6D007A"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EBB1F" w14:textId="77777777" w:rsidR="00D2295B" w:rsidRPr="00E26166" w:rsidRDefault="00D2295B" w:rsidP="00D2295B">
            <w:pPr>
              <w:pStyle w:val="Standardrechts"/>
              <w:jc w:val="center"/>
            </w:pPr>
          </w:p>
        </w:tc>
      </w:tr>
      <w:tr w:rsidR="00D2295B" w:rsidRPr="00E26166" w14:paraId="20C9DDE0" w14:textId="77777777" w:rsidTr="00D2295B">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79D38BD6" w14:textId="77777777" w:rsidR="00D2295B" w:rsidRPr="00A44CAE" w:rsidRDefault="00D2295B" w:rsidP="00564053">
            <w:pPr>
              <w:pStyle w:val="Standardzentriert"/>
            </w:pPr>
            <w:r w:rsidRPr="00A44CAE">
              <w:t>2</w:t>
            </w:r>
          </w:p>
        </w:tc>
        <w:tc>
          <w:tcPr>
            <w:tcW w:w="2721" w:type="dxa"/>
            <w:tcBorders>
              <w:top w:val="nil"/>
              <w:left w:val="nil"/>
              <w:bottom w:val="single" w:sz="4" w:space="0" w:color="auto"/>
              <w:right w:val="single" w:sz="4" w:space="0" w:color="auto"/>
            </w:tcBorders>
            <w:shd w:val="clear" w:color="auto" w:fill="auto"/>
            <w:vAlign w:val="center"/>
            <w:hideMark/>
          </w:tcPr>
          <w:p w14:paraId="43A89451" w14:textId="456FB8DC" w:rsidR="00D2295B" w:rsidRPr="00E26166" w:rsidRDefault="00D2295B" w:rsidP="00564053">
            <w:pPr>
              <w:tabs>
                <w:tab w:val="right" w:pos="2700"/>
              </w:tabs>
              <w:jc w:val="left"/>
            </w:pPr>
            <m:oMath>
              <m:r>
                <w:rPr>
                  <w:rFonts w:ascii="Cambria Math" w:hAnsi="Cambria Math" w:cs="Calibri"/>
                  <w:color w:val="000000"/>
                  <w:szCs w:val="22"/>
                </w:rPr>
                <m:t>-</m:t>
              </m:r>
            </m:oMath>
            <w:r>
              <w:rPr>
                <w:rFonts w:cs="Calibri"/>
                <w:color w:val="000000"/>
                <w:szCs w:val="22"/>
              </w:rPr>
              <w:tab/>
            </w:r>
            <w:r w:rsidR="00A9637D" w:rsidRPr="00554FE3">
              <w:rPr>
                <w:rFonts w:cs="Calibri"/>
                <w:color w:val="000000"/>
                <w:szCs w:val="22"/>
              </w:rPr>
              <w:t>v</w:t>
            </w:r>
            <w:r w:rsidRPr="00554FE3">
              <w:rPr>
                <w:rFonts w:cs="Calibri"/>
                <w:color w:val="000000"/>
                <w:szCs w:val="22"/>
              </w:rPr>
              <w:t>ariable</w:t>
            </w:r>
            <w:r w:rsidRPr="00D37F5C">
              <w:rPr>
                <w:rFonts w:cs="Calibri"/>
                <w:color w:val="000000"/>
                <w:szCs w:val="22"/>
              </w:rPr>
              <w:t xml:space="preserve"> Gesamtkosten </w:t>
            </w:r>
            <w:r w:rsidRPr="00554FE3">
              <w:rPr>
                <w:rFonts w:cs="Calibri"/>
                <w:color w:val="000000"/>
                <w:szCs w:val="22"/>
              </w:rPr>
              <w:t>KV</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354EBFC4"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vAlign w:val="center"/>
          </w:tcPr>
          <w:p w14:paraId="1544D632"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FA1F7" w14:textId="35E46008"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53974" w14:textId="77777777" w:rsidR="00D2295B" w:rsidRPr="00E26166" w:rsidRDefault="00D2295B" w:rsidP="00D2295B">
            <w:pPr>
              <w:pStyle w:val="Standardrechts"/>
              <w:jc w:val="center"/>
            </w:pPr>
          </w:p>
        </w:tc>
      </w:tr>
      <w:tr w:rsidR="00D2295B" w:rsidRPr="00E26166" w14:paraId="16ABB9C7" w14:textId="77777777" w:rsidTr="00D2295B">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7B519FD5" w14:textId="77777777" w:rsidR="00D2295B" w:rsidRPr="00A44CAE" w:rsidRDefault="00D2295B" w:rsidP="00564053">
            <w:pPr>
              <w:pStyle w:val="Standardzentriert"/>
            </w:pPr>
            <w:r w:rsidRPr="00A44CAE">
              <w:t>3</w:t>
            </w:r>
          </w:p>
        </w:tc>
        <w:tc>
          <w:tcPr>
            <w:tcW w:w="2721" w:type="dxa"/>
            <w:tcBorders>
              <w:top w:val="nil"/>
              <w:left w:val="nil"/>
              <w:bottom w:val="single" w:sz="4" w:space="0" w:color="auto"/>
              <w:right w:val="single" w:sz="4" w:space="0" w:color="auto"/>
            </w:tcBorders>
            <w:shd w:val="clear" w:color="auto" w:fill="auto"/>
            <w:vAlign w:val="center"/>
            <w:hideMark/>
          </w:tcPr>
          <w:p w14:paraId="056D96D5" w14:textId="77777777" w:rsidR="00D2295B" w:rsidRPr="00E26166" w:rsidRDefault="00D2295B" w:rsidP="00564053">
            <w:pPr>
              <w:tabs>
                <w:tab w:val="right" w:pos="2700"/>
              </w:tabs>
              <w:jc w:val="left"/>
            </w:pPr>
            <m:oMath>
              <m:r>
                <w:rPr>
                  <w:rFonts w:ascii="Cambria Math" w:hAnsi="Cambria Math"/>
                </w:rPr>
                <m:t>=</m:t>
              </m:r>
            </m:oMath>
            <w:r>
              <w:tab/>
              <w:t>Deckungsbeitrag DB</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584024F2" w14:textId="77777777" w:rsidR="00D2295B" w:rsidRPr="00E26166" w:rsidRDefault="00D2295B" w:rsidP="00D2295B">
            <w:pPr>
              <w:pStyle w:val="Standardfettrechts"/>
              <w:jc w:val="center"/>
            </w:pPr>
          </w:p>
        </w:tc>
        <w:tc>
          <w:tcPr>
            <w:tcW w:w="1361" w:type="dxa"/>
            <w:tcBorders>
              <w:top w:val="single" w:sz="4" w:space="0" w:color="auto"/>
              <w:left w:val="single" w:sz="4" w:space="0" w:color="auto"/>
              <w:bottom w:val="single" w:sz="4" w:space="0" w:color="auto"/>
              <w:right w:val="single" w:sz="4" w:space="0" w:color="auto"/>
            </w:tcBorders>
            <w:vAlign w:val="center"/>
          </w:tcPr>
          <w:p w14:paraId="2071F0C0" w14:textId="77777777" w:rsidR="00D2295B" w:rsidRPr="00E26166" w:rsidRDefault="00D2295B" w:rsidP="00D2295B">
            <w:pPr>
              <w:pStyle w:val="Standardfett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64144" w14:textId="0CD9F3FD" w:rsidR="00D2295B" w:rsidRPr="00E26166" w:rsidRDefault="00D2295B" w:rsidP="00D2295B">
            <w:pPr>
              <w:pStyle w:val="Standardfett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29004" w14:textId="77777777" w:rsidR="00D2295B" w:rsidRPr="00E26166" w:rsidRDefault="00D2295B" w:rsidP="00D2295B">
            <w:pPr>
              <w:pStyle w:val="Standardfettrechts"/>
              <w:jc w:val="center"/>
            </w:pPr>
          </w:p>
        </w:tc>
      </w:tr>
      <w:tr w:rsidR="00D2295B" w:rsidRPr="00E26166" w14:paraId="1BF1B6F5" w14:textId="77777777" w:rsidTr="00D2295B">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5502D657" w14:textId="77777777" w:rsidR="00D2295B" w:rsidRPr="00A44CAE" w:rsidRDefault="00D2295B" w:rsidP="00564053">
            <w:pPr>
              <w:pStyle w:val="Standardzentriert"/>
            </w:pPr>
            <w:r w:rsidRPr="00A44CAE">
              <w:t>4</w:t>
            </w:r>
          </w:p>
        </w:tc>
        <w:tc>
          <w:tcPr>
            <w:tcW w:w="2721" w:type="dxa"/>
            <w:tcBorders>
              <w:top w:val="nil"/>
              <w:left w:val="nil"/>
              <w:bottom w:val="single" w:sz="4" w:space="0" w:color="auto"/>
              <w:right w:val="single" w:sz="4" w:space="0" w:color="auto"/>
            </w:tcBorders>
            <w:shd w:val="clear" w:color="auto" w:fill="auto"/>
            <w:vAlign w:val="center"/>
            <w:hideMark/>
          </w:tcPr>
          <w:p w14:paraId="68E5B9A5" w14:textId="3E3C07A1" w:rsidR="00D2295B" w:rsidRPr="00E26166" w:rsidRDefault="00D2295B" w:rsidP="00564053">
            <w:pPr>
              <w:tabs>
                <w:tab w:val="right" w:pos="2700"/>
              </w:tabs>
              <w:jc w:val="left"/>
            </w:pPr>
            <m:oMath>
              <m:r>
                <w:rPr>
                  <w:rFonts w:ascii="Cambria Math" w:hAnsi="Cambria Math" w:cs="Calibri"/>
                  <w:color w:val="000000"/>
                  <w:szCs w:val="22"/>
                </w:rPr>
                <m:t>-</m:t>
              </m:r>
            </m:oMath>
            <w:r>
              <w:rPr>
                <w:rFonts w:cs="Calibri"/>
                <w:color w:val="000000"/>
                <w:szCs w:val="22"/>
              </w:rPr>
              <w:tab/>
            </w:r>
            <w:r w:rsidR="00A9637D" w:rsidRPr="00554FE3">
              <w:rPr>
                <w:rFonts w:cs="Calibri"/>
                <w:color w:val="000000"/>
                <w:szCs w:val="22"/>
              </w:rPr>
              <w:t>f</w:t>
            </w:r>
            <w:r w:rsidRPr="00554FE3">
              <w:rPr>
                <w:rFonts w:cs="Calibri"/>
                <w:color w:val="000000"/>
                <w:szCs w:val="22"/>
              </w:rPr>
              <w:t>ixe</w:t>
            </w:r>
            <w:r w:rsidRPr="00D37F5C">
              <w:rPr>
                <w:rFonts w:cs="Calibri"/>
                <w:color w:val="000000"/>
                <w:szCs w:val="22"/>
              </w:rPr>
              <w:t xml:space="preserve"> Gesamtkosten </w:t>
            </w:r>
            <w:r w:rsidRPr="00554FE3">
              <w:rPr>
                <w:rFonts w:cs="Calibri"/>
                <w:color w:val="000000"/>
                <w:szCs w:val="22"/>
              </w:rPr>
              <w:t>KF</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500FDA50"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vAlign w:val="center"/>
          </w:tcPr>
          <w:p w14:paraId="4D1D3590"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71412" w14:textId="4E2DC64C"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9A452" w14:textId="77777777" w:rsidR="00D2295B" w:rsidRPr="00E26166" w:rsidRDefault="00D2295B" w:rsidP="00D2295B">
            <w:pPr>
              <w:pStyle w:val="Standardrechts"/>
              <w:jc w:val="center"/>
            </w:pPr>
          </w:p>
        </w:tc>
      </w:tr>
      <w:tr w:rsidR="00D2295B" w:rsidRPr="00E26166" w14:paraId="2C442AC3" w14:textId="77777777" w:rsidTr="00D2295B">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23048E53" w14:textId="77777777" w:rsidR="00D2295B" w:rsidRPr="00A44CAE" w:rsidRDefault="00D2295B" w:rsidP="00564053">
            <w:pPr>
              <w:pStyle w:val="Standardzentriert"/>
            </w:pPr>
            <w:r w:rsidRPr="00A44CAE">
              <w:t>5</w:t>
            </w:r>
          </w:p>
        </w:tc>
        <w:tc>
          <w:tcPr>
            <w:tcW w:w="2721" w:type="dxa"/>
            <w:tcBorders>
              <w:top w:val="nil"/>
              <w:left w:val="nil"/>
              <w:bottom w:val="single" w:sz="4" w:space="0" w:color="auto"/>
              <w:right w:val="single" w:sz="4" w:space="0" w:color="auto"/>
            </w:tcBorders>
            <w:shd w:val="clear" w:color="auto" w:fill="auto"/>
            <w:vAlign w:val="center"/>
            <w:hideMark/>
          </w:tcPr>
          <w:p w14:paraId="00D4DE46" w14:textId="77777777" w:rsidR="00D2295B" w:rsidRPr="00E26166" w:rsidRDefault="00D2295B" w:rsidP="00564053">
            <w:pPr>
              <w:tabs>
                <w:tab w:val="right" w:pos="2700"/>
              </w:tabs>
              <w:jc w:val="left"/>
            </w:pPr>
            <m:oMath>
              <m:r>
                <w:rPr>
                  <w:rFonts w:ascii="Cambria Math" w:hAnsi="Cambria Math" w:cs="Calibri"/>
                  <w:color w:val="000000"/>
                </w:rPr>
                <m:t>=</m:t>
              </m:r>
            </m:oMath>
            <w:r>
              <w:rPr>
                <w:rFonts w:cs="Calibri"/>
                <w:b/>
                <w:color w:val="000000"/>
              </w:rPr>
              <w:tab/>
              <w:t>Betriebsergebnis BE</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015FC7ED"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vAlign w:val="center"/>
          </w:tcPr>
          <w:p w14:paraId="3BBE6868" w14:textId="77777777"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56DD2" w14:textId="749CBAFD" w:rsidR="00D2295B" w:rsidRPr="00E26166" w:rsidRDefault="00D2295B" w:rsidP="00D2295B">
            <w:pPr>
              <w:pStyle w:val="Standardrechts"/>
              <w:jc w:val="center"/>
            </w:pPr>
          </w:p>
        </w:tc>
        <w:tc>
          <w:tcPr>
            <w:tcW w:w="13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2E265" w14:textId="77777777" w:rsidR="00D2295B" w:rsidRPr="00E26166" w:rsidRDefault="00D2295B" w:rsidP="00D2295B">
            <w:pPr>
              <w:pStyle w:val="Standardrechts"/>
              <w:jc w:val="center"/>
            </w:pPr>
          </w:p>
        </w:tc>
      </w:tr>
    </w:tbl>
    <w:p w14:paraId="79335D84" w14:textId="77777777" w:rsidR="00D37F5C" w:rsidRPr="00D37F5C" w:rsidRDefault="00D37F5C" w:rsidP="00D37F5C"/>
    <w:p w14:paraId="38420CEA" w14:textId="77777777" w:rsidR="00D37F5C" w:rsidRDefault="00D37F5C">
      <w:pPr>
        <w:spacing w:before="0" w:after="0"/>
        <w:jc w:val="left"/>
        <w:rPr>
          <w:b/>
          <w:bCs/>
          <w:sz w:val="26"/>
        </w:rPr>
      </w:pPr>
      <w:r>
        <w:br w:type="page"/>
      </w:r>
    </w:p>
    <w:p w14:paraId="19112F98" w14:textId="29017714" w:rsidR="00064EC6" w:rsidRDefault="00064EC6" w:rsidP="00064EC6">
      <w:pPr>
        <w:pStyle w:val="berschrift1"/>
      </w:pPr>
      <w:r>
        <w:lastRenderedPageBreak/>
        <w:t>Material M3</w:t>
      </w:r>
    </w:p>
    <w:p w14:paraId="1C40B264" w14:textId="49966084" w:rsidR="00D37F5C" w:rsidRPr="00D37F5C" w:rsidRDefault="00D37F5C" w:rsidP="00D37F5C">
      <w:r w:rsidRPr="00D37F5C">
        <w:t>Kugellager</w:t>
      </w:r>
      <w:r>
        <w:t> </w:t>
      </w:r>
      <w:r w:rsidRPr="00D37F5C">
        <w:t>I, II bei 10.000</w:t>
      </w:r>
      <w:r>
        <w:t> </w:t>
      </w:r>
      <w:r w:rsidRPr="00D37F5C">
        <w:t xml:space="preserve">Stück absetzbarer Menge, nach </w:t>
      </w:r>
      <w:r w:rsidRPr="00554FE3">
        <w:t>VKR</w:t>
      </w:r>
      <w:r w:rsidRPr="00D37F5C">
        <w:t xml:space="preserve"> und </w:t>
      </w:r>
      <w:r w:rsidRPr="00554FE3">
        <w:t>TKR</w:t>
      </w:r>
      <w:r w:rsidRPr="00D37F5C">
        <w:t>:</w:t>
      </w:r>
    </w:p>
    <w:p w14:paraId="57321793" w14:textId="682095BB" w:rsidR="00D37F5C" w:rsidRDefault="00D37F5C" w:rsidP="00D37F5C">
      <w:pPr>
        <w:pStyle w:val="StandardFett"/>
        <w:rPr>
          <w:szCs w:val="20"/>
        </w:rPr>
      </w:pPr>
      <w:r w:rsidRPr="00554FE3">
        <w:t>VKR</w:t>
      </w:r>
      <w:r w:rsidRPr="00D37F5C">
        <w:t xml:space="preserve"> bei 10.000 Stück</w:t>
      </w:r>
      <w:r>
        <w:t>:</w:t>
      </w:r>
    </w:p>
    <w:tbl>
      <w:tblPr>
        <w:tblW w:w="8227" w:type="dxa"/>
        <w:tblInd w:w="510" w:type="dxa"/>
        <w:tblCellMar>
          <w:left w:w="70" w:type="dxa"/>
          <w:right w:w="70" w:type="dxa"/>
        </w:tblCellMar>
        <w:tblLook w:val="04A0" w:firstRow="1" w:lastRow="0" w:firstColumn="1" w:lastColumn="0" w:noHBand="0" w:noVBand="1"/>
      </w:tblPr>
      <w:tblGrid>
        <w:gridCol w:w="847"/>
        <w:gridCol w:w="1846"/>
        <w:gridCol w:w="2767"/>
        <w:gridCol w:w="2767"/>
      </w:tblGrid>
      <w:tr w:rsidR="00D37F5C" w:rsidRPr="00A44CAE" w14:paraId="4AD452ED" w14:textId="77777777" w:rsidTr="00D37F5C">
        <w:trPr>
          <w:trHeight w:val="600"/>
        </w:trPr>
        <w:tc>
          <w:tcPr>
            <w:tcW w:w="84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7BF52F2" w14:textId="77777777" w:rsidR="00D37F5C" w:rsidRPr="00A44CAE" w:rsidRDefault="00D37F5C" w:rsidP="00564053">
            <w:pPr>
              <w:pStyle w:val="StandardFettzentriert"/>
            </w:pPr>
            <w:r w:rsidRPr="00A44CAE">
              <w:t>Pos.</w:t>
            </w:r>
          </w:p>
        </w:tc>
        <w:tc>
          <w:tcPr>
            <w:tcW w:w="1846" w:type="dxa"/>
            <w:tcBorders>
              <w:top w:val="single" w:sz="4" w:space="0" w:color="auto"/>
              <w:left w:val="nil"/>
              <w:bottom w:val="single" w:sz="4" w:space="0" w:color="auto"/>
              <w:right w:val="single" w:sz="4" w:space="0" w:color="auto"/>
            </w:tcBorders>
            <w:shd w:val="clear" w:color="000000" w:fill="FFFF99"/>
            <w:vAlign w:val="center"/>
            <w:hideMark/>
          </w:tcPr>
          <w:p w14:paraId="41DDE102" w14:textId="77777777" w:rsidR="00D37F5C" w:rsidRPr="00A44CAE" w:rsidRDefault="00D37F5C" w:rsidP="00564053">
            <w:pPr>
              <w:pStyle w:val="StandardFettzentriert"/>
            </w:pPr>
            <w:r w:rsidRPr="00554FE3">
              <w:t>Kalkulations-schema</w:t>
            </w:r>
          </w:p>
        </w:tc>
        <w:tc>
          <w:tcPr>
            <w:tcW w:w="2767" w:type="dxa"/>
            <w:tcBorders>
              <w:top w:val="single" w:sz="4" w:space="0" w:color="auto"/>
              <w:left w:val="nil"/>
              <w:bottom w:val="single" w:sz="4" w:space="0" w:color="auto"/>
              <w:right w:val="single" w:sz="4" w:space="0" w:color="auto"/>
            </w:tcBorders>
            <w:shd w:val="clear" w:color="000000" w:fill="FFFF99"/>
            <w:noWrap/>
            <w:vAlign w:val="center"/>
            <w:hideMark/>
          </w:tcPr>
          <w:p w14:paraId="780DF46C" w14:textId="41BC8575" w:rsidR="00D37F5C" w:rsidRPr="00A44CAE" w:rsidRDefault="00D37F5C" w:rsidP="00564053">
            <w:pPr>
              <w:pStyle w:val="StandardFettzentriert"/>
            </w:pPr>
            <w:r>
              <w:t>Kugellager </w:t>
            </w:r>
            <w:r w:rsidRPr="00A44CAE">
              <w:t>I</w:t>
            </w:r>
          </w:p>
        </w:tc>
        <w:tc>
          <w:tcPr>
            <w:tcW w:w="2767" w:type="dxa"/>
            <w:tcBorders>
              <w:top w:val="single" w:sz="4" w:space="0" w:color="auto"/>
              <w:left w:val="nil"/>
              <w:bottom w:val="single" w:sz="4" w:space="0" w:color="auto"/>
              <w:right w:val="single" w:sz="4" w:space="0" w:color="auto"/>
            </w:tcBorders>
            <w:shd w:val="clear" w:color="000000" w:fill="FFFF99"/>
            <w:noWrap/>
            <w:vAlign w:val="center"/>
            <w:hideMark/>
          </w:tcPr>
          <w:p w14:paraId="4A66C640" w14:textId="4E321746" w:rsidR="00D37F5C" w:rsidRPr="00A44CAE" w:rsidRDefault="00D37F5C" w:rsidP="00564053">
            <w:pPr>
              <w:pStyle w:val="StandardFettzentriert"/>
            </w:pPr>
            <w:r>
              <w:t>Kugellager </w:t>
            </w:r>
            <w:r w:rsidRPr="00A44CAE">
              <w:t>II</w:t>
            </w:r>
          </w:p>
        </w:tc>
      </w:tr>
      <w:tr w:rsidR="00D37F5C" w:rsidRPr="00A44CAE" w14:paraId="183DEE5F"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4E7E22FE" w14:textId="77777777" w:rsidR="00D37F5C" w:rsidRPr="00A44CAE" w:rsidRDefault="00D37F5C" w:rsidP="00564053">
            <w:pPr>
              <w:pStyle w:val="Standardzentriert"/>
            </w:pPr>
            <w:r w:rsidRPr="00A44CAE">
              <w:t>1</w:t>
            </w:r>
          </w:p>
        </w:tc>
        <w:tc>
          <w:tcPr>
            <w:tcW w:w="1846" w:type="dxa"/>
            <w:tcBorders>
              <w:top w:val="nil"/>
              <w:left w:val="nil"/>
              <w:bottom w:val="single" w:sz="4" w:space="0" w:color="auto"/>
              <w:right w:val="single" w:sz="4" w:space="0" w:color="auto"/>
            </w:tcBorders>
            <w:shd w:val="clear" w:color="auto" w:fill="auto"/>
            <w:vAlign w:val="center"/>
            <w:hideMark/>
          </w:tcPr>
          <w:p w14:paraId="58113C65" w14:textId="77777777" w:rsidR="00D37F5C" w:rsidRPr="00E26166" w:rsidRDefault="00D37F5C" w:rsidP="00564053">
            <w:r w:rsidRPr="00E26166">
              <w:t>FM</w:t>
            </w:r>
          </w:p>
        </w:tc>
        <w:tc>
          <w:tcPr>
            <w:tcW w:w="2767" w:type="dxa"/>
            <w:tcBorders>
              <w:top w:val="nil"/>
              <w:left w:val="nil"/>
              <w:bottom w:val="single" w:sz="4" w:space="0" w:color="auto"/>
              <w:right w:val="single" w:sz="4" w:space="0" w:color="auto"/>
            </w:tcBorders>
            <w:shd w:val="clear" w:color="auto" w:fill="auto"/>
            <w:vAlign w:val="center"/>
          </w:tcPr>
          <w:p w14:paraId="2846CB88" w14:textId="2EF07C7F"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3EFAD5E8" w14:textId="2F71770A" w:rsidR="00D37F5C" w:rsidRPr="00E26166" w:rsidRDefault="00D37F5C" w:rsidP="00564053">
            <w:pPr>
              <w:pStyle w:val="Standardrechts"/>
            </w:pPr>
          </w:p>
        </w:tc>
      </w:tr>
      <w:tr w:rsidR="00D37F5C" w:rsidRPr="00A44CAE" w14:paraId="45EEF219"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1AEE647E" w14:textId="77777777" w:rsidR="00D37F5C" w:rsidRPr="00A44CAE" w:rsidRDefault="00D37F5C" w:rsidP="00564053">
            <w:pPr>
              <w:pStyle w:val="Standardzentriert"/>
            </w:pPr>
            <w:r w:rsidRPr="00A44CAE">
              <w:t>2</w:t>
            </w:r>
          </w:p>
        </w:tc>
        <w:tc>
          <w:tcPr>
            <w:tcW w:w="1846" w:type="dxa"/>
            <w:tcBorders>
              <w:top w:val="nil"/>
              <w:left w:val="nil"/>
              <w:bottom w:val="single" w:sz="4" w:space="0" w:color="auto"/>
              <w:right w:val="single" w:sz="4" w:space="0" w:color="auto"/>
            </w:tcBorders>
            <w:shd w:val="clear" w:color="auto" w:fill="auto"/>
            <w:vAlign w:val="center"/>
            <w:hideMark/>
          </w:tcPr>
          <w:p w14:paraId="4691EF2B" w14:textId="7C652AD8" w:rsidR="00D37F5C" w:rsidRPr="00E26166" w:rsidRDefault="00D37F5C" w:rsidP="00564053">
            <w:r w:rsidRPr="00554FE3">
              <w:t>MGK</w:t>
            </w:r>
            <w:r w:rsidRPr="00E26166">
              <w:t xml:space="preserve"> (</w:t>
            </w:r>
            <w:r w:rsidRPr="00554FE3">
              <w:t>10</w:t>
            </w:r>
            <w:r w:rsidR="00A9637D" w:rsidRPr="00554FE3">
              <w:t xml:space="preserve"> </w:t>
            </w:r>
            <w:r w:rsidRPr="00554FE3">
              <w:t>%</w:t>
            </w:r>
            <w:r w:rsidRPr="00E26166">
              <w:t>)</w:t>
            </w:r>
          </w:p>
        </w:tc>
        <w:tc>
          <w:tcPr>
            <w:tcW w:w="2767" w:type="dxa"/>
            <w:tcBorders>
              <w:top w:val="nil"/>
              <w:left w:val="nil"/>
              <w:bottom w:val="single" w:sz="4" w:space="0" w:color="auto"/>
              <w:right w:val="single" w:sz="4" w:space="0" w:color="auto"/>
            </w:tcBorders>
            <w:shd w:val="clear" w:color="auto" w:fill="auto"/>
            <w:noWrap/>
            <w:vAlign w:val="center"/>
          </w:tcPr>
          <w:p w14:paraId="679123B4" w14:textId="199917DE"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46139D7C" w14:textId="5AE4E103" w:rsidR="00D37F5C" w:rsidRPr="00E26166" w:rsidRDefault="00D37F5C" w:rsidP="00564053">
            <w:pPr>
              <w:pStyle w:val="Standardrechts"/>
            </w:pPr>
          </w:p>
        </w:tc>
      </w:tr>
      <w:tr w:rsidR="00D37F5C" w:rsidRPr="00A44CAE" w14:paraId="3D2153CA"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7ACA8B03" w14:textId="77777777" w:rsidR="00D37F5C" w:rsidRPr="00A44CAE" w:rsidRDefault="00D37F5C" w:rsidP="00564053">
            <w:pPr>
              <w:pStyle w:val="Standardzentriert"/>
            </w:pPr>
            <w:r w:rsidRPr="00A44CAE">
              <w:t>3</w:t>
            </w:r>
          </w:p>
        </w:tc>
        <w:tc>
          <w:tcPr>
            <w:tcW w:w="1846" w:type="dxa"/>
            <w:tcBorders>
              <w:top w:val="nil"/>
              <w:left w:val="nil"/>
              <w:bottom w:val="single" w:sz="4" w:space="0" w:color="auto"/>
              <w:right w:val="single" w:sz="4" w:space="0" w:color="auto"/>
            </w:tcBorders>
            <w:shd w:val="clear" w:color="auto" w:fill="auto"/>
            <w:vAlign w:val="center"/>
            <w:hideMark/>
          </w:tcPr>
          <w:p w14:paraId="4743DB70" w14:textId="77777777" w:rsidR="00D37F5C" w:rsidRPr="00E26166" w:rsidRDefault="00D37F5C" w:rsidP="00564053">
            <w:pPr>
              <w:pStyle w:val="StandardFett"/>
            </w:pPr>
            <w:r w:rsidRPr="00E26166">
              <w:t>MK</w:t>
            </w:r>
          </w:p>
        </w:tc>
        <w:tc>
          <w:tcPr>
            <w:tcW w:w="2767" w:type="dxa"/>
            <w:tcBorders>
              <w:top w:val="nil"/>
              <w:left w:val="nil"/>
              <w:bottom w:val="single" w:sz="4" w:space="0" w:color="auto"/>
              <w:right w:val="single" w:sz="4" w:space="0" w:color="auto"/>
            </w:tcBorders>
            <w:shd w:val="clear" w:color="auto" w:fill="auto"/>
            <w:noWrap/>
            <w:vAlign w:val="center"/>
          </w:tcPr>
          <w:p w14:paraId="11464084" w14:textId="190CFE68" w:rsidR="00D37F5C" w:rsidRPr="00E26166" w:rsidRDefault="00D37F5C" w:rsidP="00564053">
            <w:pPr>
              <w:pStyle w:val="Standardfettrechts"/>
            </w:pPr>
          </w:p>
        </w:tc>
        <w:tc>
          <w:tcPr>
            <w:tcW w:w="2767" w:type="dxa"/>
            <w:tcBorders>
              <w:top w:val="nil"/>
              <w:left w:val="nil"/>
              <w:bottom w:val="single" w:sz="4" w:space="0" w:color="auto"/>
              <w:right w:val="single" w:sz="4" w:space="0" w:color="auto"/>
            </w:tcBorders>
            <w:shd w:val="clear" w:color="auto" w:fill="auto"/>
            <w:noWrap/>
            <w:vAlign w:val="center"/>
          </w:tcPr>
          <w:p w14:paraId="4F25BFD9" w14:textId="21356915" w:rsidR="00D37F5C" w:rsidRPr="00E26166" w:rsidRDefault="00D37F5C" w:rsidP="00564053">
            <w:pPr>
              <w:pStyle w:val="Standardfettrechts"/>
            </w:pPr>
          </w:p>
        </w:tc>
      </w:tr>
      <w:tr w:rsidR="00D37F5C" w:rsidRPr="00A44CAE" w14:paraId="23916AC1"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429850B6" w14:textId="77777777" w:rsidR="00D37F5C" w:rsidRPr="00A44CAE" w:rsidRDefault="00D37F5C" w:rsidP="00564053">
            <w:pPr>
              <w:pStyle w:val="Standardzentriert"/>
            </w:pPr>
            <w:r w:rsidRPr="00A44CAE">
              <w:t>4</w:t>
            </w:r>
          </w:p>
        </w:tc>
        <w:tc>
          <w:tcPr>
            <w:tcW w:w="1846" w:type="dxa"/>
            <w:tcBorders>
              <w:top w:val="nil"/>
              <w:left w:val="nil"/>
              <w:bottom w:val="single" w:sz="4" w:space="0" w:color="auto"/>
              <w:right w:val="single" w:sz="4" w:space="0" w:color="auto"/>
            </w:tcBorders>
            <w:shd w:val="clear" w:color="auto" w:fill="auto"/>
            <w:vAlign w:val="center"/>
            <w:hideMark/>
          </w:tcPr>
          <w:p w14:paraId="685D3845" w14:textId="77777777" w:rsidR="00D37F5C" w:rsidRPr="00E26166" w:rsidRDefault="00D37F5C" w:rsidP="00564053">
            <w:r w:rsidRPr="00E26166">
              <w:t>FL</w:t>
            </w:r>
          </w:p>
        </w:tc>
        <w:tc>
          <w:tcPr>
            <w:tcW w:w="2767" w:type="dxa"/>
            <w:tcBorders>
              <w:top w:val="nil"/>
              <w:left w:val="nil"/>
              <w:bottom w:val="single" w:sz="4" w:space="0" w:color="auto"/>
              <w:right w:val="single" w:sz="4" w:space="0" w:color="auto"/>
            </w:tcBorders>
            <w:shd w:val="clear" w:color="auto" w:fill="auto"/>
            <w:noWrap/>
            <w:vAlign w:val="center"/>
          </w:tcPr>
          <w:p w14:paraId="5B44AD52" w14:textId="6EE0A6A2"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74B9FF19" w14:textId="2288A2F7" w:rsidR="00D37F5C" w:rsidRPr="00E26166" w:rsidRDefault="00D37F5C" w:rsidP="00564053">
            <w:pPr>
              <w:pStyle w:val="Standardrechts"/>
            </w:pPr>
          </w:p>
        </w:tc>
      </w:tr>
      <w:tr w:rsidR="00D37F5C" w:rsidRPr="00A44CAE" w14:paraId="3634BD08"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1CB9294F" w14:textId="77777777" w:rsidR="00D37F5C" w:rsidRPr="00A44CAE" w:rsidRDefault="00D37F5C" w:rsidP="00564053">
            <w:pPr>
              <w:pStyle w:val="Standardzentriert"/>
            </w:pPr>
            <w:r w:rsidRPr="00A44CAE">
              <w:t>5</w:t>
            </w:r>
          </w:p>
        </w:tc>
        <w:tc>
          <w:tcPr>
            <w:tcW w:w="1846" w:type="dxa"/>
            <w:tcBorders>
              <w:top w:val="nil"/>
              <w:left w:val="nil"/>
              <w:bottom w:val="single" w:sz="4" w:space="0" w:color="auto"/>
              <w:right w:val="single" w:sz="4" w:space="0" w:color="auto"/>
            </w:tcBorders>
            <w:shd w:val="clear" w:color="auto" w:fill="auto"/>
            <w:vAlign w:val="center"/>
            <w:hideMark/>
          </w:tcPr>
          <w:p w14:paraId="06728236" w14:textId="466B10AF" w:rsidR="00D37F5C" w:rsidRPr="00E26166" w:rsidRDefault="00D37F5C" w:rsidP="00564053">
            <w:r w:rsidRPr="00554FE3">
              <w:t>FGK</w:t>
            </w:r>
            <w:r w:rsidRPr="00E26166">
              <w:t xml:space="preserve"> (</w:t>
            </w:r>
            <w:r w:rsidRPr="00554FE3">
              <w:t>100</w:t>
            </w:r>
            <w:r w:rsidR="00A9637D" w:rsidRPr="00554FE3">
              <w:t xml:space="preserve"> </w:t>
            </w:r>
            <w:r w:rsidRPr="00554FE3">
              <w:t>%</w:t>
            </w:r>
            <w:r w:rsidRPr="00E26166">
              <w:t>)</w:t>
            </w:r>
          </w:p>
        </w:tc>
        <w:tc>
          <w:tcPr>
            <w:tcW w:w="2767" w:type="dxa"/>
            <w:tcBorders>
              <w:top w:val="nil"/>
              <w:left w:val="nil"/>
              <w:bottom w:val="single" w:sz="4" w:space="0" w:color="auto"/>
              <w:right w:val="single" w:sz="4" w:space="0" w:color="auto"/>
            </w:tcBorders>
            <w:shd w:val="clear" w:color="auto" w:fill="auto"/>
            <w:noWrap/>
            <w:vAlign w:val="center"/>
          </w:tcPr>
          <w:p w14:paraId="71FA022B" w14:textId="418FFD38"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1F322070" w14:textId="3B658AF0" w:rsidR="00D37F5C" w:rsidRPr="00E26166" w:rsidRDefault="00D37F5C" w:rsidP="00564053">
            <w:pPr>
              <w:pStyle w:val="Standardrechts"/>
            </w:pPr>
          </w:p>
        </w:tc>
      </w:tr>
      <w:tr w:rsidR="00D37F5C" w:rsidRPr="00A44CAE" w14:paraId="7EDA5784"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2044B9CB" w14:textId="77777777" w:rsidR="00D37F5C" w:rsidRPr="00A44CAE" w:rsidRDefault="00D37F5C" w:rsidP="00564053">
            <w:pPr>
              <w:pStyle w:val="Standardzentriert"/>
            </w:pPr>
            <w:r w:rsidRPr="00A44CAE">
              <w:t>6</w:t>
            </w:r>
          </w:p>
        </w:tc>
        <w:tc>
          <w:tcPr>
            <w:tcW w:w="1846" w:type="dxa"/>
            <w:tcBorders>
              <w:top w:val="nil"/>
              <w:left w:val="nil"/>
              <w:bottom w:val="single" w:sz="4" w:space="0" w:color="auto"/>
              <w:right w:val="single" w:sz="4" w:space="0" w:color="auto"/>
            </w:tcBorders>
            <w:shd w:val="clear" w:color="auto" w:fill="auto"/>
            <w:vAlign w:val="center"/>
            <w:hideMark/>
          </w:tcPr>
          <w:p w14:paraId="07986B14" w14:textId="77777777" w:rsidR="00D37F5C" w:rsidRPr="00E26166" w:rsidRDefault="00D37F5C" w:rsidP="00564053">
            <w:pPr>
              <w:pStyle w:val="StandardFett"/>
            </w:pPr>
            <w:r w:rsidRPr="00E26166">
              <w:t>FK</w:t>
            </w:r>
          </w:p>
        </w:tc>
        <w:tc>
          <w:tcPr>
            <w:tcW w:w="2767" w:type="dxa"/>
            <w:tcBorders>
              <w:top w:val="nil"/>
              <w:left w:val="nil"/>
              <w:bottom w:val="single" w:sz="4" w:space="0" w:color="auto"/>
              <w:right w:val="single" w:sz="4" w:space="0" w:color="auto"/>
            </w:tcBorders>
            <w:shd w:val="clear" w:color="auto" w:fill="auto"/>
            <w:noWrap/>
            <w:vAlign w:val="center"/>
          </w:tcPr>
          <w:p w14:paraId="7D5098EE" w14:textId="20E7C981" w:rsidR="00D37F5C" w:rsidRPr="00E26166" w:rsidRDefault="00D37F5C" w:rsidP="00564053">
            <w:pPr>
              <w:pStyle w:val="Standardfettrechts"/>
            </w:pPr>
          </w:p>
        </w:tc>
        <w:tc>
          <w:tcPr>
            <w:tcW w:w="2767" w:type="dxa"/>
            <w:tcBorders>
              <w:top w:val="nil"/>
              <w:left w:val="nil"/>
              <w:bottom w:val="single" w:sz="4" w:space="0" w:color="auto"/>
              <w:right w:val="single" w:sz="4" w:space="0" w:color="auto"/>
            </w:tcBorders>
            <w:shd w:val="clear" w:color="auto" w:fill="auto"/>
            <w:noWrap/>
            <w:vAlign w:val="center"/>
          </w:tcPr>
          <w:p w14:paraId="1807EB48" w14:textId="4BF213A0" w:rsidR="00D37F5C" w:rsidRPr="00E26166" w:rsidRDefault="00D37F5C" w:rsidP="00564053">
            <w:pPr>
              <w:pStyle w:val="Standardfettrechts"/>
            </w:pPr>
          </w:p>
        </w:tc>
      </w:tr>
      <w:tr w:rsidR="00D37F5C" w:rsidRPr="00A44CAE" w14:paraId="10169C38"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195C5406" w14:textId="77777777" w:rsidR="00D37F5C" w:rsidRPr="00A44CAE" w:rsidRDefault="00D37F5C" w:rsidP="00564053">
            <w:pPr>
              <w:pStyle w:val="Standardzentriert"/>
            </w:pPr>
            <w:r w:rsidRPr="00A44CAE">
              <w:t>7</w:t>
            </w:r>
          </w:p>
        </w:tc>
        <w:tc>
          <w:tcPr>
            <w:tcW w:w="1846" w:type="dxa"/>
            <w:tcBorders>
              <w:top w:val="nil"/>
              <w:left w:val="nil"/>
              <w:bottom w:val="single" w:sz="4" w:space="0" w:color="auto"/>
              <w:right w:val="single" w:sz="4" w:space="0" w:color="auto"/>
            </w:tcBorders>
            <w:shd w:val="clear" w:color="auto" w:fill="auto"/>
            <w:vAlign w:val="center"/>
            <w:hideMark/>
          </w:tcPr>
          <w:p w14:paraId="06103855" w14:textId="77777777" w:rsidR="00D37F5C" w:rsidRPr="00E26166" w:rsidRDefault="00D37F5C" w:rsidP="00564053">
            <w:pPr>
              <w:pStyle w:val="StandardFett"/>
            </w:pPr>
            <w:r w:rsidRPr="00554FE3">
              <w:t>HK</w:t>
            </w:r>
          </w:p>
        </w:tc>
        <w:tc>
          <w:tcPr>
            <w:tcW w:w="2767" w:type="dxa"/>
            <w:tcBorders>
              <w:top w:val="nil"/>
              <w:left w:val="nil"/>
              <w:bottom w:val="single" w:sz="4" w:space="0" w:color="auto"/>
              <w:right w:val="single" w:sz="4" w:space="0" w:color="auto"/>
            </w:tcBorders>
            <w:shd w:val="clear" w:color="auto" w:fill="auto"/>
            <w:noWrap/>
            <w:vAlign w:val="center"/>
          </w:tcPr>
          <w:p w14:paraId="374DD9AA" w14:textId="2373F299" w:rsidR="00D37F5C" w:rsidRPr="00E26166" w:rsidRDefault="00D37F5C" w:rsidP="00564053">
            <w:pPr>
              <w:pStyle w:val="Standardfettrechts"/>
            </w:pPr>
          </w:p>
        </w:tc>
        <w:tc>
          <w:tcPr>
            <w:tcW w:w="2767" w:type="dxa"/>
            <w:tcBorders>
              <w:top w:val="nil"/>
              <w:left w:val="nil"/>
              <w:bottom w:val="single" w:sz="4" w:space="0" w:color="auto"/>
              <w:right w:val="single" w:sz="4" w:space="0" w:color="auto"/>
            </w:tcBorders>
            <w:shd w:val="clear" w:color="auto" w:fill="auto"/>
            <w:noWrap/>
            <w:vAlign w:val="center"/>
          </w:tcPr>
          <w:p w14:paraId="40A41EDB" w14:textId="772A0E4F" w:rsidR="00D37F5C" w:rsidRPr="00E26166" w:rsidRDefault="00D37F5C" w:rsidP="00564053">
            <w:pPr>
              <w:pStyle w:val="Standardfettrechts"/>
            </w:pPr>
          </w:p>
        </w:tc>
      </w:tr>
      <w:tr w:rsidR="00D37F5C" w:rsidRPr="00A44CAE" w14:paraId="24F3F5D6"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4E73D44E" w14:textId="77777777" w:rsidR="00D37F5C" w:rsidRPr="00A44CAE" w:rsidRDefault="00D37F5C" w:rsidP="00564053">
            <w:pPr>
              <w:pStyle w:val="Standardzentriert"/>
            </w:pPr>
            <w:r w:rsidRPr="00A44CAE">
              <w:t>8</w:t>
            </w:r>
          </w:p>
        </w:tc>
        <w:tc>
          <w:tcPr>
            <w:tcW w:w="1846" w:type="dxa"/>
            <w:tcBorders>
              <w:top w:val="nil"/>
              <w:left w:val="nil"/>
              <w:bottom w:val="single" w:sz="4" w:space="0" w:color="auto"/>
              <w:right w:val="single" w:sz="4" w:space="0" w:color="auto"/>
            </w:tcBorders>
            <w:shd w:val="clear" w:color="auto" w:fill="auto"/>
            <w:vAlign w:val="center"/>
            <w:hideMark/>
          </w:tcPr>
          <w:p w14:paraId="4CA48482" w14:textId="535015A2" w:rsidR="00D37F5C" w:rsidRPr="00E26166" w:rsidRDefault="00D37F5C" w:rsidP="00564053">
            <w:r w:rsidRPr="00554FE3">
              <w:t>VwGK</w:t>
            </w:r>
            <w:r w:rsidRPr="00E26166">
              <w:t xml:space="preserve"> (</w:t>
            </w:r>
            <w:r w:rsidRPr="00554FE3">
              <w:t>50</w:t>
            </w:r>
            <w:r w:rsidR="00A9637D" w:rsidRPr="00554FE3">
              <w:t xml:space="preserve"> </w:t>
            </w:r>
            <w:r w:rsidRPr="00554FE3">
              <w:t>%</w:t>
            </w:r>
            <w:r w:rsidRPr="00E26166">
              <w:t>)</w:t>
            </w:r>
          </w:p>
        </w:tc>
        <w:tc>
          <w:tcPr>
            <w:tcW w:w="2767" w:type="dxa"/>
            <w:tcBorders>
              <w:top w:val="nil"/>
              <w:left w:val="nil"/>
              <w:bottom w:val="nil"/>
              <w:right w:val="nil"/>
            </w:tcBorders>
            <w:shd w:val="clear" w:color="auto" w:fill="auto"/>
            <w:noWrap/>
            <w:vAlign w:val="center"/>
          </w:tcPr>
          <w:p w14:paraId="5E7C56B3" w14:textId="420368CE" w:rsidR="00D37F5C" w:rsidRPr="00E26166" w:rsidRDefault="00D37F5C" w:rsidP="00564053">
            <w:pPr>
              <w:pStyle w:val="Standardrechts"/>
            </w:pPr>
          </w:p>
        </w:tc>
        <w:tc>
          <w:tcPr>
            <w:tcW w:w="2767" w:type="dxa"/>
            <w:tcBorders>
              <w:top w:val="nil"/>
              <w:left w:val="single" w:sz="4" w:space="0" w:color="auto"/>
              <w:bottom w:val="single" w:sz="4" w:space="0" w:color="auto"/>
              <w:right w:val="single" w:sz="4" w:space="0" w:color="auto"/>
            </w:tcBorders>
            <w:shd w:val="clear" w:color="auto" w:fill="auto"/>
            <w:noWrap/>
            <w:vAlign w:val="center"/>
          </w:tcPr>
          <w:p w14:paraId="63170B4F" w14:textId="322EA1D6" w:rsidR="00D37F5C" w:rsidRPr="00E26166" w:rsidRDefault="00D37F5C" w:rsidP="00564053">
            <w:pPr>
              <w:pStyle w:val="Standardrechts"/>
            </w:pPr>
          </w:p>
        </w:tc>
      </w:tr>
      <w:tr w:rsidR="00D37F5C" w:rsidRPr="00A44CAE" w14:paraId="53EE7880"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3E2AE9BC" w14:textId="77777777" w:rsidR="00D37F5C" w:rsidRPr="00A44CAE" w:rsidRDefault="00D37F5C" w:rsidP="00564053">
            <w:pPr>
              <w:pStyle w:val="Standardzentriert"/>
            </w:pPr>
            <w:r w:rsidRPr="00A44CAE">
              <w:t>9</w:t>
            </w:r>
          </w:p>
        </w:tc>
        <w:tc>
          <w:tcPr>
            <w:tcW w:w="1846" w:type="dxa"/>
            <w:tcBorders>
              <w:top w:val="nil"/>
              <w:left w:val="nil"/>
              <w:bottom w:val="single" w:sz="4" w:space="0" w:color="auto"/>
              <w:right w:val="single" w:sz="4" w:space="0" w:color="auto"/>
            </w:tcBorders>
            <w:shd w:val="clear" w:color="auto" w:fill="auto"/>
            <w:vAlign w:val="center"/>
            <w:hideMark/>
          </w:tcPr>
          <w:p w14:paraId="0F55A6B8" w14:textId="11FB6A0F" w:rsidR="00D37F5C" w:rsidRPr="00E26166" w:rsidRDefault="00D37F5C" w:rsidP="00564053">
            <w:r w:rsidRPr="00554FE3">
              <w:t>VtGK</w:t>
            </w:r>
            <w:r w:rsidRPr="00E26166">
              <w:t xml:space="preserve"> (</w:t>
            </w:r>
            <w:r w:rsidRPr="00554FE3">
              <w:t>20</w:t>
            </w:r>
            <w:r w:rsidR="00A9637D" w:rsidRPr="00554FE3">
              <w:t xml:space="preserve"> </w:t>
            </w:r>
            <w:r w:rsidRPr="00554FE3">
              <w:t>%</w:t>
            </w:r>
            <w:r w:rsidRPr="00E26166">
              <w:t>)</w:t>
            </w:r>
          </w:p>
        </w:tc>
        <w:tc>
          <w:tcPr>
            <w:tcW w:w="2767" w:type="dxa"/>
            <w:tcBorders>
              <w:top w:val="single" w:sz="4" w:space="0" w:color="auto"/>
              <w:left w:val="nil"/>
              <w:bottom w:val="single" w:sz="4" w:space="0" w:color="auto"/>
              <w:right w:val="single" w:sz="4" w:space="0" w:color="auto"/>
            </w:tcBorders>
            <w:shd w:val="clear" w:color="auto" w:fill="auto"/>
            <w:noWrap/>
            <w:vAlign w:val="center"/>
          </w:tcPr>
          <w:p w14:paraId="63E99704" w14:textId="69B5E888"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13535ACF" w14:textId="17D88D6A" w:rsidR="00D37F5C" w:rsidRPr="00E26166" w:rsidRDefault="00D37F5C" w:rsidP="00564053">
            <w:pPr>
              <w:pStyle w:val="Standardrechts"/>
            </w:pPr>
          </w:p>
        </w:tc>
      </w:tr>
      <w:tr w:rsidR="00D37F5C" w:rsidRPr="00A44CAE" w14:paraId="17C9920E"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7E91ACEC" w14:textId="77777777" w:rsidR="00D37F5C" w:rsidRPr="00A44CAE" w:rsidRDefault="00D37F5C" w:rsidP="00564053">
            <w:pPr>
              <w:pStyle w:val="Standardzentriert"/>
            </w:pPr>
            <w:r w:rsidRPr="00A44CAE">
              <w:t>12</w:t>
            </w:r>
          </w:p>
        </w:tc>
        <w:tc>
          <w:tcPr>
            <w:tcW w:w="1846" w:type="dxa"/>
            <w:tcBorders>
              <w:top w:val="nil"/>
              <w:left w:val="nil"/>
              <w:bottom w:val="single" w:sz="4" w:space="0" w:color="auto"/>
              <w:right w:val="single" w:sz="4" w:space="0" w:color="auto"/>
            </w:tcBorders>
            <w:shd w:val="clear" w:color="auto" w:fill="auto"/>
            <w:vAlign w:val="center"/>
            <w:hideMark/>
          </w:tcPr>
          <w:p w14:paraId="35A3E58D" w14:textId="77777777" w:rsidR="00D37F5C" w:rsidRPr="00E26166" w:rsidRDefault="00D37F5C" w:rsidP="00564053">
            <w:pPr>
              <w:pStyle w:val="StandardFett"/>
            </w:pPr>
            <w:r w:rsidRPr="00554FE3">
              <w:t>SK</w:t>
            </w:r>
          </w:p>
        </w:tc>
        <w:tc>
          <w:tcPr>
            <w:tcW w:w="2767" w:type="dxa"/>
            <w:tcBorders>
              <w:top w:val="nil"/>
              <w:left w:val="nil"/>
              <w:bottom w:val="single" w:sz="4" w:space="0" w:color="auto"/>
              <w:right w:val="single" w:sz="4" w:space="0" w:color="auto"/>
            </w:tcBorders>
            <w:shd w:val="clear" w:color="auto" w:fill="auto"/>
            <w:noWrap/>
            <w:vAlign w:val="center"/>
          </w:tcPr>
          <w:p w14:paraId="6BAA29F6" w14:textId="4D332973" w:rsidR="00D37F5C" w:rsidRPr="00E26166" w:rsidRDefault="00D37F5C" w:rsidP="00564053">
            <w:pPr>
              <w:pStyle w:val="Standardfettrechts"/>
            </w:pPr>
          </w:p>
        </w:tc>
        <w:tc>
          <w:tcPr>
            <w:tcW w:w="2767" w:type="dxa"/>
            <w:tcBorders>
              <w:top w:val="nil"/>
              <w:left w:val="nil"/>
              <w:bottom w:val="single" w:sz="4" w:space="0" w:color="auto"/>
              <w:right w:val="single" w:sz="4" w:space="0" w:color="auto"/>
            </w:tcBorders>
            <w:shd w:val="clear" w:color="auto" w:fill="auto"/>
            <w:noWrap/>
            <w:vAlign w:val="center"/>
          </w:tcPr>
          <w:p w14:paraId="7A18B71A" w14:textId="02A69F1F" w:rsidR="00D37F5C" w:rsidRPr="00E26166" w:rsidRDefault="00D37F5C" w:rsidP="00564053">
            <w:pPr>
              <w:pStyle w:val="Standardfettrechts"/>
            </w:pPr>
          </w:p>
        </w:tc>
      </w:tr>
      <w:tr w:rsidR="00D37F5C" w:rsidRPr="00A44CAE" w14:paraId="7039152D"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2AF4DD15" w14:textId="77777777" w:rsidR="00D37F5C" w:rsidRPr="00A44CAE" w:rsidRDefault="00D37F5C" w:rsidP="00564053">
            <w:pPr>
              <w:pStyle w:val="Standardzentriert"/>
            </w:pPr>
            <w:r w:rsidRPr="00A44CAE">
              <w:t>13</w:t>
            </w:r>
          </w:p>
        </w:tc>
        <w:tc>
          <w:tcPr>
            <w:tcW w:w="1846" w:type="dxa"/>
            <w:tcBorders>
              <w:top w:val="nil"/>
              <w:left w:val="nil"/>
              <w:bottom w:val="single" w:sz="4" w:space="0" w:color="auto"/>
              <w:right w:val="single" w:sz="4" w:space="0" w:color="auto"/>
            </w:tcBorders>
            <w:shd w:val="clear" w:color="auto" w:fill="auto"/>
            <w:vAlign w:val="center"/>
            <w:hideMark/>
          </w:tcPr>
          <w:p w14:paraId="0ED238BC" w14:textId="77777777" w:rsidR="00D37F5C" w:rsidRPr="001D6427" w:rsidRDefault="00D37F5C" w:rsidP="00564053">
            <w:r w:rsidRPr="001D6427">
              <w:t>Umsatzerlöse</w:t>
            </w:r>
          </w:p>
        </w:tc>
        <w:tc>
          <w:tcPr>
            <w:tcW w:w="2767" w:type="dxa"/>
            <w:tcBorders>
              <w:top w:val="nil"/>
              <w:left w:val="nil"/>
              <w:bottom w:val="single" w:sz="4" w:space="0" w:color="auto"/>
              <w:right w:val="single" w:sz="4" w:space="0" w:color="auto"/>
            </w:tcBorders>
            <w:shd w:val="clear" w:color="auto" w:fill="auto"/>
            <w:noWrap/>
            <w:vAlign w:val="center"/>
          </w:tcPr>
          <w:p w14:paraId="31D7506D" w14:textId="77777777"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2C352E0E" w14:textId="77777777" w:rsidR="00D37F5C" w:rsidRPr="00E26166" w:rsidRDefault="00D37F5C" w:rsidP="00564053">
            <w:pPr>
              <w:pStyle w:val="Standardrechts"/>
            </w:pPr>
          </w:p>
        </w:tc>
      </w:tr>
      <w:tr w:rsidR="00D37F5C" w:rsidRPr="00A44CAE" w14:paraId="32CDE8C4"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58EE49BF" w14:textId="77777777" w:rsidR="00D37F5C" w:rsidRPr="00A44CAE" w:rsidRDefault="00D37F5C" w:rsidP="00564053">
            <w:pPr>
              <w:pStyle w:val="Standardzentriert"/>
            </w:pPr>
            <w:r w:rsidRPr="00A44CAE">
              <w:t>14</w:t>
            </w:r>
          </w:p>
        </w:tc>
        <w:tc>
          <w:tcPr>
            <w:tcW w:w="1846" w:type="dxa"/>
            <w:tcBorders>
              <w:top w:val="nil"/>
              <w:left w:val="nil"/>
              <w:bottom w:val="single" w:sz="4" w:space="0" w:color="auto"/>
              <w:right w:val="single" w:sz="4" w:space="0" w:color="auto"/>
            </w:tcBorders>
            <w:shd w:val="clear" w:color="auto" w:fill="auto"/>
            <w:vAlign w:val="center"/>
            <w:hideMark/>
          </w:tcPr>
          <w:p w14:paraId="488FFB87" w14:textId="77777777" w:rsidR="00D37F5C" w:rsidRPr="001D6427" w:rsidRDefault="00D37F5C" w:rsidP="00564053">
            <w:pPr>
              <w:pStyle w:val="StandardFett"/>
            </w:pPr>
            <w:r w:rsidRPr="001D6427">
              <w:t>Betriebsergebnis</w:t>
            </w:r>
          </w:p>
        </w:tc>
        <w:tc>
          <w:tcPr>
            <w:tcW w:w="2767" w:type="dxa"/>
            <w:tcBorders>
              <w:top w:val="nil"/>
              <w:left w:val="nil"/>
              <w:bottom w:val="single" w:sz="4" w:space="0" w:color="auto"/>
              <w:right w:val="single" w:sz="4" w:space="0" w:color="auto"/>
            </w:tcBorders>
            <w:shd w:val="clear" w:color="auto" w:fill="auto"/>
            <w:noWrap/>
            <w:vAlign w:val="center"/>
          </w:tcPr>
          <w:p w14:paraId="56B14D66" w14:textId="77777777" w:rsidR="00D37F5C" w:rsidRPr="00E26166" w:rsidRDefault="00D37F5C" w:rsidP="00564053">
            <w:pPr>
              <w:pStyle w:val="Standardrechts"/>
            </w:pPr>
          </w:p>
        </w:tc>
        <w:tc>
          <w:tcPr>
            <w:tcW w:w="2767" w:type="dxa"/>
            <w:tcBorders>
              <w:top w:val="nil"/>
              <w:left w:val="nil"/>
              <w:bottom w:val="single" w:sz="4" w:space="0" w:color="auto"/>
              <w:right w:val="single" w:sz="4" w:space="0" w:color="auto"/>
            </w:tcBorders>
            <w:shd w:val="clear" w:color="auto" w:fill="auto"/>
            <w:noWrap/>
            <w:vAlign w:val="center"/>
          </w:tcPr>
          <w:p w14:paraId="6AF31659" w14:textId="77777777" w:rsidR="00D37F5C" w:rsidRPr="00E26166" w:rsidRDefault="00D37F5C" w:rsidP="00564053">
            <w:pPr>
              <w:pStyle w:val="Standardrechts"/>
            </w:pPr>
          </w:p>
        </w:tc>
      </w:tr>
      <w:tr w:rsidR="00D37F5C" w:rsidRPr="00A44CAE" w14:paraId="333B1A68" w14:textId="77777777" w:rsidTr="00D37F5C">
        <w:trPr>
          <w:trHeight w:val="300"/>
        </w:trPr>
        <w:tc>
          <w:tcPr>
            <w:tcW w:w="847" w:type="dxa"/>
            <w:tcBorders>
              <w:top w:val="nil"/>
              <w:left w:val="single" w:sz="4" w:space="0" w:color="auto"/>
              <w:bottom w:val="single" w:sz="4" w:space="0" w:color="auto"/>
              <w:right w:val="single" w:sz="4" w:space="0" w:color="auto"/>
            </w:tcBorders>
            <w:shd w:val="clear" w:color="000000" w:fill="FFFF99"/>
            <w:noWrap/>
            <w:vAlign w:val="center"/>
            <w:hideMark/>
          </w:tcPr>
          <w:p w14:paraId="20678012" w14:textId="77777777" w:rsidR="00D37F5C" w:rsidRPr="00A44CAE" w:rsidRDefault="00D37F5C" w:rsidP="00564053">
            <w:pPr>
              <w:pStyle w:val="Standardzentriert"/>
            </w:pPr>
            <w:r w:rsidRPr="00A44CAE">
              <w:t>15</w:t>
            </w:r>
          </w:p>
        </w:tc>
        <w:tc>
          <w:tcPr>
            <w:tcW w:w="1846" w:type="dxa"/>
            <w:tcBorders>
              <w:top w:val="nil"/>
              <w:left w:val="nil"/>
              <w:bottom w:val="single" w:sz="4" w:space="0" w:color="auto"/>
              <w:right w:val="single" w:sz="4" w:space="0" w:color="auto"/>
            </w:tcBorders>
            <w:shd w:val="clear" w:color="auto" w:fill="auto"/>
            <w:vAlign w:val="center"/>
            <w:hideMark/>
          </w:tcPr>
          <w:p w14:paraId="3DA8F65A" w14:textId="77777777" w:rsidR="00D37F5C" w:rsidRPr="001D6427" w:rsidRDefault="00D37F5C" w:rsidP="00564053">
            <w:pPr>
              <w:pStyle w:val="StandardFett"/>
            </w:pPr>
            <w:r w:rsidRPr="001D6427">
              <w:t>Gesamtergebnis</w:t>
            </w:r>
          </w:p>
        </w:tc>
        <w:tc>
          <w:tcPr>
            <w:tcW w:w="2767" w:type="dxa"/>
            <w:tcBorders>
              <w:top w:val="single" w:sz="4" w:space="0" w:color="auto"/>
              <w:left w:val="nil"/>
              <w:bottom w:val="single" w:sz="4" w:space="0" w:color="auto"/>
              <w:right w:val="nil"/>
            </w:tcBorders>
            <w:shd w:val="clear" w:color="auto" w:fill="auto"/>
            <w:noWrap/>
            <w:vAlign w:val="center"/>
          </w:tcPr>
          <w:p w14:paraId="15FF9CEF" w14:textId="77777777" w:rsidR="00D37F5C" w:rsidRPr="00E26166" w:rsidRDefault="00D37F5C" w:rsidP="00564053">
            <w:pPr>
              <w:pStyle w:val="Standardrechts"/>
            </w:pPr>
          </w:p>
        </w:tc>
        <w:tc>
          <w:tcPr>
            <w:tcW w:w="2767" w:type="dxa"/>
            <w:tcBorders>
              <w:top w:val="single" w:sz="4" w:space="0" w:color="auto"/>
              <w:left w:val="nil"/>
              <w:bottom w:val="single" w:sz="4" w:space="0" w:color="auto"/>
              <w:right w:val="single" w:sz="4" w:space="0" w:color="auto"/>
            </w:tcBorders>
            <w:shd w:val="clear" w:color="auto" w:fill="auto"/>
            <w:noWrap/>
            <w:vAlign w:val="center"/>
          </w:tcPr>
          <w:p w14:paraId="0A34462F" w14:textId="77777777" w:rsidR="00D37F5C" w:rsidRPr="00E26166" w:rsidRDefault="00D37F5C" w:rsidP="00564053">
            <w:pPr>
              <w:pStyle w:val="Standardrechts"/>
            </w:pPr>
          </w:p>
        </w:tc>
      </w:tr>
    </w:tbl>
    <w:p w14:paraId="70E24A27" w14:textId="77777777" w:rsidR="00D2295B" w:rsidRDefault="00D2295B" w:rsidP="00D37F5C">
      <w:pPr>
        <w:pStyle w:val="StandardFett"/>
      </w:pPr>
    </w:p>
    <w:p w14:paraId="03AB2188" w14:textId="42C73FAB" w:rsidR="00D37F5C" w:rsidRDefault="00D37F5C" w:rsidP="00D37F5C">
      <w:pPr>
        <w:pStyle w:val="StandardFett"/>
      </w:pPr>
      <w:r w:rsidRPr="00554FE3">
        <w:t>TKR</w:t>
      </w:r>
      <w:r w:rsidRPr="00D37F5C">
        <w:t xml:space="preserve"> bei 10.000 Stück:</w:t>
      </w:r>
    </w:p>
    <w:tbl>
      <w:tblPr>
        <w:tblW w:w="8901" w:type="dxa"/>
        <w:tblInd w:w="510" w:type="dxa"/>
        <w:tblCellMar>
          <w:left w:w="70" w:type="dxa"/>
          <w:right w:w="70" w:type="dxa"/>
        </w:tblCellMar>
        <w:tblLook w:val="04A0" w:firstRow="1" w:lastRow="0" w:firstColumn="1" w:lastColumn="0" w:noHBand="0" w:noVBand="1"/>
      </w:tblPr>
      <w:tblGrid>
        <w:gridCol w:w="567"/>
        <w:gridCol w:w="2721"/>
        <w:gridCol w:w="1871"/>
        <w:gridCol w:w="1871"/>
        <w:gridCol w:w="1871"/>
      </w:tblGrid>
      <w:tr w:rsidR="00D37F5C" w:rsidRPr="00A44CAE" w14:paraId="72890DC9" w14:textId="77777777" w:rsidTr="00D37F5C">
        <w:trPr>
          <w:trHeight w:val="600"/>
        </w:trPr>
        <w:tc>
          <w:tcPr>
            <w:tcW w:w="567"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21644CF" w14:textId="77777777" w:rsidR="00D37F5C" w:rsidRPr="00A44CAE" w:rsidRDefault="00D37F5C" w:rsidP="00564053">
            <w:pPr>
              <w:pStyle w:val="StandardFettzentriert"/>
            </w:pPr>
            <w:r w:rsidRPr="00A44CAE">
              <w:t>Pos.</w:t>
            </w:r>
          </w:p>
        </w:tc>
        <w:tc>
          <w:tcPr>
            <w:tcW w:w="2721" w:type="dxa"/>
            <w:tcBorders>
              <w:top w:val="single" w:sz="4" w:space="0" w:color="auto"/>
              <w:left w:val="nil"/>
              <w:bottom w:val="single" w:sz="4" w:space="0" w:color="auto"/>
              <w:right w:val="single" w:sz="4" w:space="0" w:color="auto"/>
            </w:tcBorders>
            <w:shd w:val="clear" w:color="000000" w:fill="FFFF99"/>
            <w:vAlign w:val="center"/>
            <w:hideMark/>
          </w:tcPr>
          <w:p w14:paraId="2B5A7A2A" w14:textId="6B10B083" w:rsidR="00D37F5C" w:rsidRPr="00A44CAE" w:rsidRDefault="00D37F5C" w:rsidP="00564053">
            <w:pPr>
              <w:pStyle w:val="StandardFettzentriert"/>
            </w:pPr>
            <w:r w:rsidRPr="00A44CAE">
              <w:t>Kalkulationsschema</w:t>
            </w:r>
          </w:p>
        </w:tc>
        <w:tc>
          <w:tcPr>
            <w:tcW w:w="1871" w:type="dxa"/>
            <w:tcBorders>
              <w:top w:val="single" w:sz="4" w:space="0" w:color="auto"/>
              <w:left w:val="nil"/>
              <w:bottom w:val="single" w:sz="4" w:space="0" w:color="auto"/>
              <w:right w:val="single" w:sz="4" w:space="0" w:color="auto"/>
            </w:tcBorders>
            <w:shd w:val="clear" w:color="000000" w:fill="FFFF99"/>
            <w:noWrap/>
            <w:vAlign w:val="center"/>
            <w:hideMark/>
          </w:tcPr>
          <w:p w14:paraId="490D633E" w14:textId="77777777" w:rsidR="00D37F5C" w:rsidRPr="00A44CAE" w:rsidRDefault="00D37F5C" w:rsidP="00564053">
            <w:pPr>
              <w:pStyle w:val="StandardFettzentriert"/>
            </w:pPr>
            <w:r>
              <w:t>Kugellager </w:t>
            </w:r>
            <w:r w:rsidRPr="00A44CAE">
              <w:t>I</w:t>
            </w:r>
          </w:p>
        </w:tc>
        <w:tc>
          <w:tcPr>
            <w:tcW w:w="1871" w:type="dxa"/>
            <w:tcBorders>
              <w:top w:val="single" w:sz="4" w:space="0" w:color="auto"/>
              <w:left w:val="nil"/>
              <w:bottom w:val="single" w:sz="4" w:space="0" w:color="auto"/>
              <w:right w:val="single" w:sz="4" w:space="0" w:color="auto"/>
            </w:tcBorders>
            <w:shd w:val="clear" w:color="000000" w:fill="FFFF99"/>
            <w:noWrap/>
            <w:vAlign w:val="center"/>
            <w:hideMark/>
          </w:tcPr>
          <w:p w14:paraId="21A52508" w14:textId="77777777" w:rsidR="00D37F5C" w:rsidRPr="00A44CAE" w:rsidRDefault="00D37F5C" w:rsidP="00564053">
            <w:pPr>
              <w:pStyle w:val="StandardFettzentriert"/>
            </w:pPr>
            <w:r>
              <w:t>Kugellager </w:t>
            </w:r>
            <w:r w:rsidRPr="00A44CAE">
              <w:t>II</w:t>
            </w:r>
          </w:p>
        </w:tc>
        <w:tc>
          <w:tcPr>
            <w:tcW w:w="1871" w:type="dxa"/>
            <w:tcBorders>
              <w:top w:val="single" w:sz="4" w:space="0" w:color="auto"/>
              <w:left w:val="nil"/>
              <w:bottom w:val="single" w:sz="4" w:space="0" w:color="auto"/>
              <w:right w:val="single" w:sz="4" w:space="0" w:color="auto"/>
            </w:tcBorders>
            <w:shd w:val="clear" w:color="000000" w:fill="FFFF99"/>
            <w:noWrap/>
            <w:vAlign w:val="center"/>
            <w:hideMark/>
          </w:tcPr>
          <w:p w14:paraId="578A5FC6" w14:textId="4A74F23A" w:rsidR="00D37F5C" w:rsidRPr="00A44CAE" w:rsidRDefault="00D37F5C" w:rsidP="00564053">
            <w:pPr>
              <w:pStyle w:val="StandardFettzentriert"/>
            </w:pPr>
            <w:r>
              <w:t>Gesamt</w:t>
            </w:r>
          </w:p>
        </w:tc>
      </w:tr>
      <w:tr w:rsidR="00D37F5C" w:rsidRPr="00E26166" w14:paraId="79BFF512" w14:textId="77777777" w:rsidTr="00D37F5C">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0EE2D694" w14:textId="77777777" w:rsidR="00D37F5C" w:rsidRPr="00A44CAE" w:rsidRDefault="00D37F5C" w:rsidP="00564053">
            <w:pPr>
              <w:pStyle w:val="Standardzentriert"/>
            </w:pPr>
            <w:r w:rsidRPr="00A44CAE">
              <w:t>1</w:t>
            </w:r>
          </w:p>
        </w:tc>
        <w:tc>
          <w:tcPr>
            <w:tcW w:w="2721" w:type="dxa"/>
            <w:tcBorders>
              <w:top w:val="nil"/>
              <w:left w:val="nil"/>
              <w:bottom w:val="single" w:sz="4" w:space="0" w:color="auto"/>
              <w:right w:val="single" w:sz="4" w:space="0" w:color="auto"/>
            </w:tcBorders>
            <w:shd w:val="clear" w:color="auto" w:fill="auto"/>
            <w:vAlign w:val="center"/>
            <w:hideMark/>
          </w:tcPr>
          <w:p w14:paraId="2F4E974D" w14:textId="0C40A47A" w:rsidR="00D37F5C" w:rsidRPr="00E26166" w:rsidRDefault="00D37F5C" w:rsidP="00D37F5C">
            <w:pPr>
              <w:tabs>
                <w:tab w:val="right" w:pos="2700"/>
              </w:tabs>
              <w:jc w:val="left"/>
            </w:pPr>
            <w:r>
              <w:rPr>
                <w:rFonts w:cs="Calibri"/>
                <w:color w:val="000000"/>
                <w:szCs w:val="22"/>
              </w:rPr>
              <w:tab/>
              <w:t>Umsatzerlöse </w:t>
            </w:r>
            <w:r w:rsidRPr="00554FE3">
              <w:rPr>
                <w:rFonts w:cs="Calibri"/>
                <w:color w:val="000000"/>
                <w:szCs w:val="22"/>
              </w:rPr>
              <w:t>UE</w:t>
            </w:r>
          </w:p>
        </w:tc>
        <w:tc>
          <w:tcPr>
            <w:tcW w:w="1871" w:type="dxa"/>
            <w:tcBorders>
              <w:top w:val="nil"/>
              <w:left w:val="nil"/>
              <w:bottom w:val="single" w:sz="4" w:space="0" w:color="auto"/>
              <w:right w:val="single" w:sz="4" w:space="0" w:color="auto"/>
            </w:tcBorders>
            <w:shd w:val="clear" w:color="auto" w:fill="auto"/>
            <w:vAlign w:val="center"/>
          </w:tcPr>
          <w:p w14:paraId="750F2CE7" w14:textId="347CE871"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623A8224" w14:textId="7F6DDB24"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799F9264" w14:textId="037D77E9" w:rsidR="00D37F5C" w:rsidRPr="00E26166" w:rsidRDefault="00D37F5C" w:rsidP="00564053">
            <w:pPr>
              <w:pStyle w:val="Standardrechts"/>
            </w:pPr>
          </w:p>
        </w:tc>
      </w:tr>
      <w:tr w:rsidR="00D37F5C" w:rsidRPr="00E26166" w14:paraId="6B14A4B8" w14:textId="77777777" w:rsidTr="00D37F5C">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54299F5C" w14:textId="77777777" w:rsidR="00D37F5C" w:rsidRPr="00A44CAE" w:rsidRDefault="00D37F5C" w:rsidP="00564053">
            <w:pPr>
              <w:pStyle w:val="Standardzentriert"/>
            </w:pPr>
            <w:r w:rsidRPr="00A44CAE">
              <w:t>2</w:t>
            </w:r>
          </w:p>
        </w:tc>
        <w:tc>
          <w:tcPr>
            <w:tcW w:w="2721" w:type="dxa"/>
            <w:tcBorders>
              <w:top w:val="nil"/>
              <w:left w:val="nil"/>
              <w:bottom w:val="single" w:sz="4" w:space="0" w:color="auto"/>
              <w:right w:val="single" w:sz="4" w:space="0" w:color="auto"/>
            </w:tcBorders>
            <w:shd w:val="clear" w:color="auto" w:fill="auto"/>
            <w:vAlign w:val="center"/>
            <w:hideMark/>
          </w:tcPr>
          <w:p w14:paraId="5BD374F2" w14:textId="37902D22" w:rsidR="00D37F5C" w:rsidRPr="00E26166" w:rsidRDefault="00D37F5C" w:rsidP="00D37F5C">
            <w:pPr>
              <w:tabs>
                <w:tab w:val="right" w:pos="2700"/>
              </w:tabs>
              <w:jc w:val="left"/>
            </w:pPr>
            <m:oMath>
              <m:r>
                <w:rPr>
                  <w:rFonts w:ascii="Cambria Math" w:hAnsi="Cambria Math" w:cs="Calibri"/>
                  <w:color w:val="000000"/>
                  <w:szCs w:val="22"/>
                </w:rPr>
                <m:t>-</m:t>
              </m:r>
            </m:oMath>
            <w:r>
              <w:rPr>
                <w:rFonts w:cs="Calibri"/>
                <w:color w:val="000000"/>
                <w:szCs w:val="22"/>
              </w:rPr>
              <w:tab/>
            </w:r>
            <w:r w:rsidR="00A9637D" w:rsidRPr="00554FE3">
              <w:rPr>
                <w:rFonts w:cs="Calibri"/>
                <w:color w:val="000000"/>
                <w:szCs w:val="22"/>
              </w:rPr>
              <w:t>v</w:t>
            </w:r>
            <w:r w:rsidRPr="00554FE3">
              <w:rPr>
                <w:rFonts w:cs="Calibri"/>
                <w:color w:val="000000"/>
                <w:szCs w:val="22"/>
              </w:rPr>
              <w:t>ariable</w:t>
            </w:r>
            <w:r w:rsidRPr="00D37F5C">
              <w:rPr>
                <w:rFonts w:cs="Calibri"/>
                <w:color w:val="000000"/>
                <w:szCs w:val="22"/>
              </w:rPr>
              <w:t xml:space="preserve"> Gesamtkosten </w:t>
            </w:r>
            <w:r w:rsidRPr="00554FE3">
              <w:rPr>
                <w:rFonts w:cs="Calibri"/>
                <w:color w:val="000000"/>
                <w:szCs w:val="22"/>
              </w:rPr>
              <w:t>KV</w:t>
            </w:r>
          </w:p>
        </w:tc>
        <w:tc>
          <w:tcPr>
            <w:tcW w:w="1871" w:type="dxa"/>
            <w:tcBorders>
              <w:top w:val="nil"/>
              <w:left w:val="nil"/>
              <w:bottom w:val="single" w:sz="4" w:space="0" w:color="auto"/>
              <w:right w:val="single" w:sz="4" w:space="0" w:color="auto"/>
            </w:tcBorders>
            <w:shd w:val="clear" w:color="auto" w:fill="auto"/>
            <w:noWrap/>
            <w:vAlign w:val="center"/>
          </w:tcPr>
          <w:p w14:paraId="5A3A50AA" w14:textId="17FB2ADD"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0A35610E" w14:textId="668F068D"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3CD8FAA7" w14:textId="36EE1456" w:rsidR="00D37F5C" w:rsidRPr="00E26166" w:rsidRDefault="00D37F5C" w:rsidP="00564053">
            <w:pPr>
              <w:pStyle w:val="Standardrechts"/>
            </w:pPr>
          </w:p>
        </w:tc>
      </w:tr>
      <w:tr w:rsidR="00D37F5C" w:rsidRPr="00E26166" w14:paraId="5DC68921" w14:textId="77777777" w:rsidTr="00D37F5C">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12000EB3" w14:textId="77777777" w:rsidR="00D37F5C" w:rsidRPr="00A44CAE" w:rsidRDefault="00D37F5C" w:rsidP="00564053">
            <w:pPr>
              <w:pStyle w:val="Standardzentriert"/>
            </w:pPr>
            <w:r w:rsidRPr="00A44CAE">
              <w:t>3</w:t>
            </w:r>
          </w:p>
        </w:tc>
        <w:tc>
          <w:tcPr>
            <w:tcW w:w="2721" w:type="dxa"/>
            <w:tcBorders>
              <w:top w:val="nil"/>
              <w:left w:val="nil"/>
              <w:bottom w:val="single" w:sz="4" w:space="0" w:color="auto"/>
              <w:right w:val="single" w:sz="4" w:space="0" w:color="auto"/>
            </w:tcBorders>
            <w:shd w:val="clear" w:color="auto" w:fill="auto"/>
            <w:vAlign w:val="center"/>
            <w:hideMark/>
          </w:tcPr>
          <w:p w14:paraId="27409337" w14:textId="6ED9BECC" w:rsidR="00D37F5C" w:rsidRPr="00E26166" w:rsidRDefault="00D37F5C" w:rsidP="00D37F5C">
            <w:pPr>
              <w:tabs>
                <w:tab w:val="right" w:pos="2700"/>
              </w:tabs>
              <w:jc w:val="left"/>
            </w:pPr>
            <m:oMath>
              <m:r>
                <w:rPr>
                  <w:rFonts w:ascii="Cambria Math" w:hAnsi="Cambria Math"/>
                </w:rPr>
                <m:t>=</m:t>
              </m:r>
            </m:oMath>
            <w:r>
              <w:tab/>
              <w:t>Deckungsbeitrag DB</w:t>
            </w:r>
          </w:p>
        </w:tc>
        <w:tc>
          <w:tcPr>
            <w:tcW w:w="1871" w:type="dxa"/>
            <w:tcBorders>
              <w:top w:val="nil"/>
              <w:left w:val="nil"/>
              <w:bottom w:val="single" w:sz="4" w:space="0" w:color="auto"/>
              <w:right w:val="single" w:sz="4" w:space="0" w:color="auto"/>
            </w:tcBorders>
            <w:shd w:val="clear" w:color="auto" w:fill="auto"/>
            <w:noWrap/>
            <w:vAlign w:val="center"/>
          </w:tcPr>
          <w:p w14:paraId="735C6292" w14:textId="6D810DC7" w:rsidR="00D37F5C" w:rsidRPr="00E26166" w:rsidRDefault="00D37F5C" w:rsidP="00564053">
            <w:pPr>
              <w:pStyle w:val="Standardfettrechts"/>
            </w:pPr>
          </w:p>
        </w:tc>
        <w:tc>
          <w:tcPr>
            <w:tcW w:w="1871" w:type="dxa"/>
            <w:tcBorders>
              <w:top w:val="nil"/>
              <w:left w:val="nil"/>
              <w:bottom w:val="single" w:sz="4" w:space="0" w:color="auto"/>
              <w:right w:val="single" w:sz="4" w:space="0" w:color="auto"/>
            </w:tcBorders>
            <w:shd w:val="clear" w:color="auto" w:fill="auto"/>
            <w:noWrap/>
            <w:vAlign w:val="center"/>
          </w:tcPr>
          <w:p w14:paraId="3A3E60B8" w14:textId="60E287D0" w:rsidR="00D37F5C" w:rsidRPr="00E26166" w:rsidRDefault="00D37F5C" w:rsidP="00564053">
            <w:pPr>
              <w:pStyle w:val="Standardfettrechts"/>
            </w:pPr>
          </w:p>
        </w:tc>
        <w:tc>
          <w:tcPr>
            <w:tcW w:w="1871" w:type="dxa"/>
            <w:tcBorders>
              <w:top w:val="nil"/>
              <w:left w:val="nil"/>
              <w:bottom w:val="single" w:sz="4" w:space="0" w:color="auto"/>
              <w:right w:val="single" w:sz="4" w:space="0" w:color="auto"/>
            </w:tcBorders>
            <w:shd w:val="clear" w:color="auto" w:fill="auto"/>
            <w:noWrap/>
            <w:vAlign w:val="center"/>
          </w:tcPr>
          <w:p w14:paraId="0611390E" w14:textId="19A81962" w:rsidR="00D37F5C" w:rsidRPr="00E26166" w:rsidRDefault="00D37F5C" w:rsidP="00564053">
            <w:pPr>
              <w:pStyle w:val="Standardfettrechts"/>
            </w:pPr>
          </w:p>
        </w:tc>
      </w:tr>
      <w:tr w:rsidR="00D37F5C" w:rsidRPr="00E26166" w14:paraId="3E33BB0F" w14:textId="77777777" w:rsidTr="00D37F5C">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248795ED" w14:textId="77777777" w:rsidR="00D37F5C" w:rsidRPr="00A44CAE" w:rsidRDefault="00D37F5C" w:rsidP="00564053">
            <w:pPr>
              <w:pStyle w:val="Standardzentriert"/>
            </w:pPr>
            <w:r w:rsidRPr="00A44CAE">
              <w:t>4</w:t>
            </w:r>
          </w:p>
        </w:tc>
        <w:tc>
          <w:tcPr>
            <w:tcW w:w="2721" w:type="dxa"/>
            <w:tcBorders>
              <w:top w:val="nil"/>
              <w:left w:val="nil"/>
              <w:bottom w:val="single" w:sz="4" w:space="0" w:color="auto"/>
              <w:right w:val="single" w:sz="4" w:space="0" w:color="auto"/>
            </w:tcBorders>
            <w:shd w:val="clear" w:color="auto" w:fill="auto"/>
            <w:vAlign w:val="center"/>
            <w:hideMark/>
          </w:tcPr>
          <w:p w14:paraId="008F5DE6" w14:textId="170FFA50" w:rsidR="00D37F5C" w:rsidRPr="00E26166" w:rsidRDefault="00D37F5C" w:rsidP="00D37F5C">
            <w:pPr>
              <w:tabs>
                <w:tab w:val="right" w:pos="2700"/>
              </w:tabs>
              <w:jc w:val="left"/>
            </w:pPr>
            <m:oMath>
              <m:r>
                <w:rPr>
                  <w:rFonts w:ascii="Cambria Math" w:hAnsi="Cambria Math" w:cs="Calibri"/>
                  <w:color w:val="000000"/>
                  <w:szCs w:val="22"/>
                </w:rPr>
                <m:t>-</m:t>
              </m:r>
            </m:oMath>
            <w:r>
              <w:rPr>
                <w:rFonts w:cs="Calibri"/>
                <w:color w:val="000000"/>
                <w:szCs w:val="22"/>
              </w:rPr>
              <w:tab/>
            </w:r>
            <w:r w:rsidR="00A9637D" w:rsidRPr="00554FE3">
              <w:rPr>
                <w:rFonts w:cs="Calibri"/>
                <w:color w:val="000000"/>
                <w:szCs w:val="22"/>
              </w:rPr>
              <w:t>f</w:t>
            </w:r>
            <w:r w:rsidRPr="00554FE3">
              <w:rPr>
                <w:rFonts w:cs="Calibri"/>
                <w:color w:val="000000"/>
                <w:szCs w:val="22"/>
              </w:rPr>
              <w:t>ixe</w:t>
            </w:r>
            <w:r w:rsidRPr="00D37F5C">
              <w:rPr>
                <w:rFonts w:cs="Calibri"/>
                <w:color w:val="000000"/>
                <w:szCs w:val="22"/>
              </w:rPr>
              <w:t xml:space="preserve"> Gesamtkosten </w:t>
            </w:r>
            <w:r w:rsidRPr="00554FE3">
              <w:rPr>
                <w:rFonts w:cs="Calibri"/>
                <w:color w:val="000000"/>
                <w:szCs w:val="22"/>
              </w:rPr>
              <w:t>KF</w:t>
            </w:r>
          </w:p>
        </w:tc>
        <w:tc>
          <w:tcPr>
            <w:tcW w:w="1871" w:type="dxa"/>
            <w:tcBorders>
              <w:top w:val="nil"/>
              <w:left w:val="nil"/>
              <w:bottom w:val="single" w:sz="4" w:space="0" w:color="auto"/>
              <w:right w:val="single" w:sz="4" w:space="0" w:color="auto"/>
            </w:tcBorders>
            <w:shd w:val="clear" w:color="auto" w:fill="auto"/>
            <w:noWrap/>
            <w:vAlign w:val="center"/>
          </w:tcPr>
          <w:p w14:paraId="1711E7E5" w14:textId="33FBEE63"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24F9FD88" w14:textId="457EFEA6"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2580185F" w14:textId="0AFA759F" w:rsidR="00D37F5C" w:rsidRPr="00E26166" w:rsidRDefault="00D37F5C" w:rsidP="00564053">
            <w:pPr>
              <w:pStyle w:val="Standardrechts"/>
            </w:pPr>
          </w:p>
        </w:tc>
      </w:tr>
      <w:tr w:rsidR="00D37F5C" w:rsidRPr="00E26166" w14:paraId="793E72F1" w14:textId="77777777" w:rsidTr="00D37F5C">
        <w:trPr>
          <w:trHeight w:val="300"/>
        </w:trPr>
        <w:tc>
          <w:tcPr>
            <w:tcW w:w="567" w:type="dxa"/>
            <w:tcBorders>
              <w:top w:val="nil"/>
              <w:left w:val="single" w:sz="4" w:space="0" w:color="auto"/>
              <w:bottom w:val="single" w:sz="4" w:space="0" w:color="auto"/>
              <w:right w:val="single" w:sz="4" w:space="0" w:color="auto"/>
            </w:tcBorders>
            <w:shd w:val="clear" w:color="000000" w:fill="FFFF99"/>
            <w:noWrap/>
            <w:vAlign w:val="center"/>
            <w:hideMark/>
          </w:tcPr>
          <w:p w14:paraId="619BF5AB" w14:textId="77777777" w:rsidR="00D37F5C" w:rsidRPr="00A44CAE" w:rsidRDefault="00D37F5C" w:rsidP="00564053">
            <w:pPr>
              <w:pStyle w:val="Standardzentriert"/>
            </w:pPr>
            <w:r w:rsidRPr="00A44CAE">
              <w:t>5</w:t>
            </w:r>
          </w:p>
        </w:tc>
        <w:tc>
          <w:tcPr>
            <w:tcW w:w="2721" w:type="dxa"/>
            <w:tcBorders>
              <w:top w:val="nil"/>
              <w:left w:val="nil"/>
              <w:bottom w:val="single" w:sz="4" w:space="0" w:color="auto"/>
              <w:right w:val="single" w:sz="4" w:space="0" w:color="auto"/>
            </w:tcBorders>
            <w:shd w:val="clear" w:color="auto" w:fill="auto"/>
            <w:vAlign w:val="center"/>
            <w:hideMark/>
          </w:tcPr>
          <w:p w14:paraId="372C80BB" w14:textId="21382F3B" w:rsidR="00D37F5C" w:rsidRPr="00E26166" w:rsidRDefault="00D37F5C" w:rsidP="00D37F5C">
            <w:pPr>
              <w:tabs>
                <w:tab w:val="right" w:pos="2700"/>
              </w:tabs>
              <w:jc w:val="left"/>
            </w:pPr>
            <m:oMath>
              <m:r>
                <w:rPr>
                  <w:rFonts w:ascii="Cambria Math" w:hAnsi="Cambria Math" w:cs="Calibri"/>
                  <w:color w:val="000000"/>
                </w:rPr>
                <m:t>=</m:t>
              </m:r>
            </m:oMath>
            <w:r>
              <w:rPr>
                <w:rFonts w:cs="Calibri"/>
                <w:b/>
                <w:color w:val="000000"/>
              </w:rPr>
              <w:tab/>
              <w:t>Betriebsergebnis BE</w:t>
            </w:r>
          </w:p>
        </w:tc>
        <w:tc>
          <w:tcPr>
            <w:tcW w:w="1871" w:type="dxa"/>
            <w:tcBorders>
              <w:top w:val="nil"/>
              <w:left w:val="nil"/>
              <w:bottom w:val="single" w:sz="4" w:space="0" w:color="auto"/>
              <w:right w:val="single" w:sz="4" w:space="0" w:color="auto"/>
            </w:tcBorders>
            <w:shd w:val="clear" w:color="auto" w:fill="auto"/>
            <w:noWrap/>
            <w:vAlign w:val="center"/>
          </w:tcPr>
          <w:p w14:paraId="41535715" w14:textId="070EE445"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35408F9B" w14:textId="7036F2D6" w:rsidR="00D37F5C" w:rsidRPr="00E26166" w:rsidRDefault="00D37F5C" w:rsidP="00564053">
            <w:pPr>
              <w:pStyle w:val="Standardrechts"/>
            </w:pPr>
          </w:p>
        </w:tc>
        <w:tc>
          <w:tcPr>
            <w:tcW w:w="1871" w:type="dxa"/>
            <w:tcBorders>
              <w:top w:val="nil"/>
              <w:left w:val="nil"/>
              <w:bottom w:val="single" w:sz="4" w:space="0" w:color="auto"/>
              <w:right w:val="single" w:sz="4" w:space="0" w:color="auto"/>
            </w:tcBorders>
            <w:shd w:val="clear" w:color="auto" w:fill="auto"/>
            <w:noWrap/>
            <w:vAlign w:val="center"/>
          </w:tcPr>
          <w:p w14:paraId="08D1F206" w14:textId="62F51BC3" w:rsidR="00D37F5C" w:rsidRPr="00E26166" w:rsidRDefault="00D37F5C" w:rsidP="00564053">
            <w:pPr>
              <w:pStyle w:val="Standardrechts"/>
            </w:pPr>
          </w:p>
        </w:tc>
      </w:tr>
    </w:tbl>
    <w:p w14:paraId="65C8A643" w14:textId="05829738" w:rsidR="00277147" w:rsidRDefault="00277147" w:rsidP="00D37F5C"/>
    <w:p w14:paraId="7DEFF870" w14:textId="77777777" w:rsidR="00277147" w:rsidRDefault="00277147">
      <w:pPr>
        <w:spacing w:before="0" w:after="0"/>
        <w:jc w:val="left"/>
      </w:pPr>
      <w:r>
        <w:br w:type="page"/>
      </w:r>
    </w:p>
    <w:p w14:paraId="5EAF48A4" w14:textId="5CC8B98C" w:rsidR="00D37F5C" w:rsidRDefault="00057AF1" w:rsidP="00D37F5C">
      <w:r w:rsidRPr="00057AF1">
        <w:lastRenderedPageBreak/>
        <w:t xml:space="preserve">Berechnen Sie zusätzlich folgende Werte für </w:t>
      </w:r>
      <w:r w:rsidRPr="00057AF1">
        <w:rPr>
          <w:b/>
          <w:bCs/>
        </w:rPr>
        <w:t>Kugellager III</w:t>
      </w:r>
      <w:r w:rsidRPr="00057AF1">
        <w:t>:</w:t>
      </w:r>
    </w:p>
    <w:p w14:paraId="4C5337AE" w14:textId="77777777" w:rsidR="00057AF1" w:rsidRDefault="00057AF1" w:rsidP="00D37F5C"/>
    <w:tbl>
      <w:tblPr>
        <w:tblW w:w="6236"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1"/>
        <w:gridCol w:w="3685"/>
      </w:tblGrid>
      <w:tr w:rsidR="00057AF1" w:rsidRPr="00E26166" w14:paraId="64CD23B4" w14:textId="77777777" w:rsidTr="00057AF1">
        <w:trPr>
          <w:trHeight w:val="300"/>
        </w:trPr>
        <w:tc>
          <w:tcPr>
            <w:tcW w:w="2551" w:type="dxa"/>
            <w:shd w:val="clear" w:color="auto" w:fill="FFFF99"/>
            <w:vAlign w:val="center"/>
            <w:hideMark/>
          </w:tcPr>
          <w:p w14:paraId="541F5C4C" w14:textId="04B053F7" w:rsidR="00057AF1" w:rsidRPr="00057AF1" w:rsidRDefault="00057AF1" w:rsidP="00057AF1">
            <w:pPr>
              <w:tabs>
                <w:tab w:val="right" w:pos="2410"/>
              </w:tabs>
            </w:pPr>
            <w:r>
              <w:tab/>
            </w:r>
            <w:r w:rsidRPr="00554FE3">
              <w:t>MGK</w:t>
            </w:r>
          </w:p>
        </w:tc>
        <w:tc>
          <w:tcPr>
            <w:tcW w:w="3685" w:type="dxa"/>
            <w:shd w:val="clear" w:color="auto" w:fill="auto"/>
            <w:noWrap/>
            <w:vAlign w:val="center"/>
          </w:tcPr>
          <w:p w14:paraId="5224B1FD" w14:textId="77777777" w:rsidR="00057AF1" w:rsidRPr="00E26166" w:rsidRDefault="00057AF1" w:rsidP="00564053">
            <w:pPr>
              <w:pStyle w:val="Standardrechts"/>
            </w:pPr>
          </w:p>
        </w:tc>
      </w:tr>
      <w:tr w:rsidR="00057AF1" w:rsidRPr="00E26166" w14:paraId="38FAE1A7" w14:textId="77777777" w:rsidTr="00057AF1">
        <w:trPr>
          <w:trHeight w:val="300"/>
        </w:trPr>
        <w:tc>
          <w:tcPr>
            <w:tcW w:w="2551" w:type="dxa"/>
            <w:shd w:val="clear" w:color="auto" w:fill="FFFF99"/>
            <w:vAlign w:val="center"/>
            <w:hideMark/>
          </w:tcPr>
          <w:p w14:paraId="4397F1C1" w14:textId="2EAD25E4" w:rsidR="00057AF1" w:rsidRPr="00057AF1" w:rsidRDefault="00057AF1" w:rsidP="00057AF1">
            <w:pPr>
              <w:tabs>
                <w:tab w:val="right" w:pos="2410"/>
              </w:tabs>
            </w:pPr>
            <m:oMath>
              <m:r>
                <w:rPr>
                  <w:rFonts w:ascii="Cambria Math" w:hAnsi="Cambria Math"/>
                </w:rPr>
                <m:t>+</m:t>
              </m:r>
            </m:oMath>
            <w:r>
              <w:tab/>
            </w:r>
            <w:r w:rsidRPr="00554FE3">
              <w:t>FGK</w:t>
            </w:r>
          </w:p>
        </w:tc>
        <w:tc>
          <w:tcPr>
            <w:tcW w:w="3685" w:type="dxa"/>
            <w:shd w:val="clear" w:color="auto" w:fill="auto"/>
            <w:noWrap/>
            <w:vAlign w:val="center"/>
          </w:tcPr>
          <w:p w14:paraId="37224697" w14:textId="77777777" w:rsidR="00057AF1" w:rsidRPr="00E26166" w:rsidRDefault="00057AF1" w:rsidP="00564053">
            <w:pPr>
              <w:pStyle w:val="Standardrechts"/>
            </w:pPr>
          </w:p>
        </w:tc>
      </w:tr>
      <w:tr w:rsidR="00057AF1" w:rsidRPr="00E26166" w14:paraId="3BE18B5F" w14:textId="77777777" w:rsidTr="00057AF1">
        <w:trPr>
          <w:trHeight w:val="300"/>
        </w:trPr>
        <w:tc>
          <w:tcPr>
            <w:tcW w:w="2551" w:type="dxa"/>
            <w:shd w:val="clear" w:color="auto" w:fill="FFFF99"/>
            <w:vAlign w:val="center"/>
            <w:hideMark/>
          </w:tcPr>
          <w:p w14:paraId="69430344" w14:textId="54BB8F80" w:rsidR="00057AF1" w:rsidRPr="00057AF1" w:rsidRDefault="00057AF1" w:rsidP="00057AF1">
            <w:pPr>
              <w:tabs>
                <w:tab w:val="right" w:pos="2410"/>
              </w:tabs>
            </w:pPr>
            <m:oMath>
              <m:r>
                <w:rPr>
                  <w:rFonts w:ascii="Cambria Math" w:hAnsi="Cambria Math"/>
                </w:rPr>
                <m:t>+</m:t>
              </m:r>
            </m:oMath>
            <w:r>
              <w:tab/>
            </w:r>
            <w:r w:rsidRPr="00554FE3">
              <w:t>VwGK</w:t>
            </w:r>
          </w:p>
        </w:tc>
        <w:tc>
          <w:tcPr>
            <w:tcW w:w="3685" w:type="dxa"/>
            <w:shd w:val="clear" w:color="auto" w:fill="auto"/>
            <w:noWrap/>
            <w:vAlign w:val="center"/>
          </w:tcPr>
          <w:p w14:paraId="4AE12F54" w14:textId="77777777" w:rsidR="00057AF1" w:rsidRPr="00E26166" w:rsidRDefault="00057AF1" w:rsidP="00564053">
            <w:pPr>
              <w:pStyle w:val="Standardrechts"/>
            </w:pPr>
          </w:p>
        </w:tc>
      </w:tr>
      <w:tr w:rsidR="00057AF1" w:rsidRPr="00E26166" w14:paraId="25642D7A" w14:textId="77777777" w:rsidTr="00057AF1">
        <w:trPr>
          <w:trHeight w:val="300"/>
        </w:trPr>
        <w:tc>
          <w:tcPr>
            <w:tcW w:w="2551" w:type="dxa"/>
            <w:shd w:val="clear" w:color="auto" w:fill="FFFF99"/>
            <w:vAlign w:val="center"/>
            <w:hideMark/>
          </w:tcPr>
          <w:p w14:paraId="373220A0" w14:textId="1B0F76B8" w:rsidR="00057AF1" w:rsidRPr="00057AF1" w:rsidRDefault="00057AF1" w:rsidP="00057AF1">
            <w:pPr>
              <w:tabs>
                <w:tab w:val="right" w:pos="2410"/>
              </w:tabs>
            </w:pPr>
            <m:oMath>
              <m:r>
                <w:rPr>
                  <w:rFonts w:ascii="Cambria Math" w:hAnsi="Cambria Math"/>
                </w:rPr>
                <m:t>+</m:t>
              </m:r>
            </m:oMath>
            <w:r>
              <w:tab/>
            </w:r>
            <w:r w:rsidRPr="00554FE3">
              <w:t>VtGK</w:t>
            </w:r>
          </w:p>
        </w:tc>
        <w:tc>
          <w:tcPr>
            <w:tcW w:w="3685" w:type="dxa"/>
            <w:shd w:val="clear" w:color="auto" w:fill="auto"/>
            <w:noWrap/>
            <w:vAlign w:val="center"/>
          </w:tcPr>
          <w:p w14:paraId="191A6A14" w14:textId="77777777" w:rsidR="00057AF1" w:rsidRPr="00E26166" w:rsidRDefault="00057AF1" w:rsidP="00564053">
            <w:pPr>
              <w:pStyle w:val="Standardrechts"/>
            </w:pPr>
          </w:p>
        </w:tc>
      </w:tr>
      <w:tr w:rsidR="00057AF1" w:rsidRPr="00E26166" w14:paraId="2558551A" w14:textId="77777777" w:rsidTr="00057AF1">
        <w:trPr>
          <w:trHeight w:val="300"/>
        </w:trPr>
        <w:tc>
          <w:tcPr>
            <w:tcW w:w="2551" w:type="dxa"/>
            <w:shd w:val="clear" w:color="auto" w:fill="FFFF99"/>
            <w:vAlign w:val="center"/>
            <w:hideMark/>
          </w:tcPr>
          <w:p w14:paraId="57990994" w14:textId="7FF6110A" w:rsidR="00057AF1" w:rsidRPr="00057AF1" w:rsidRDefault="00057AF1" w:rsidP="00057AF1">
            <w:pPr>
              <w:tabs>
                <w:tab w:val="right" w:pos="2410"/>
              </w:tabs>
            </w:pPr>
            <m:oMath>
              <m:r>
                <w:rPr>
                  <w:rFonts w:ascii="Cambria Math" w:hAnsi="Cambria Math"/>
                </w:rPr>
                <m:t>-</m:t>
              </m:r>
            </m:oMath>
            <w:r>
              <w:tab/>
              <w:t xml:space="preserve">GK </w:t>
            </w:r>
            <w:r w:rsidR="00A9637D" w:rsidRPr="00554FE3">
              <w:t>v</w:t>
            </w:r>
            <w:r w:rsidRPr="00554FE3">
              <w:t>ariabel</w:t>
            </w:r>
          </w:p>
        </w:tc>
        <w:tc>
          <w:tcPr>
            <w:tcW w:w="3685" w:type="dxa"/>
            <w:shd w:val="clear" w:color="auto" w:fill="auto"/>
            <w:noWrap/>
            <w:vAlign w:val="center"/>
          </w:tcPr>
          <w:p w14:paraId="2511578C" w14:textId="77777777" w:rsidR="00057AF1" w:rsidRPr="00E26166" w:rsidRDefault="00057AF1" w:rsidP="00564053">
            <w:pPr>
              <w:pStyle w:val="Standardrechts"/>
            </w:pPr>
          </w:p>
        </w:tc>
      </w:tr>
      <w:tr w:rsidR="00057AF1" w:rsidRPr="00E26166" w14:paraId="425061C5" w14:textId="77777777" w:rsidTr="00057AF1">
        <w:trPr>
          <w:trHeight w:val="300"/>
        </w:trPr>
        <w:tc>
          <w:tcPr>
            <w:tcW w:w="2551" w:type="dxa"/>
            <w:shd w:val="clear" w:color="auto" w:fill="FFFF99"/>
            <w:vAlign w:val="center"/>
            <w:hideMark/>
          </w:tcPr>
          <w:p w14:paraId="2A6FE9E5" w14:textId="6BBEC7B4" w:rsidR="00057AF1" w:rsidRPr="00057AF1" w:rsidRDefault="00057AF1" w:rsidP="00057AF1">
            <w:pPr>
              <w:pStyle w:val="StandardFett"/>
              <w:tabs>
                <w:tab w:val="right" w:pos="2410"/>
              </w:tabs>
            </w:pPr>
            <m:oMath>
              <m:r>
                <m:rPr>
                  <m:sty m:val="bi"/>
                </m:rPr>
                <w:rPr>
                  <w:rFonts w:ascii="Cambria Math" w:hAnsi="Cambria Math"/>
                </w:rPr>
                <m:t>=</m:t>
              </m:r>
            </m:oMath>
            <w:r>
              <w:tab/>
            </w:r>
            <w:r w:rsidRPr="00057AF1">
              <w:t>G</w:t>
            </w:r>
            <w:r>
              <w:t xml:space="preserve">K </w:t>
            </w:r>
            <w:r w:rsidRPr="00554FE3">
              <w:t>fix</w:t>
            </w:r>
          </w:p>
        </w:tc>
        <w:tc>
          <w:tcPr>
            <w:tcW w:w="3685" w:type="dxa"/>
            <w:shd w:val="clear" w:color="auto" w:fill="auto"/>
            <w:noWrap/>
            <w:vAlign w:val="center"/>
          </w:tcPr>
          <w:p w14:paraId="226CC864" w14:textId="77777777" w:rsidR="00057AF1" w:rsidRPr="00E26166" w:rsidRDefault="00057AF1" w:rsidP="00564053">
            <w:pPr>
              <w:pStyle w:val="Standardrechts"/>
            </w:pPr>
          </w:p>
        </w:tc>
      </w:tr>
    </w:tbl>
    <w:p w14:paraId="4B329CEB" w14:textId="44DE1A64" w:rsidR="00057AF1" w:rsidRDefault="00057AF1" w:rsidP="00D37F5C"/>
    <w:tbl>
      <w:tblPr>
        <w:tblW w:w="6236"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1"/>
        <w:gridCol w:w="3685"/>
      </w:tblGrid>
      <w:tr w:rsidR="00057AF1" w:rsidRPr="00E26166" w14:paraId="100E1DA9" w14:textId="77777777" w:rsidTr="00057AF1">
        <w:trPr>
          <w:trHeight w:val="300"/>
        </w:trPr>
        <w:tc>
          <w:tcPr>
            <w:tcW w:w="2551" w:type="dxa"/>
            <w:tcBorders>
              <w:top w:val="single" w:sz="4" w:space="0" w:color="auto"/>
              <w:left w:val="single" w:sz="4" w:space="0" w:color="auto"/>
              <w:bottom w:val="single" w:sz="4" w:space="0" w:color="auto"/>
              <w:right w:val="single" w:sz="4" w:space="0" w:color="auto"/>
            </w:tcBorders>
            <w:shd w:val="clear" w:color="auto" w:fill="FFFF99"/>
            <w:hideMark/>
          </w:tcPr>
          <w:p w14:paraId="0799AA85" w14:textId="1DED752E" w:rsidR="00057AF1" w:rsidRPr="00057AF1" w:rsidRDefault="00057AF1" w:rsidP="00057AF1">
            <w:pPr>
              <w:tabs>
                <w:tab w:val="right" w:pos="2529"/>
              </w:tabs>
            </w:pPr>
            <w:r>
              <w:tab/>
              <w:t xml:space="preserve">Gesamt BE nach </w:t>
            </w:r>
            <w:r w:rsidRPr="00554FE3">
              <w:t>VKR</w:t>
            </w:r>
          </w:p>
        </w:tc>
        <w:tc>
          <w:tcPr>
            <w:tcW w:w="3685" w:type="dxa"/>
            <w:shd w:val="clear" w:color="auto" w:fill="auto"/>
            <w:noWrap/>
            <w:vAlign w:val="center"/>
          </w:tcPr>
          <w:p w14:paraId="2D2F70FB" w14:textId="77777777" w:rsidR="00057AF1" w:rsidRPr="00E26166" w:rsidRDefault="00057AF1" w:rsidP="00057AF1">
            <w:pPr>
              <w:pStyle w:val="Standardrechts"/>
            </w:pPr>
          </w:p>
        </w:tc>
      </w:tr>
      <w:tr w:rsidR="00057AF1" w:rsidRPr="00E26166" w14:paraId="0A9F8560" w14:textId="77777777" w:rsidTr="00057AF1">
        <w:trPr>
          <w:trHeight w:val="300"/>
        </w:trPr>
        <w:tc>
          <w:tcPr>
            <w:tcW w:w="2551" w:type="dxa"/>
            <w:tcBorders>
              <w:top w:val="single" w:sz="4" w:space="0" w:color="auto"/>
              <w:left w:val="single" w:sz="4" w:space="0" w:color="auto"/>
              <w:bottom w:val="single" w:sz="4" w:space="0" w:color="auto"/>
              <w:right w:val="single" w:sz="4" w:space="0" w:color="auto"/>
            </w:tcBorders>
            <w:shd w:val="clear" w:color="auto" w:fill="FFFF99"/>
            <w:hideMark/>
          </w:tcPr>
          <w:p w14:paraId="08949305" w14:textId="60AC2412" w:rsidR="00057AF1" w:rsidRPr="00057AF1" w:rsidRDefault="00057AF1" w:rsidP="00057AF1">
            <w:pPr>
              <w:tabs>
                <w:tab w:val="right" w:pos="2529"/>
              </w:tabs>
            </w:pPr>
            <m:oMath>
              <m:r>
                <w:rPr>
                  <w:rFonts w:ascii="Cambria Math" w:hAnsi="Cambria Math"/>
                </w:rPr>
                <m:t>-</m:t>
              </m:r>
            </m:oMath>
            <w:r>
              <w:tab/>
              <w:t>GK Fix von Kugellager III</w:t>
            </w:r>
          </w:p>
        </w:tc>
        <w:tc>
          <w:tcPr>
            <w:tcW w:w="3685" w:type="dxa"/>
            <w:shd w:val="clear" w:color="auto" w:fill="auto"/>
            <w:noWrap/>
            <w:vAlign w:val="center"/>
          </w:tcPr>
          <w:p w14:paraId="46D8EA40" w14:textId="77777777" w:rsidR="00057AF1" w:rsidRPr="00E26166" w:rsidRDefault="00057AF1" w:rsidP="00057AF1">
            <w:pPr>
              <w:pStyle w:val="Standardrechts"/>
            </w:pPr>
          </w:p>
        </w:tc>
      </w:tr>
      <w:tr w:rsidR="00057AF1" w:rsidRPr="00E26166" w14:paraId="31E5E487" w14:textId="77777777" w:rsidTr="00057AF1">
        <w:trPr>
          <w:trHeight w:val="300"/>
        </w:trPr>
        <w:tc>
          <w:tcPr>
            <w:tcW w:w="2551" w:type="dxa"/>
            <w:tcBorders>
              <w:top w:val="single" w:sz="4" w:space="0" w:color="auto"/>
              <w:left w:val="single" w:sz="4" w:space="0" w:color="auto"/>
              <w:bottom w:val="single" w:sz="4" w:space="0" w:color="auto"/>
              <w:right w:val="single" w:sz="4" w:space="0" w:color="auto"/>
            </w:tcBorders>
            <w:shd w:val="clear" w:color="auto" w:fill="FFFF99"/>
            <w:hideMark/>
          </w:tcPr>
          <w:p w14:paraId="24CC6B79" w14:textId="71A718F8" w:rsidR="00057AF1" w:rsidRPr="00057AF1" w:rsidRDefault="00057AF1" w:rsidP="00057AF1">
            <w:pPr>
              <w:tabs>
                <w:tab w:val="right" w:pos="2529"/>
              </w:tabs>
            </w:pPr>
            <m:oMath>
              <m:r>
                <w:rPr>
                  <w:rFonts w:ascii="Cambria Math" w:hAnsi="Cambria Math"/>
                </w:rPr>
                <m:t>=</m:t>
              </m:r>
            </m:oMath>
            <w:r>
              <w:tab/>
            </w:r>
            <w:r w:rsidRPr="00057AF1">
              <w:rPr>
                <w:b/>
                <w:bCs/>
              </w:rPr>
              <w:t xml:space="preserve">BE nach </w:t>
            </w:r>
            <w:r w:rsidRPr="00554FE3">
              <w:rPr>
                <w:b/>
                <w:bCs/>
              </w:rPr>
              <w:t>TKR</w:t>
            </w:r>
          </w:p>
        </w:tc>
        <w:tc>
          <w:tcPr>
            <w:tcW w:w="3685" w:type="dxa"/>
            <w:shd w:val="clear" w:color="auto" w:fill="auto"/>
            <w:noWrap/>
            <w:vAlign w:val="center"/>
          </w:tcPr>
          <w:p w14:paraId="5143D241" w14:textId="77777777" w:rsidR="00057AF1" w:rsidRPr="00E26166" w:rsidRDefault="00057AF1" w:rsidP="00057AF1">
            <w:pPr>
              <w:pStyle w:val="Standardrechts"/>
            </w:pPr>
          </w:p>
        </w:tc>
      </w:tr>
    </w:tbl>
    <w:p w14:paraId="17A7489F" w14:textId="77777777" w:rsidR="00057AF1" w:rsidRPr="00D37F5C" w:rsidRDefault="00057AF1" w:rsidP="00D37F5C"/>
    <w:p w14:paraId="435B9304" w14:textId="095A86F5" w:rsidR="00064EC6" w:rsidRDefault="00064EC6" w:rsidP="00064EC6">
      <w:pPr>
        <w:pStyle w:val="berschrift1"/>
      </w:pPr>
      <w:r>
        <w:t>Material </w:t>
      </w:r>
      <w:r w:rsidRPr="00554FE3">
        <w:t>M4</w:t>
      </w:r>
    </w:p>
    <w:tbl>
      <w:tblPr>
        <w:tblW w:w="6530"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8"/>
        <w:gridCol w:w="2324"/>
        <w:gridCol w:w="3228"/>
      </w:tblGrid>
      <w:tr w:rsidR="00057AF1" w:rsidRPr="00A44CAE" w14:paraId="25B32887" w14:textId="77777777" w:rsidTr="00057AF1">
        <w:trPr>
          <w:trHeight w:val="600"/>
        </w:trPr>
        <w:tc>
          <w:tcPr>
            <w:tcW w:w="978" w:type="dxa"/>
            <w:shd w:val="clear" w:color="000000" w:fill="FFFF99"/>
            <w:noWrap/>
            <w:vAlign w:val="center"/>
            <w:hideMark/>
          </w:tcPr>
          <w:p w14:paraId="38899DAA" w14:textId="77777777" w:rsidR="00057AF1" w:rsidRPr="00A44CAE" w:rsidRDefault="00057AF1" w:rsidP="00564053">
            <w:pPr>
              <w:pStyle w:val="StandardFettzentriert"/>
            </w:pPr>
            <w:r w:rsidRPr="00A44CAE">
              <w:t>Pos.</w:t>
            </w:r>
          </w:p>
        </w:tc>
        <w:tc>
          <w:tcPr>
            <w:tcW w:w="2324" w:type="dxa"/>
            <w:shd w:val="clear" w:color="000000" w:fill="FFFF99"/>
            <w:vAlign w:val="center"/>
            <w:hideMark/>
          </w:tcPr>
          <w:p w14:paraId="12724EBE" w14:textId="3F3C2307" w:rsidR="00057AF1" w:rsidRPr="00A44CAE" w:rsidRDefault="00057AF1" w:rsidP="00564053">
            <w:pPr>
              <w:pStyle w:val="StandardFettzentriert"/>
            </w:pPr>
            <w:r>
              <w:t>S</w:t>
            </w:r>
            <w:r w:rsidRPr="00A44CAE">
              <w:t>chema</w:t>
            </w:r>
          </w:p>
        </w:tc>
        <w:tc>
          <w:tcPr>
            <w:tcW w:w="3228" w:type="dxa"/>
            <w:shd w:val="clear" w:color="000000" w:fill="FFFF99"/>
            <w:noWrap/>
            <w:vAlign w:val="center"/>
            <w:hideMark/>
          </w:tcPr>
          <w:p w14:paraId="46437A2F" w14:textId="1909791B" w:rsidR="00057AF1" w:rsidRPr="00A44CAE" w:rsidRDefault="00057AF1" w:rsidP="00564053">
            <w:pPr>
              <w:pStyle w:val="StandardFettzentriert"/>
            </w:pPr>
            <w:r>
              <w:t>Kugellager </w:t>
            </w:r>
            <w:r w:rsidRPr="00A44CAE">
              <w:t>I</w:t>
            </w:r>
            <w:r>
              <w:t xml:space="preserve"> in €</w:t>
            </w:r>
          </w:p>
        </w:tc>
      </w:tr>
      <w:tr w:rsidR="00057AF1" w:rsidRPr="00E26166" w14:paraId="4C5AC2E4" w14:textId="77777777" w:rsidTr="00057AF1">
        <w:trPr>
          <w:trHeight w:val="300"/>
        </w:trPr>
        <w:tc>
          <w:tcPr>
            <w:tcW w:w="978" w:type="dxa"/>
            <w:shd w:val="clear" w:color="000000" w:fill="FFFF99"/>
            <w:noWrap/>
            <w:vAlign w:val="center"/>
            <w:hideMark/>
          </w:tcPr>
          <w:p w14:paraId="65269982" w14:textId="77777777" w:rsidR="00057AF1" w:rsidRPr="00A44CAE" w:rsidRDefault="00057AF1" w:rsidP="00057AF1">
            <w:pPr>
              <w:pStyle w:val="Standardzentriert"/>
            </w:pPr>
            <w:r w:rsidRPr="00A44CAE">
              <w:t>1</w:t>
            </w:r>
          </w:p>
        </w:tc>
        <w:tc>
          <w:tcPr>
            <w:tcW w:w="2324" w:type="dxa"/>
            <w:tcBorders>
              <w:top w:val="single" w:sz="4" w:space="0" w:color="auto"/>
              <w:left w:val="single" w:sz="4" w:space="0" w:color="auto"/>
              <w:bottom w:val="single" w:sz="4" w:space="0" w:color="auto"/>
              <w:right w:val="single" w:sz="4" w:space="0" w:color="auto"/>
            </w:tcBorders>
            <w:hideMark/>
          </w:tcPr>
          <w:p w14:paraId="14DC0199" w14:textId="54BBA2F4" w:rsidR="00057AF1" w:rsidRPr="00057AF1" w:rsidRDefault="00057AF1" w:rsidP="00057AF1">
            <w:r w:rsidRPr="00057AF1">
              <w:t xml:space="preserve">Verkaufspreis </w:t>
            </w:r>
            <w:r>
              <w:t>pro</w:t>
            </w:r>
            <w:r w:rsidRPr="00057AF1">
              <w:t xml:space="preserve"> Stück</w:t>
            </w:r>
          </w:p>
        </w:tc>
        <w:tc>
          <w:tcPr>
            <w:tcW w:w="3228" w:type="dxa"/>
            <w:shd w:val="clear" w:color="auto" w:fill="auto"/>
            <w:vAlign w:val="center"/>
          </w:tcPr>
          <w:p w14:paraId="5735F73D" w14:textId="77777777" w:rsidR="00057AF1" w:rsidRPr="00E26166" w:rsidRDefault="00057AF1" w:rsidP="00057AF1">
            <w:pPr>
              <w:pStyle w:val="Standardrechts"/>
            </w:pPr>
          </w:p>
        </w:tc>
      </w:tr>
      <w:tr w:rsidR="00057AF1" w:rsidRPr="00E26166" w14:paraId="01C36469" w14:textId="77777777" w:rsidTr="00057AF1">
        <w:trPr>
          <w:trHeight w:val="300"/>
        </w:trPr>
        <w:tc>
          <w:tcPr>
            <w:tcW w:w="978" w:type="dxa"/>
            <w:shd w:val="clear" w:color="000000" w:fill="FFFF99"/>
            <w:noWrap/>
            <w:vAlign w:val="center"/>
            <w:hideMark/>
          </w:tcPr>
          <w:p w14:paraId="50F3759A" w14:textId="77777777" w:rsidR="00057AF1" w:rsidRPr="00A44CAE" w:rsidRDefault="00057AF1" w:rsidP="00057AF1">
            <w:pPr>
              <w:pStyle w:val="Standardzentriert"/>
            </w:pPr>
            <w:r w:rsidRPr="00A44CAE">
              <w:t>2</w:t>
            </w:r>
          </w:p>
        </w:tc>
        <w:tc>
          <w:tcPr>
            <w:tcW w:w="2324" w:type="dxa"/>
            <w:tcBorders>
              <w:top w:val="single" w:sz="4" w:space="0" w:color="auto"/>
              <w:left w:val="single" w:sz="4" w:space="0" w:color="auto"/>
              <w:bottom w:val="single" w:sz="4" w:space="0" w:color="auto"/>
              <w:right w:val="single" w:sz="4" w:space="0" w:color="auto"/>
            </w:tcBorders>
            <w:hideMark/>
          </w:tcPr>
          <w:p w14:paraId="26F36771" w14:textId="4D20BE38" w:rsidR="00057AF1" w:rsidRPr="00057AF1" w:rsidRDefault="00057AF1" w:rsidP="00057AF1">
            <w:r w:rsidRPr="00057AF1">
              <w:t>Fertigungsmaterial</w:t>
            </w:r>
          </w:p>
        </w:tc>
        <w:tc>
          <w:tcPr>
            <w:tcW w:w="3228" w:type="dxa"/>
            <w:shd w:val="clear" w:color="auto" w:fill="auto"/>
            <w:noWrap/>
            <w:vAlign w:val="center"/>
          </w:tcPr>
          <w:p w14:paraId="62D4335D" w14:textId="77777777" w:rsidR="00057AF1" w:rsidRPr="00E26166" w:rsidRDefault="00057AF1" w:rsidP="00057AF1">
            <w:pPr>
              <w:pStyle w:val="Standardrechts"/>
            </w:pPr>
          </w:p>
        </w:tc>
      </w:tr>
      <w:tr w:rsidR="00057AF1" w:rsidRPr="00E26166" w14:paraId="638A1308" w14:textId="77777777" w:rsidTr="00057AF1">
        <w:trPr>
          <w:trHeight w:val="300"/>
        </w:trPr>
        <w:tc>
          <w:tcPr>
            <w:tcW w:w="978" w:type="dxa"/>
            <w:shd w:val="clear" w:color="000000" w:fill="FFFF99"/>
            <w:noWrap/>
            <w:vAlign w:val="center"/>
            <w:hideMark/>
          </w:tcPr>
          <w:p w14:paraId="3FEFB9A8" w14:textId="77777777" w:rsidR="00057AF1" w:rsidRPr="00A44CAE" w:rsidRDefault="00057AF1" w:rsidP="00057AF1">
            <w:pPr>
              <w:pStyle w:val="Standardzentriert"/>
            </w:pPr>
            <w:r w:rsidRPr="00A44CAE">
              <w:t>3</w:t>
            </w:r>
          </w:p>
        </w:tc>
        <w:tc>
          <w:tcPr>
            <w:tcW w:w="2324" w:type="dxa"/>
            <w:tcBorders>
              <w:top w:val="single" w:sz="4" w:space="0" w:color="auto"/>
              <w:left w:val="single" w:sz="4" w:space="0" w:color="auto"/>
              <w:bottom w:val="single" w:sz="4" w:space="0" w:color="auto"/>
              <w:right w:val="single" w:sz="4" w:space="0" w:color="auto"/>
            </w:tcBorders>
            <w:hideMark/>
          </w:tcPr>
          <w:p w14:paraId="6AB22DA2" w14:textId="1753813B" w:rsidR="00057AF1" w:rsidRPr="00057AF1" w:rsidRDefault="00057AF1" w:rsidP="00057AF1">
            <w:r w:rsidRPr="00057AF1">
              <w:t>Fertigungslöhne</w:t>
            </w:r>
          </w:p>
        </w:tc>
        <w:tc>
          <w:tcPr>
            <w:tcW w:w="3228" w:type="dxa"/>
            <w:shd w:val="clear" w:color="auto" w:fill="auto"/>
            <w:noWrap/>
            <w:vAlign w:val="center"/>
          </w:tcPr>
          <w:p w14:paraId="508D9B42" w14:textId="77777777" w:rsidR="00057AF1" w:rsidRPr="00E26166" w:rsidRDefault="00057AF1" w:rsidP="00057AF1">
            <w:pPr>
              <w:pStyle w:val="Standardfettrechts"/>
            </w:pPr>
          </w:p>
        </w:tc>
      </w:tr>
      <w:tr w:rsidR="00057AF1" w:rsidRPr="00E26166" w14:paraId="2FF6AFF4" w14:textId="77777777" w:rsidTr="00057AF1">
        <w:trPr>
          <w:trHeight w:val="300"/>
        </w:trPr>
        <w:tc>
          <w:tcPr>
            <w:tcW w:w="978" w:type="dxa"/>
            <w:shd w:val="clear" w:color="000000" w:fill="FFFF99"/>
            <w:noWrap/>
            <w:vAlign w:val="center"/>
            <w:hideMark/>
          </w:tcPr>
          <w:p w14:paraId="430914DD" w14:textId="77777777" w:rsidR="00057AF1" w:rsidRPr="00A44CAE" w:rsidRDefault="00057AF1" w:rsidP="00057AF1">
            <w:pPr>
              <w:pStyle w:val="Standardzentriert"/>
            </w:pPr>
            <w:r w:rsidRPr="00A44CAE">
              <w:t>4</w:t>
            </w:r>
          </w:p>
        </w:tc>
        <w:tc>
          <w:tcPr>
            <w:tcW w:w="2324" w:type="dxa"/>
            <w:tcBorders>
              <w:top w:val="single" w:sz="4" w:space="0" w:color="auto"/>
              <w:left w:val="single" w:sz="4" w:space="0" w:color="auto"/>
              <w:bottom w:val="single" w:sz="4" w:space="0" w:color="auto"/>
              <w:right w:val="single" w:sz="4" w:space="0" w:color="auto"/>
            </w:tcBorders>
            <w:hideMark/>
          </w:tcPr>
          <w:p w14:paraId="4E723EE5" w14:textId="5AE1A097" w:rsidR="00057AF1" w:rsidRPr="00057AF1" w:rsidRDefault="00057AF1" w:rsidP="00057AF1">
            <w:r w:rsidRPr="00057AF1">
              <w:t>GK variabel</w:t>
            </w:r>
          </w:p>
        </w:tc>
        <w:tc>
          <w:tcPr>
            <w:tcW w:w="3228" w:type="dxa"/>
            <w:shd w:val="clear" w:color="auto" w:fill="auto"/>
            <w:noWrap/>
            <w:vAlign w:val="center"/>
          </w:tcPr>
          <w:p w14:paraId="0FE3C484" w14:textId="77777777" w:rsidR="00057AF1" w:rsidRPr="00E26166" w:rsidRDefault="00057AF1" w:rsidP="00057AF1">
            <w:pPr>
              <w:pStyle w:val="Standardrechts"/>
            </w:pPr>
          </w:p>
        </w:tc>
      </w:tr>
      <w:tr w:rsidR="00057AF1" w:rsidRPr="00E26166" w14:paraId="2C74AD16" w14:textId="77777777" w:rsidTr="00057AF1">
        <w:trPr>
          <w:trHeight w:val="300"/>
        </w:trPr>
        <w:tc>
          <w:tcPr>
            <w:tcW w:w="978" w:type="dxa"/>
            <w:shd w:val="clear" w:color="000000" w:fill="FFFF99"/>
            <w:noWrap/>
            <w:vAlign w:val="center"/>
            <w:hideMark/>
          </w:tcPr>
          <w:p w14:paraId="25C8FFBB" w14:textId="77777777" w:rsidR="00057AF1" w:rsidRPr="00A44CAE" w:rsidRDefault="00057AF1" w:rsidP="00057AF1">
            <w:pPr>
              <w:pStyle w:val="Standardzentriert"/>
            </w:pPr>
            <w:r w:rsidRPr="00A44CAE">
              <w:t>5</w:t>
            </w:r>
          </w:p>
        </w:tc>
        <w:tc>
          <w:tcPr>
            <w:tcW w:w="2324" w:type="dxa"/>
            <w:tcBorders>
              <w:top w:val="single" w:sz="4" w:space="0" w:color="auto"/>
              <w:left w:val="single" w:sz="4" w:space="0" w:color="auto"/>
              <w:bottom w:val="single" w:sz="4" w:space="0" w:color="auto"/>
              <w:right w:val="single" w:sz="4" w:space="0" w:color="auto"/>
            </w:tcBorders>
            <w:hideMark/>
          </w:tcPr>
          <w:p w14:paraId="2B07657A" w14:textId="0BC35571" w:rsidR="00057AF1" w:rsidRPr="00057AF1" w:rsidRDefault="00057AF1" w:rsidP="00057AF1">
            <w:r w:rsidRPr="00554FE3">
              <w:t>dB</w:t>
            </w:r>
          </w:p>
        </w:tc>
        <w:tc>
          <w:tcPr>
            <w:tcW w:w="3228" w:type="dxa"/>
            <w:shd w:val="clear" w:color="auto" w:fill="auto"/>
            <w:noWrap/>
            <w:vAlign w:val="center"/>
          </w:tcPr>
          <w:p w14:paraId="55CCCA2B" w14:textId="77777777" w:rsidR="00057AF1" w:rsidRPr="00E26166" w:rsidRDefault="00057AF1" w:rsidP="00057AF1">
            <w:pPr>
              <w:pStyle w:val="Standardrechts"/>
            </w:pPr>
          </w:p>
        </w:tc>
      </w:tr>
      <w:tr w:rsidR="00057AF1" w:rsidRPr="00E26166" w14:paraId="2E07C1AD" w14:textId="77777777" w:rsidTr="00057AF1">
        <w:trPr>
          <w:trHeight w:val="300"/>
        </w:trPr>
        <w:tc>
          <w:tcPr>
            <w:tcW w:w="978" w:type="dxa"/>
            <w:shd w:val="clear" w:color="000000" w:fill="FFFF99"/>
            <w:noWrap/>
            <w:vAlign w:val="center"/>
          </w:tcPr>
          <w:p w14:paraId="35FC3144" w14:textId="7A9DC603" w:rsidR="00057AF1" w:rsidRPr="00A44CAE" w:rsidRDefault="00057AF1" w:rsidP="00057AF1">
            <w:pPr>
              <w:pStyle w:val="Standardzentriert"/>
            </w:pPr>
            <w:r>
              <w:t>6</w:t>
            </w:r>
          </w:p>
        </w:tc>
        <w:tc>
          <w:tcPr>
            <w:tcW w:w="2324" w:type="dxa"/>
            <w:tcBorders>
              <w:top w:val="single" w:sz="4" w:space="0" w:color="auto"/>
              <w:left w:val="single" w:sz="4" w:space="0" w:color="auto"/>
              <w:bottom w:val="single" w:sz="4" w:space="0" w:color="auto"/>
              <w:right w:val="single" w:sz="4" w:space="0" w:color="auto"/>
            </w:tcBorders>
          </w:tcPr>
          <w:p w14:paraId="26FAC496" w14:textId="5FB175E3" w:rsidR="00057AF1" w:rsidRPr="00057AF1" w:rsidRDefault="00057AF1" w:rsidP="00057AF1">
            <w:r w:rsidRPr="00057AF1">
              <w:t>DB</w:t>
            </w:r>
          </w:p>
        </w:tc>
        <w:tc>
          <w:tcPr>
            <w:tcW w:w="3228" w:type="dxa"/>
            <w:shd w:val="clear" w:color="auto" w:fill="auto"/>
            <w:noWrap/>
            <w:vAlign w:val="center"/>
          </w:tcPr>
          <w:p w14:paraId="7D5481E2" w14:textId="77777777" w:rsidR="00057AF1" w:rsidRPr="00E26166" w:rsidRDefault="00057AF1" w:rsidP="00057AF1">
            <w:pPr>
              <w:pStyle w:val="Standardrechts"/>
            </w:pPr>
          </w:p>
        </w:tc>
      </w:tr>
    </w:tbl>
    <w:p w14:paraId="67357871" w14:textId="77777777" w:rsidR="001076E6" w:rsidRPr="001076E6" w:rsidRDefault="001076E6" w:rsidP="001076E6"/>
    <w:p w14:paraId="6EA9B0D4" w14:textId="77777777" w:rsidR="00C451CC" w:rsidRDefault="00C451CC">
      <w:pPr>
        <w:spacing w:before="0" w:after="0"/>
        <w:jc w:val="left"/>
        <w:rPr>
          <w:b/>
          <w:bCs/>
          <w:sz w:val="26"/>
        </w:rPr>
      </w:pPr>
      <w:r>
        <w:br w:type="page"/>
      </w:r>
    </w:p>
    <w:p w14:paraId="2B23CE28" w14:textId="3B4C06B2" w:rsidR="00064EC6" w:rsidRDefault="00064EC6" w:rsidP="00064EC6">
      <w:pPr>
        <w:pStyle w:val="berschrift1"/>
      </w:pPr>
      <w:r>
        <w:lastRenderedPageBreak/>
        <w:t>Material </w:t>
      </w:r>
      <w:r w:rsidRPr="00554FE3">
        <w:t>M5</w:t>
      </w:r>
    </w:p>
    <w:tbl>
      <w:tblPr>
        <w:tblW w:w="9072"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1701"/>
        <w:gridCol w:w="1701"/>
        <w:gridCol w:w="1701"/>
        <w:gridCol w:w="1701"/>
      </w:tblGrid>
      <w:tr w:rsidR="00C451CC" w14:paraId="257E39A6"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3DBEF9F3" w14:textId="77777777" w:rsidR="00C451CC" w:rsidRPr="00C451CC" w:rsidRDefault="00C451CC" w:rsidP="00C451CC">
            <w:pPr>
              <w:pStyle w:val="StandardFett"/>
              <w:jc w:val="left"/>
            </w:pPr>
            <w:r w:rsidRPr="00C451CC">
              <w:t>Kugellager</w:t>
            </w:r>
          </w:p>
        </w:tc>
        <w:tc>
          <w:tcPr>
            <w:tcW w:w="170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287C494" w14:textId="77777777" w:rsidR="00C451CC" w:rsidRPr="00C451CC" w:rsidRDefault="00C451CC" w:rsidP="00C451CC">
            <w:pPr>
              <w:pStyle w:val="StandardFettzentriert"/>
            </w:pPr>
            <w:r w:rsidRPr="00C451CC">
              <w:t>I</w:t>
            </w:r>
          </w:p>
        </w:tc>
        <w:tc>
          <w:tcPr>
            <w:tcW w:w="1701" w:type="dxa"/>
            <w:tcBorders>
              <w:top w:val="single" w:sz="4" w:space="0" w:color="auto"/>
              <w:left w:val="single" w:sz="4" w:space="0" w:color="auto"/>
              <w:bottom w:val="single" w:sz="4" w:space="0" w:color="auto"/>
              <w:right w:val="single" w:sz="4" w:space="0" w:color="auto"/>
            </w:tcBorders>
            <w:shd w:val="clear" w:color="auto" w:fill="FFFF99"/>
            <w:vAlign w:val="center"/>
          </w:tcPr>
          <w:p w14:paraId="0D8D51C9" w14:textId="77777777" w:rsidR="00C451CC" w:rsidRPr="00C451CC" w:rsidRDefault="00C451CC" w:rsidP="00C451CC">
            <w:pPr>
              <w:pStyle w:val="StandardFettzentriert"/>
            </w:pPr>
            <w:r w:rsidRPr="00C451CC">
              <w:t>II</w:t>
            </w:r>
          </w:p>
        </w:tc>
        <w:tc>
          <w:tcPr>
            <w:tcW w:w="1701" w:type="dxa"/>
            <w:tcBorders>
              <w:top w:val="single" w:sz="4" w:space="0" w:color="auto"/>
              <w:left w:val="single" w:sz="4" w:space="0" w:color="auto"/>
              <w:bottom w:val="single" w:sz="4" w:space="0" w:color="auto"/>
              <w:right w:val="single" w:sz="4" w:space="0" w:color="auto"/>
            </w:tcBorders>
            <w:shd w:val="clear" w:color="auto" w:fill="FFFF99"/>
            <w:vAlign w:val="center"/>
          </w:tcPr>
          <w:p w14:paraId="018754B4" w14:textId="77777777" w:rsidR="00C451CC" w:rsidRPr="00C451CC" w:rsidRDefault="00C451CC" w:rsidP="00C451CC">
            <w:pPr>
              <w:pStyle w:val="StandardFettzentriert"/>
            </w:pPr>
            <w:r w:rsidRPr="00C451CC">
              <w:t>III</w:t>
            </w:r>
          </w:p>
        </w:tc>
        <w:tc>
          <w:tcPr>
            <w:tcW w:w="1701" w:type="dxa"/>
            <w:tcBorders>
              <w:top w:val="single" w:sz="4" w:space="0" w:color="auto"/>
              <w:left w:val="single" w:sz="4" w:space="0" w:color="auto"/>
              <w:bottom w:val="single" w:sz="4" w:space="0" w:color="auto"/>
              <w:right w:val="single" w:sz="4" w:space="0" w:color="auto"/>
            </w:tcBorders>
            <w:shd w:val="clear" w:color="auto" w:fill="FFFF99"/>
            <w:vAlign w:val="center"/>
          </w:tcPr>
          <w:p w14:paraId="3FC93836" w14:textId="77777777" w:rsidR="00C451CC" w:rsidRPr="00C451CC" w:rsidRDefault="00C451CC" w:rsidP="00C451CC">
            <w:pPr>
              <w:pStyle w:val="StandardFettzentriert"/>
            </w:pPr>
            <w:r w:rsidRPr="00C451CC">
              <w:t>IV</w:t>
            </w:r>
          </w:p>
        </w:tc>
      </w:tr>
      <w:tr w:rsidR="00C451CC" w14:paraId="2CF5F0C9"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767665ED" w14:textId="77777777" w:rsidR="00C451CC" w:rsidRPr="00C451CC" w:rsidRDefault="00C451CC" w:rsidP="00C451CC">
            <w:pPr>
              <w:pStyle w:val="StandardFett"/>
            </w:pPr>
            <w:r w:rsidRPr="00C451CC">
              <w:t>Fertigungsmaterial</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12005" w14:textId="38805E2A" w:rsidR="00C451CC" w:rsidRPr="00C451CC" w:rsidRDefault="00C451CC" w:rsidP="00C451CC">
            <w:pPr>
              <w:pStyle w:val="Standardrechts"/>
            </w:pPr>
            <w:r w:rsidRPr="00C451CC">
              <w:t>0,90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A64172" w14:textId="21999EAF" w:rsidR="00C451CC" w:rsidRPr="00C451CC" w:rsidRDefault="00C451CC" w:rsidP="00C451CC">
            <w:pPr>
              <w:pStyle w:val="Standardrechts"/>
            </w:pPr>
            <w:r w:rsidRPr="00C451CC">
              <w:t>1,20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29A640" w14:textId="5D2A50F9" w:rsidR="00C451CC" w:rsidRPr="00C451CC" w:rsidRDefault="00C451CC" w:rsidP="00C451CC">
            <w:pPr>
              <w:pStyle w:val="Standardrechts"/>
            </w:pPr>
            <w:r w:rsidRPr="00C451CC">
              <w:t>1,50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DBDE8F" w14:textId="2587D7B7" w:rsidR="00C451CC" w:rsidRPr="00C451CC" w:rsidRDefault="00C451CC" w:rsidP="00C451CC">
            <w:pPr>
              <w:pStyle w:val="Standardrechts"/>
            </w:pPr>
            <w:r w:rsidRPr="00C451CC">
              <w:t>3,90</w:t>
            </w:r>
            <w:r>
              <w:t> </w:t>
            </w:r>
            <w:r w:rsidRPr="00C451CC">
              <w:t>€</w:t>
            </w:r>
          </w:p>
        </w:tc>
      </w:tr>
      <w:tr w:rsidR="00C451CC" w14:paraId="2187B75B"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72232AE1" w14:textId="77777777" w:rsidR="00C451CC" w:rsidRPr="00C451CC" w:rsidRDefault="00C451CC" w:rsidP="00C451CC">
            <w:pPr>
              <w:pStyle w:val="StandardFett"/>
            </w:pPr>
            <w:r w:rsidRPr="00C451CC">
              <w:t>Fertigungslöhne</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0EE1A" w14:textId="09997374" w:rsidR="00C451CC" w:rsidRPr="00C451CC" w:rsidRDefault="00C451CC" w:rsidP="00C451CC">
            <w:pPr>
              <w:pStyle w:val="Standardrechts"/>
            </w:pPr>
            <w:r w:rsidRPr="00C451CC">
              <w:t>0,60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2B38BB" w14:textId="6D3964AB" w:rsidR="00C451CC" w:rsidRPr="00C451CC" w:rsidRDefault="00C451CC" w:rsidP="00C451CC">
            <w:pPr>
              <w:pStyle w:val="Standardrechts"/>
            </w:pPr>
            <w:r w:rsidRPr="00C451CC">
              <w:t>0,70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2C3D3E" w14:textId="027CFFC9" w:rsidR="00C451CC" w:rsidRPr="00C451CC" w:rsidRDefault="00C451CC" w:rsidP="00C451CC">
            <w:pPr>
              <w:pStyle w:val="Standardrechts"/>
            </w:pPr>
            <w:r w:rsidRPr="00C451CC">
              <w:t>0,80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364F29" w14:textId="1B31331B" w:rsidR="00C451CC" w:rsidRPr="00C451CC" w:rsidRDefault="00C451CC" w:rsidP="00C451CC">
            <w:pPr>
              <w:pStyle w:val="Standardrechts"/>
            </w:pPr>
            <w:r w:rsidRPr="00C451CC">
              <w:t>0,90</w:t>
            </w:r>
            <w:r>
              <w:t> </w:t>
            </w:r>
            <w:r w:rsidRPr="00C451CC">
              <w:t>€</w:t>
            </w:r>
          </w:p>
        </w:tc>
      </w:tr>
      <w:tr w:rsidR="00C451CC" w14:paraId="5682D914"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6E91E144" w14:textId="77777777" w:rsidR="00C451CC" w:rsidRPr="00C451CC" w:rsidRDefault="00C451CC" w:rsidP="00C451CC">
            <w:pPr>
              <w:pStyle w:val="StandardFett"/>
            </w:pPr>
            <w:r w:rsidRPr="00C451CC">
              <w:t>GK variabel</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BEB48" w14:textId="0A7BC321" w:rsidR="00C451CC" w:rsidRPr="00C451CC" w:rsidRDefault="00C451CC" w:rsidP="00C451CC">
            <w:pPr>
              <w:pStyle w:val="Standardrechts"/>
            </w:pPr>
            <w:r w:rsidRPr="00C451CC">
              <w:t>0,85</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FE137B" w14:textId="6D554D78" w:rsidR="00C451CC" w:rsidRPr="00C451CC" w:rsidRDefault="00C451CC" w:rsidP="00C451CC">
            <w:pPr>
              <w:pStyle w:val="Standardrechts"/>
            </w:pPr>
            <w:r w:rsidRPr="00C451CC">
              <w:t>1,04</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3E25EF" w14:textId="50DCEAD9" w:rsidR="00C451CC" w:rsidRPr="00C451CC" w:rsidRDefault="00C451CC" w:rsidP="00C451CC">
            <w:pPr>
              <w:pStyle w:val="Standardrechts"/>
            </w:pPr>
            <w:r w:rsidRPr="00C451CC">
              <w:t>1,83</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4209E8" w14:textId="267BA86F" w:rsidR="00C451CC" w:rsidRPr="00C451CC" w:rsidRDefault="00C451CC" w:rsidP="00C451CC">
            <w:pPr>
              <w:pStyle w:val="Standardrechts"/>
            </w:pPr>
            <w:r w:rsidRPr="00C451CC">
              <w:t>2,00</w:t>
            </w:r>
            <w:r>
              <w:t> </w:t>
            </w:r>
            <w:r w:rsidRPr="00C451CC">
              <w:t>€</w:t>
            </w:r>
          </w:p>
        </w:tc>
      </w:tr>
      <w:tr w:rsidR="00C451CC" w14:paraId="40AF21C7"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74CEBF43" w14:textId="77777777" w:rsidR="00C451CC" w:rsidRPr="00C451CC" w:rsidRDefault="00C451CC" w:rsidP="00C451CC">
            <w:pPr>
              <w:pStyle w:val="StandardFett"/>
            </w:pPr>
            <w:r w:rsidRPr="00C451CC">
              <w:t>Listenverkaufspreis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C55DE" w14:textId="25FAB4F9" w:rsidR="00C451CC" w:rsidRPr="00C451CC" w:rsidRDefault="00C451CC" w:rsidP="00C451CC">
            <w:pPr>
              <w:pStyle w:val="Standardrechts"/>
            </w:pPr>
            <w:r w:rsidRPr="00C451CC">
              <w:t>5,80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C6E81C" w14:textId="53BD6511" w:rsidR="00C451CC" w:rsidRPr="00C451CC" w:rsidRDefault="00C451CC" w:rsidP="00C451CC">
            <w:pPr>
              <w:pStyle w:val="Standardrechts"/>
            </w:pPr>
            <w:r w:rsidRPr="00C451CC">
              <w:t>6,80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C3586E" w14:textId="62445E3C" w:rsidR="00C451CC" w:rsidRPr="00C451CC" w:rsidRDefault="00C451CC" w:rsidP="00C451CC">
            <w:pPr>
              <w:pStyle w:val="Standardrechts"/>
            </w:pPr>
            <w:r w:rsidRPr="00C451CC">
              <w:t>4,80</w:t>
            </w:r>
            <w:r>
              <w:t> </w:t>
            </w:r>
            <w:r w:rsidRPr="00C451CC">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246121" w14:textId="2CAF6F32" w:rsidR="00C451CC" w:rsidRPr="00C451CC" w:rsidRDefault="00C451CC" w:rsidP="00C451CC">
            <w:pPr>
              <w:pStyle w:val="Standardrechts"/>
            </w:pPr>
            <w:r w:rsidRPr="00C451CC">
              <w:t>8,50</w:t>
            </w:r>
            <w:r>
              <w:t> </w:t>
            </w:r>
            <w:r w:rsidRPr="00C451CC">
              <w:t>€</w:t>
            </w:r>
          </w:p>
        </w:tc>
      </w:tr>
      <w:tr w:rsidR="00C451CC" w14:paraId="54391862"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19AFB3A0" w14:textId="77777777" w:rsidR="00C451CC" w:rsidRPr="00C451CC" w:rsidRDefault="00C451CC" w:rsidP="00C451CC">
            <w:pPr>
              <w:pStyle w:val="StandardFett"/>
            </w:pPr>
            <w:r w:rsidRPr="00554FE3">
              <w:t>dB</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ABCEC"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7E5B43"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7FF5A6"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FFD91D" w14:textId="77777777" w:rsidR="00C451CC" w:rsidRPr="00C451CC" w:rsidRDefault="00C451CC" w:rsidP="00C451CC">
            <w:pPr>
              <w:pStyle w:val="Standardrechts"/>
            </w:pPr>
          </w:p>
        </w:tc>
      </w:tr>
      <w:tr w:rsidR="00C451CC" w14:paraId="33A923AF" w14:textId="77777777" w:rsidTr="00C451C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2D694231" w14:textId="77777777" w:rsidR="00C451CC" w:rsidRPr="00C451CC" w:rsidRDefault="00C451CC" w:rsidP="00C451CC">
            <w:pPr>
              <w:pStyle w:val="StandardFett"/>
            </w:pPr>
            <w:r w:rsidRPr="00C451CC">
              <w:t>Rangfolge absoluter dB</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D1C6E"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D87E82"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79ECD6"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7F9CA4" w14:textId="77777777" w:rsidR="00C451CC" w:rsidRPr="00C451CC" w:rsidRDefault="00C451CC" w:rsidP="00C451CC">
            <w:pPr>
              <w:pStyle w:val="Standardrechts"/>
            </w:pPr>
          </w:p>
        </w:tc>
      </w:tr>
    </w:tbl>
    <w:p w14:paraId="727A501C" w14:textId="77777777" w:rsidR="00C451CC" w:rsidRPr="00C451CC" w:rsidRDefault="00C451CC" w:rsidP="00C451CC"/>
    <w:p w14:paraId="17A895DF" w14:textId="7B74E402" w:rsidR="00064EC6" w:rsidRDefault="00064EC6" w:rsidP="00064EC6">
      <w:pPr>
        <w:pStyle w:val="berschrift1"/>
      </w:pPr>
      <w:r>
        <w:t>Material </w:t>
      </w:r>
      <w:r w:rsidRPr="00554FE3">
        <w:t>M6</w:t>
      </w:r>
    </w:p>
    <w:tbl>
      <w:tblPr>
        <w:tblW w:w="9072"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1701"/>
        <w:gridCol w:w="1701"/>
        <w:gridCol w:w="1701"/>
        <w:gridCol w:w="1701"/>
      </w:tblGrid>
      <w:tr w:rsidR="00C451CC" w:rsidRPr="00C451CC" w14:paraId="27AF7D42" w14:textId="77777777" w:rsidTr="00564053">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6AC3FCC1" w14:textId="77777777" w:rsidR="00C451CC" w:rsidRPr="00C451CC" w:rsidRDefault="00C451CC" w:rsidP="00564053">
            <w:pPr>
              <w:pStyle w:val="StandardFett"/>
              <w:jc w:val="left"/>
            </w:pPr>
            <w:r w:rsidRPr="00C451CC">
              <w:t>Kugellager</w:t>
            </w:r>
          </w:p>
        </w:tc>
        <w:tc>
          <w:tcPr>
            <w:tcW w:w="170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7BC47324" w14:textId="77777777" w:rsidR="00C451CC" w:rsidRPr="00C451CC" w:rsidRDefault="00C451CC" w:rsidP="00564053">
            <w:pPr>
              <w:pStyle w:val="StandardFettzentriert"/>
            </w:pPr>
            <w:r w:rsidRPr="00C451CC">
              <w:t>I</w:t>
            </w:r>
          </w:p>
        </w:tc>
        <w:tc>
          <w:tcPr>
            <w:tcW w:w="1701" w:type="dxa"/>
            <w:tcBorders>
              <w:top w:val="single" w:sz="4" w:space="0" w:color="auto"/>
              <w:left w:val="single" w:sz="4" w:space="0" w:color="auto"/>
              <w:bottom w:val="single" w:sz="4" w:space="0" w:color="auto"/>
              <w:right w:val="single" w:sz="4" w:space="0" w:color="auto"/>
            </w:tcBorders>
            <w:shd w:val="clear" w:color="auto" w:fill="FFFF99"/>
            <w:vAlign w:val="center"/>
          </w:tcPr>
          <w:p w14:paraId="3A823606" w14:textId="77777777" w:rsidR="00C451CC" w:rsidRPr="00C451CC" w:rsidRDefault="00C451CC" w:rsidP="00564053">
            <w:pPr>
              <w:pStyle w:val="StandardFettzentriert"/>
            </w:pPr>
            <w:r w:rsidRPr="00C451CC">
              <w:t>II</w:t>
            </w:r>
          </w:p>
        </w:tc>
        <w:tc>
          <w:tcPr>
            <w:tcW w:w="1701" w:type="dxa"/>
            <w:tcBorders>
              <w:top w:val="single" w:sz="4" w:space="0" w:color="auto"/>
              <w:left w:val="single" w:sz="4" w:space="0" w:color="auto"/>
              <w:bottom w:val="single" w:sz="4" w:space="0" w:color="auto"/>
              <w:right w:val="single" w:sz="4" w:space="0" w:color="auto"/>
            </w:tcBorders>
            <w:shd w:val="clear" w:color="auto" w:fill="FFFF99"/>
            <w:vAlign w:val="center"/>
          </w:tcPr>
          <w:p w14:paraId="305F4718" w14:textId="77777777" w:rsidR="00C451CC" w:rsidRPr="00C451CC" w:rsidRDefault="00C451CC" w:rsidP="00564053">
            <w:pPr>
              <w:pStyle w:val="StandardFettzentriert"/>
            </w:pPr>
            <w:r w:rsidRPr="00C451CC">
              <w:t>III</w:t>
            </w:r>
          </w:p>
        </w:tc>
        <w:tc>
          <w:tcPr>
            <w:tcW w:w="1701" w:type="dxa"/>
            <w:tcBorders>
              <w:top w:val="single" w:sz="4" w:space="0" w:color="auto"/>
              <w:left w:val="single" w:sz="4" w:space="0" w:color="auto"/>
              <w:bottom w:val="single" w:sz="4" w:space="0" w:color="auto"/>
              <w:right w:val="single" w:sz="4" w:space="0" w:color="auto"/>
            </w:tcBorders>
            <w:shd w:val="clear" w:color="auto" w:fill="FFFF99"/>
            <w:vAlign w:val="center"/>
          </w:tcPr>
          <w:p w14:paraId="52371F10" w14:textId="77777777" w:rsidR="00C451CC" w:rsidRPr="00C451CC" w:rsidRDefault="00C451CC" w:rsidP="00564053">
            <w:pPr>
              <w:pStyle w:val="StandardFettzentriert"/>
            </w:pPr>
            <w:r w:rsidRPr="00C451CC">
              <w:t>IV</w:t>
            </w:r>
          </w:p>
        </w:tc>
      </w:tr>
      <w:tr w:rsidR="00C451CC" w:rsidRPr="00C451CC" w14:paraId="7D0B6F6E" w14:textId="77777777" w:rsidTr="00C451CC">
        <w:trPr>
          <w:trHeight w:val="85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12651BA8" w14:textId="1EB0C9B8" w:rsidR="00C451CC" w:rsidRPr="00C451CC" w:rsidRDefault="00C451CC" w:rsidP="00C451CC">
            <w:pPr>
              <w:pStyle w:val="StandardFett"/>
              <w:jc w:val="left"/>
              <w:rPr>
                <w:bCs/>
              </w:rPr>
            </w:pPr>
            <w:r w:rsidRPr="00C451CC">
              <w:rPr>
                <w:bCs/>
              </w:rPr>
              <w:t>Absetzbare Menge</w:t>
            </w:r>
            <w:r w:rsidRPr="00C451CC">
              <w:rPr>
                <w:bCs/>
              </w:rPr>
              <w:br/>
              <w:t>in Stück</w:t>
            </w:r>
          </w:p>
        </w:tc>
        <w:tc>
          <w:tcPr>
            <w:tcW w:w="1701" w:type="dxa"/>
            <w:tcBorders>
              <w:top w:val="single" w:sz="4" w:space="0" w:color="auto"/>
              <w:left w:val="single" w:sz="4" w:space="0" w:color="auto"/>
              <w:bottom w:val="single" w:sz="4" w:space="0" w:color="auto"/>
              <w:right w:val="single" w:sz="4" w:space="0" w:color="auto"/>
            </w:tcBorders>
            <w:noWrap/>
            <w:vAlign w:val="center"/>
          </w:tcPr>
          <w:p w14:paraId="4BE2A4DE" w14:textId="2C984CD8" w:rsidR="00C451CC" w:rsidRPr="00C451CC" w:rsidRDefault="00C451CC" w:rsidP="00C451CC">
            <w:pPr>
              <w:pStyle w:val="Standardrechts"/>
            </w:pPr>
            <w:r>
              <w:t>2.000</w:t>
            </w:r>
          </w:p>
        </w:tc>
        <w:tc>
          <w:tcPr>
            <w:tcW w:w="1701" w:type="dxa"/>
            <w:tcBorders>
              <w:top w:val="single" w:sz="4" w:space="0" w:color="auto"/>
              <w:left w:val="single" w:sz="4" w:space="0" w:color="auto"/>
              <w:bottom w:val="single" w:sz="4" w:space="0" w:color="auto"/>
              <w:right w:val="single" w:sz="4" w:space="0" w:color="auto"/>
            </w:tcBorders>
            <w:vAlign w:val="center"/>
          </w:tcPr>
          <w:p w14:paraId="50DBB243" w14:textId="547ADAED" w:rsidR="00C451CC" w:rsidRPr="00C451CC" w:rsidRDefault="00C451CC" w:rsidP="00C451CC">
            <w:pPr>
              <w:pStyle w:val="Standardrechts"/>
            </w:pPr>
            <w:r>
              <w:t>3.000</w:t>
            </w:r>
          </w:p>
        </w:tc>
        <w:tc>
          <w:tcPr>
            <w:tcW w:w="1701" w:type="dxa"/>
            <w:tcBorders>
              <w:top w:val="single" w:sz="4" w:space="0" w:color="auto"/>
              <w:left w:val="single" w:sz="4" w:space="0" w:color="auto"/>
              <w:bottom w:val="single" w:sz="4" w:space="0" w:color="auto"/>
              <w:right w:val="single" w:sz="4" w:space="0" w:color="auto"/>
            </w:tcBorders>
            <w:vAlign w:val="center"/>
          </w:tcPr>
          <w:p w14:paraId="17529779" w14:textId="5AC35025" w:rsidR="00C451CC" w:rsidRPr="00C451CC" w:rsidRDefault="00C451CC" w:rsidP="00C451CC">
            <w:pPr>
              <w:pStyle w:val="Standardrechts"/>
            </w:pPr>
            <w:r>
              <w:t>5.000</w:t>
            </w:r>
          </w:p>
        </w:tc>
        <w:tc>
          <w:tcPr>
            <w:tcW w:w="1701" w:type="dxa"/>
            <w:tcBorders>
              <w:top w:val="single" w:sz="4" w:space="0" w:color="auto"/>
              <w:left w:val="single" w:sz="4" w:space="0" w:color="auto"/>
              <w:bottom w:val="single" w:sz="4" w:space="0" w:color="auto"/>
              <w:right w:val="single" w:sz="4" w:space="0" w:color="auto"/>
            </w:tcBorders>
            <w:vAlign w:val="center"/>
          </w:tcPr>
          <w:p w14:paraId="5689BC58" w14:textId="55166FD2" w:rsidR="00C451CC" w:rsidRPr="00C451CC" w:rsidRDefault="00C451CC" w:rsidP="00C451CC">
            <w:pPr>
              <w:pStyle w:val="Standardrechts"/>
            </w:pPr>
            <w:r>
              <w:t>4.000</w:t>
            </w:r>
          </w:p>
        </w:tc>
      </w:tr>
      <w:tr w:rsidR="00C451CC" w:rsidRPr="00C451CC" w14:paraId="0DED2E29" w14:textId="77777777" w:rsidTr="00C451CC">
        <w:trPr>
          <w:trHeight w:val="85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3ABECBA4" w14:textId="0C2E0277" w:rsidR="00C451CC" w:rsidRPr="00C451CC" w:rsidRDefault="00C451CC" w:rsidP="00C451CC">
            <w:pPr>
              <w:pStyle w:val="StandardFett"/>
              <w:jc w:val="left"/>
              <w:rPr>
                <w:bCs/>
              </w:rPr>
            </w:pPr>
            <w:r w:rsidRPr="00C451CC">
              <w:rPr>
                <w:bCs/>
              </w:rPr>
              <w:t>Bearbeitungszeit</w:t>
            </w:r>
            <w:r>
              <w:rPr>
                <w:bCs/>
              </w:rPr>
              <w:br/>
            </w:r>
            <w:r w:rsidRPr="00C451CC">
              <w:rPr>
                <w:bCs/>
              </w:rPr>
              <w:t>in Minuten / Stück</w:t>
            </w:r>
          </w:p>
        </w:tc>
        <w:tc>
          <w:tcPr>
            <w:tcW w:w="1701" w:type="dxa"/>
            <w:tcBorders>
              <w:top w:val="single" w:sz="4" w:space="0" w:color="auto"/>
              <w:left w:val="single" w:sz="4" w:space="0" w:color="auto"/>
              <w:bottom w:val="single" w:sz="4" w:space="0" w:color="auto"/>
              <w:right w:val="single" w:sz="4" w:space="0" w:color="auto"/>
            </w:tcBorders>
            <w:noWrap/>
            <w:vAlign w:val="center"/>
          </w:tcPr>
          <w:p w14:paraId="44973602" w14:textId="493C3207" w:rsidR="00C451CC" w:rsidRPr="00C451CC" w:rsidRDefault="00C451CC" w:rsidP="00C451CC">
            <w:pPr>
              <w:pStyle w:val="Standardrechts"/>
            </w:pPr>
            <w:r>
              <w:t>1,5</w:t>
            </w:r>
          </w:p>
        </w:tc>
        <w:tc>
          <w:tcPr>
            <w:tcW w:w="1701" w:type="dxa"/>
            <w:tcBorders>
              <w:top w:val="single" w:sz="4" w:space="0" w:color="auto"/>
              <w:left w:val="single" w:sz="4" w:space="0" w:color="auto"/>
              <w:bottom w:val="single" w:sz="4" w:space="0" w:color="auto"/>
              <w:right w:val="single" w:sz="4" w:space="0" w:color="auto"/>
            </w:tcBorders>
            <w:vAlign w:val="center"/>
          </w:tcPr>
          <w:p w14:paraId="77FFC5FC" w14:textId="082A4E47" w:rsidR="00C451CC" w:rsidRPr="00C451CC" w:rsidRDefault="00C451CC" w:rsidP="00C451CC">
            <w:pPr>
              <w:pStyle w:val="Standardrechts"/>
            </w:pPr>
            <w:r>
              <w:t>2</w:t>
            </w:r>
          </w:p>
        </w:tc>
        <w:tc>
          <w:tcPr>
            <w:tcW w:w="1701" w:type="dxa"/>
            <w:tcBorders>
              <w:top w:val="single" w:sz="4" w:space="0" w:color="auto"/>
              <w:left w:val="single" w:sz="4" w:space="0" w:color="auto"/>
              <w:bottom w:val="single" w:sz="4" w:space="0" w:color="auto"/>
              <w:right w:val="single" w:sz="4" w:space="0" w:color="auto"/>
            </w:tcBorders>
            <w:vAlign w:val="center"/>
          </w:tcPr>
          <w:p w14:paraId="2A5B5DE4" w14:textId="24172047" w:rsidR="00C451CC" w:rsidRPr="00C451CC" w:rsidRDefault="00C451CC" w:rsidP="00C451CC">
            <w:pPr>
              <w:pStyle w:val="Standardrechts"/>
            </w:pPr>
            <w:r>
              <w:t>0,5</w:t>
            </w:r>
          </w:p>
        </w:tc>
        <w:tc>
          <w:tcPr>
            <w:tcW w:w="1701" w:type="dxa"/>
            <w:tcBorders>
              <w:top w:val="single" w:sz="4" w:space="0" w:color="auto"/>
              <w:left w:val="single" w:sz="4" w:space="0" w:color="auto"/>
              <w:bottom w:val="single" w:sz="4" w:space="0" w:color="auto"/>
              <w:right w:val="single" w:sz="4" w:space="0" w:color="auto"/>
            </w:tcBorders>
            <w:vAlign w:val="center"/>
          </w:tcPr>
          <w:p w14:paraId="0E2DCBB9" w14:textId="595BB21B" w:rsidR="00C451CC" w:rsidRPr="00C451CC" w:rsidRDefault="00C451CC" w:rsidP="00C451CC">
            <w:pPr>
              <w:pStyle w:val="Standardrechts"/>
            </w:pPr>
            <w:r>
              <w:t>2,5</w:t>
            </w:r>
          </w:p>
        </w:tc>
      </w:tr>
      <w:tr w:rsidR="00C451CC" w:rsidRPr="00C451CC" w14:paraId="3F124182" w14:textId="77777777" w:rsidTr="00C451CC">
        <w:trPr>
          <w:trHeight w:val="85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5F1085FA" w14:textId="6243B194" w:rsidR="00C451CC" w:rsidRPr="00C451CC" w:rsidRDefault="00BB0FAF" w:rsidP="00C451CC">
            <w:pPr>
              <w:pStyle w:val="StandardFett"/>
              <w:jc w:val="left"/>
              <w:rPr>
                <w:bCs/>
              </w:rPr>
            </w:pPr>
            <w:r>
              <w:rPr>
                <w:bCs/>
              </w:rPr>
              <w:t>überprüfbare</w:t>
            </w:r>
            <w:r w:rsidR="00C451CC">
              <w:rPr>
                <w:bCs/>
              </w:rPr>
              <w:br/>
              <w:t xml:space="preserve">in Stück </w:t>
            </w:r>
            <w:r w:rsidR="00C451CC" w:rsidRPr="00C451CC">
              <w:rPr>
                <w:bCs/>
              </w:rPr>
              <w:t xml:space="preserve">/ </w:t>
            </w:r>
            <w:r w:rsidR="00C451CC" w:rsidRPr="00554FE3">
              <w:rPr>
                <w:bCs/>
              </w:rPr>
              <w:t>Std</w:t>
            </w:r>
          </w:p>
        </w:tc>
        <w:tc>
          <w:tcPr>
            <w:tcW w:w="1701" w:type="dxa"/>
            <w:tcBorders>
              <w:top w:val="single" w:sz="4" w:space="0" w:color="auto"/>
              <w:left w:val="single" w:sz="4" w:space="0" w:color="auto"/>
              <w:bottom w:val="single" w:sz="4" w:space="0" w:color="auto"/>
              <w:right w:val="single" w:sz="4" w:space="0" w:color="auto"/>
            </w:tcBorders>
            <w:noWrap/>
            <w:vAlign w:val="center"/>
          </w:tcPr>
          <w:p w14:paraId="17F0B2AC" w14:textId="65428268"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080324B7" w14:textId="4391A9B2"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7BA424BE" w14:textId="4627EA4E"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632289ED" w14:textId="0454879C" w:rsidR="00C451CC" w:rsidRPr="00C451CC" w:rsidRDefault="00C451CC" w:rsidP="00C451CC">
            <w:pPr>
              <w:pStyle w:val="Standardrechts"/>
            </w:pPr>
          </w:p>
        </w:tc>
      </w:tr>
      <w:tr w:rsidR="00C451CC" w:rsidRPr="00C451CC" w14:paraId="20BDB0B4" w14:textId="77777777" w:rsidTr="00C451CC">
        <w:trPr>
          <w:trHeight w:val="85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49FD430E" w14:textId="77777777" w:rsidR="00C451CC" w:rsidRDefault="00C451CC" w:rsidP="00C451CC">
            <w:pPr>
              <w:pStyle w:val="StandardFett"/>
              <w:jc w:val="left"/>
              <w:rPr>
                <w:bCs/>
              </w:rPr>
            </w:pPr>
            <w:r w:rsidRPr="00554FE3">
              <w:rPr>
                <w:bCs/>
              </w:rPr>
              <w:t>relativer</w:t>
            </w:r>
            <w:r w:rsidRPr="00C451CC">
              <w:rPr>
                <w:bCs/>
              </w:rPr>
              <w:t xml:space="preserve"> dB</w:t>
            </w:r>
          </w:p>
          <w:p w14:paraId="3A67EE18" w14:textId="1861DD90" w:rsidR="00C451CC" w:rsidRPr="00C451CC" w:rsidRDefault="00C451CC" w:rsidP="00C451CC">
            <w:pPr>
              <w:pStyle w:val="StandardFett"/>
              <w:jc w:val="left"/>
              <w:rPr>
                <w:bCs/>
              </w:rPr>
            </w:pPr>
            <w:r w:rsidRPr="00554FE3">
              <w:rPr>
                <w:bCs/>
              </w:rPr>
              <w:t>in</w:t>
            </w:r>
            <w:r>
              <w:rPr>
                <w:bCs/>
              </w:rPr>
              <w:t xml:space="preserve"> dB</w:t>
            </w:r>
            <w:r w:rsidRPr="00C451CC">
              <w:rPr>
                <w:bCs/>
              </w:rPr>
              <w:t xml:space="preserve"> / </w:t>
            </w:r>
            <w:r w:rsidRPr="00554FE3">
              <w:rPr>
                <w:bCs/>
              </w:rPr>
              <w:t>Std</w:t>
            </w:r>
          </w:p>
        </w:tc>
        <w:tc>
          <w:tcPr>
            <w:tcW w:w="1701" w:type="dxa"/>
            <w:tcBorders>
              <w:top w:val="single" w:sz="4" w:space="0" w:color="auto"/>
              <w:left w:val="single" w:sz="4" w:space="0" w:color="auto"/>
              <w:bottom w:val="single" w:sz="4" w:space="0" w:color="auto"/>
              <w:right w:val="single" w:sz="4" w:space="0" w:color="auto"/>
            </w:tcBorders>
            <w:noWrap/>
            <w:vAlign w:val="center"/>
          </w:tcPr>
          <w:p w14:paraId="4025EEB4" w14:textId="553F041C"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0A433D05" w14:textId="6D8D88ED"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5088A32F" w14:textId="69CAD55F"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24E92F06" w14:textId="25687F4C" w:rsidR="00C451CC" w:rsidRPr="00C451CC" w:rsidRDefault="00C451CC" w:rsidP="00C451CC">
            <w:pPr>
              <w:pStyle w:val="Standardrechts"/>
            </w:pPr>
          </w:p>
        </w:tc>
      </w:tr>
      <w:tr w:rsidR="00C451CC" w:rsidRPr="00C451CC" w14:paraId="60D6C0C6" w14:textId="77777777" w:rsidTr="00C451CC">
        <w:trPr>
          <w:trHeight w:val="850"/>
        </w:trPr>
        <w:tc>
          <w:tcPr>
            <w:tcW w:w="2268" w:type="dxa"/>
            <w:tcBorders>
              <w:top w:val="single" w:sz="4" w:space="0" w:color="auto"/>
              <w:left w:val="single" w:sz="4" w:space="0" w:color="auto"/>
              <w:bottom w:val="single" w:sz="4" w:space="0" w:color="auto"/>
              <w:right w:val="single" w:sz="4" w:space="0" w:color="auto"/>
            </w:tcBorders>
            <w:shd w:val="clear" w:color="auto" w:fill="FFFF99"/>
            <w:vAlign w:val="center"/>
          </w:tcPr>
          <w:p w14:paraId="2830B3B9" w14:textId="4C458CF3" w:rsidR="00C451CC" w:rsidRPr="00C451CC" w:rsidRDefault="00C451CC" w:rsidP="00C451CC">
            <w:pPr>
              <w:pStyle w:val="StandardFett"/>
              <w:jc w:val="left"/>
              <w:rPr>
                <w:bCs/>
              </w:rPr>
            </w:pPr>
            <w:r w:rsidRPr="00C451CC">
              <w:rPr>
                <w:bCs/>
              </w:rPr>
              <w:t>Rangfolge relativer dB</w:t>
            </w:r>
          </w:p>
        </w:tc>
        <w:tc>
          <w:tcPr>
            <w:tcW w:w="1701" w:type="dxa"/>
            <w:tcBorders>
              <w:top w:val="single" w:sz="4" w:space="0" w:color="auto"/>
              <w:left w:val="single" w:sz="4" w:space="0" w:color="auto"/>
              <w:bottom w:val="single" w:sz="4" w:space="0" w:color="auto"/>
              <w:right w:val="single" w:sz="4" w:space="0" w:color="auto"/>
            </w:tcBorders>
            <w:noWrap/>
            <w:vAlign w:val="center"/>
          </w:tcPr>
          <w:p w14:paraId="6F6B7AE0"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0955C5D6"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3A9349EE" w14:textId="77777777" w:rsidR="00C451CC" w:rsidRPr="00C451CC" w:rsidRDefault="00C451CC" w:rsidP="00C451CC">
            <w:pPr>
              <w:pStyle w:val="Standardrechts"/>
            </w:pPr>
          </w:p>
        </w:tc>
        <w:tc>
          <w:tcPr>
            <w:tcW w:w="1701" w:type="dxa"/>
            <w:tcBorders>
              <w:top w:val="single" w:sz="4" w:space="0" w:color="auto"/>
              <w:left w:val="single" w:sz="4" w:space="0" w:color="auto"/>
              <w:bottom w:val="single" w:sz="4" w:space="0" w:color="auto"/>
              <w:right w:val="single" w:sz="4" w:space="0" w:color="auto"/>
            </w:tcBorders>
            <w:vAlign w:val="center"/>
          </w:tcPr>
          <w:p w14:paraId="3F88093A" w14:textId="77777777" w:rsidR="00C451CC" w:rsidRPr="00C451CC" w:rsidRDefault="00C451CC" w:rsidP="00C451CC">
            <w:pPr>
              <w:pStyle w:val="Standardrechts"/>
            </w:pPr>
          </w:p>
        </w:tc>
      </w:tr>
    </w:tbl>
    <w:p w14:paraId="4E5C1CE2" w14:textId="77777777" w:rsidR="00C451CC" w:rsidRPr="00C451CC" w:rsidRDefault="00C451CC" w:rsidP="00C451CC"/>
    <w:p w14:paraId="3ACE4077" w14:textId="77777777" w:rsidR="00C451CC" w:rsidRDefault="00C451CC">
      <w:pPr>
        <w:spacing w:before="0" w:after="0"/>
        <w:jc w:val="left"/>
        <w:rPr>
          <w:b/>
          <w:bCs/>
          <w:sz w:val="26"/>
        </w:rPr>
      </w:pPr>
      <w:r>
        <w:br w:type="page"/>
      </w:r>
    </w:p>
    <w:p w14:paraId="398A4E79" w14:textId="1AF4C24A" w:rsidR="00064EC6" w:rsidRDefault="00064EC6" w:rsidP="00064EC6">
      <w:pPr>
        <w:pStyle w:val="berschrift1"/>
      </w:pPr>
      <w:r>
        <w:lastRenderedPageBreak/>
        <w:t>Material </w:t>
      </w:r>
      <w:r w:rsidRPr="00554FE3">
        <w:t>M7</w:t>
      </w: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1134"/>
        <w:gridCol w:w="1134"/>
        <w:gridCol w:w="1134"/>
        <w:gridCol w:w="1134"/>
        <w:gridCol w:w="1134"/>
        <w:gridCol w:w="1134"/>
        <w:gridCol w:w="1134"/>
      </w:tblGrid>
      <w:tr w:rsidR="00C451CC" w14:paraId="18D46FA9" w14:textId="77777777" w:rsidTr="00C451CC">
        <w:trPr>
          <w:trHeight w:val="454"/>
        </w:trPr>
        <w:tc>
          <w:tcPr>
            <w:tcW w:w="1764" w:type="dxa"/>
            <w:tcBorders>
              <w:top w:val="single" w:sz="4" w:space="0" w:color="auto"/>
              <w:left w:val="single" w:sz="4" w:space="0" w:color="auto"/>
              <w:bottom w:val="nil"/>
              <w:right w:val="single" w:sz="4" w:space="0" w:color="auto"/>
            </w:tcBorders>
            <w:shd w:val="clear" w:color="auto" w:fill="FFFF99"/>
          </w:tcPr>
          <w:p w14:paraId="36FC4D55" w14:textId="77777777" w:rsidR="00C451CC" w:rsidRPr="00C451CC" w:rsidRDefault="00C451CC" w:rsidP="00C451CC"/>
        </w:tc>
        <w:tc>
          <w:tcPr>
            <w:tcW w:w="1134" w:type="dxa"/>
            <w:tcBorders>
              <w:top w:val="single" w:sz="4" w:space="0" w:color="auto"/>
              <w:left w:val="single" w:sz="4" w:space="0" w:color="auto"/>
              <w:bottom w:val="nil"/>
              <w:right w:val="single" w:sz="4" w:space="0" w:color="auto"/>
            </w:tcBorders>
            <w:shd w:val="clear" w:color="auto" w:fill="FFFF99"/>
            <w:hideMark/>
          </w:tcPr>
          <w:p w14:paraId="082F7E57" w14:textId="45D06806" w:rsidR="00C451CC" w:rsidRPr="00BE6095" w:rsidRDefault="00C451CC" w:rsidP="00C451CC">
            <w:pPr>
              <w:rPr>
                <w:sz w:val="20"/>
                <w:szCs w:val="20"/>
              </w:rPr>
            </w:pPr>
            <w:r w:rsidRPr="00554FE3">
              <w:rPr>
                <w:sz w:val="20"/>
                <w:szCs w:val="20"/>
              </w:rPr>
              <w:t>noch</w:t>
            </w:r>
            <w:r w:rsidRPr="00BE6095">
              <w:rPr>
                <w:sz w:val="20"/>
                <w:szCs w:val="20"/>
              </w:rPr>
              <w:t xml:space="preserve"> offener Bedarf</w:t>
            </w:r>
          </w:p>
        </w:tc>
        <w:tc>
          <w:tcPr>
            <w:tcW w:w="1134" w:type="dxa"/>
            <w:tcBorders>
              <w:top w:val="single" w:sz="4" w:space="0" w:color="auto"/>
              <w:left w:val="single" w:sz="4" w:space="0" w:color="auto"/>
              <w:bottom w:val="nil"/>
              <w:right w:val="single" w:sz="4" w:space="0" w:color="auto"/>
            </w:tcBorders>
            <w:shd w:val="clear" w:color="auto" w:fill="FFFF99"/>
            <w:hideMark/>
          </w:tcPr>
          <w:p w14:paraId="210E7585" w14:textId="3C7D95F1" w:rsidR="00C451CC" w:rsidRPr="00BE6095" w:rsidRDefault="00C451CC" w:rsidP="00C451CC">
            <w:pPr>
              <w:rPr>
                <w:sz w:val="20"/>
                <w:szCs w:val="20"/>
              </w:rPr>
            </w:pPr>
            <w:r w:rsidRPr="00BE6095">
              <w:rPr>
                <w:sz w:val="20"/>
                <w:szCs w:val="20"/>
              </w:rPr>
              <w:t xml:space="preserve">Dafür benötigte </w:t>
            </w:r>
            <w:r w:rsidRPr="00554FE3">
              <w:rPr>
                <w:sz w:val="20"/>
                <w:szCs w:val="20"/>
              </w:rPr>
              <w:t>Kapazität</w:t>
            </w:r>
          </w:p>
        </w:tc>
        <w:tc>
          <w:tcPr>
            <w:tcW w:w="1134" w:type="dxa"/>
            <w:tcBorders>
              <w:top w:val="single" w:sz="4" w:space="0" w:color="auto"/>
              <w:left w:val="single" w:sz="4" w:space="0" w:color="auto"/>
              <w:bottom w:val="nil"/>
              <w:right w:val="single" w:sz="4" w:space="0" w:color="auto"/>
            </w:tcBorders>
            <w:shd w:val="clear" w:color="auto" w:fill="FFFF99"/>
            <w:hideMark/>
          </w:tcPr>
          <w:p w14:paraId="42BF45B5" w14:textId="1EFCDF17" w:rsidR="00C451CC" w:rsidRPr="00BE6095" w:rsidRDefault="00C451CC" w:rsidP="00C451CC">
            <w:pPr>
              <w:rPr>
                <w:sz w:val="20"/>
                <w:szCs w:val="20"/>
              </w:rPr>
            </w:pPr>
            <w:r w:rsidRPr="00BE6095">
              <w:rPr>
                <w:sz w:val="20"/>
                <w:szCs w:val="20"/>
              </w:rPr>
              <w:t>Noch vorhandene Kapazität</w:t>
            </w:r>
          </w:p>
        </w:tc>
        <w:tc>
          <w:tcPr>
            <w:tcW w:w="1134" w:type="dxa"/>
            <w:tcBorders>
              <w:top w:val="single" w:sz="4" w:space="0" w:color="auto"/>
              <w:left w:val="single" w:sz="4" w:space="0" w:color="auto"/>
              <w:bottom w:val="nil"/>
              <w:right w:val="single" w:sz="4" w:space="0" w:color="auto"/>
            </w:tcBorders>
            <w:shd w:val="clear" w:color="auto" w:fill="FFFF99"/>
          </w:tcPr>
          <w:p w14:paraId="03387E50" w14:textId="40790E38" w:rsidR="00C451CC" w:rsidRPr="00BE6095" w:rsidRDefault="00C451CC" w:rsidP="00C451CC">
            <w:pPr>
              <w:rPr>
                <w:sz w:val="20"/>
                <w:szCs w:val="20"/>
              </w:rPr>
            </w:pPr>
            <w:r w:rsidRPr="00BE6095">
              <w:rPr>
                <w:sz w:val="20"/>
                <w:szCs w:val="20"/>
              </w:rPr>
              <w:t xml:space="preserve">Produzierte </w:t>
            </w:r>
            <w:r w:rsidRPr="00554FE3">
              <w:rPr>
                <w:sz w:val="20"/>
                <w:szCs w:val="20"/>
              </w:rPr>
              <w:t>Menge</w:t>
            </w:r>
          </w:p>
        </w:tc>
        <w:tc>
          <w:tcPr>
            <w:tcW w:w="1134" w:type="dxa"/>
            <w:tcBorders>
              <w:top w:val="single" w:sz="4" w:space="0" w:color="auto"/>
              <w:left w:val="single" w:sz="4" w:space="0" w:color="auto"/>
              <w:bottom w:val="nil"/>
              <w:right w:val="single" w:sz="4" w:space="0" w:color="auto"/>
            </w:tcBorders>
            <w:shd w:val="clear" w:color="auto" w:fill="FFFF99"/>
            <w:hideMark/>
          </w:tcPr>
          <w:p w14:paraId="5D076D62" w14:textId="56D7CF75" w:rsidR="00C451CC" w:rsidRPr="00BE6095" w:rsidRDefault="00C451CC" w:rsidP="00C451CC">
            <w:pPr>
              <w:rPr>
                <w:sz w:val="20"/>
                <w:szCs w:val="20"/>
              </w:rPr>
            </w:pPr>
            <w:r w:rsidRPr="00554FE3">
              <w:rPr>
                <w:sz w:val="20"/>
                <w:szCs w:val="20"/>
              </w:rPr>
              <w:t>dB</w:t>
            </w:r>
            <w:r w:rsidRPr="00BE6095">
              <w:rPr>
                <w:sz w:val="20"/>
                <w:szCs w:val="20"/>
              </w:rPr>
              <w:br/>
              <w:t>(Stück *</w:t>
            </w:r>
            <w:r w:rsidR="00BE6095">
              <w:rPr>
                <w:sz w:val="20"/>
                <w:szCs w:val="20"/>
              </w:rPr>
              <w:t xml:space="preserve"> </w:t>
            </w:r>
            <w:r w:rsidRPr="00554FE3">
              <w:rPr>
                <w:sz w:val="20"/>
                <w:szCs w:val="20"/>
              </w:rPr>
              <w:t>abs</w:t>
            </w:r>
            <w:r w:rsidRPr="00BE6095">
              <w:rPr>
                <w:sz w:val="20"/>
                <w:szCs w:val="20"/>
              </w:rPr>
              <w:t xml:space="preserve"> dB)</w:t>
            </w:r>
          </w:p>
        </w:tc>
        <w:tc>
          <w:tcPr>
            <w:tcW w:w="1134" w:type="dxa"/>
            <w:tcBorders>
              <w:top w:val="single" w:sz="4" w:space="0" w:color="auto"/>
              <w:left w:val="single" w:sz="4" w:space="0" w:color="auto"/>
              <w:bottom w:val="nil"/>
              <w:right w:val="single" w:sz="4" w:space="0" w:color="auto"/>
            </w:tcBorders>
            <w:shd w:val="clear" w:color="auto" w:fill="FFFF99"/>
            <w:hideMark/>
          </w:tcPr>
          <w:p w14:paraId="00FC2059" w14:textId="77777777" w:rsidR="00C451CC" w:rsidRPr="00BE6095" w:rsidRDefault="00C451CC" w:rsidP="00C451CC">
            <w:pPr>
              <w:rPr>
                <w:sz w:val="20"/>
                <w:szCs w:val="20"/>
              </w:rPr>
            </w:pPr>
            <w:r w:rsidRPr="00554FE3">
              <w:rPr>
                <w:sz w:val="20"/>
                <w:szCs w:val="20"/>
              </w:rPr>
              <w:t>nicht</w:t>
            </w:r>
            <w:r w:rsidRPr="00BE6095">
              <w:rPr>
                <w:sz w:val="20"/>
                <w:szCs w:val="20"/>
              </w:rPr>
              <w:t xml:space="preserve"> produzierte </w:t>
            </w:r>
            <w:r w:rsidRPr="00554FE3">
              <w:rPr>
                <w:sz w:val="20"/>
                <w:szCs w:val="20"/>
              </w:rPr>
              <w:t>Stück</w:t>
            </w:r>
          </w:p>
        </w:tc>
        <w:tc>
          <w:tcPr>
            <w:tcW w:w="1134" w:type="dxa"/>
            <w:tcBorders>
              <w:top w:val="single" w:sz="4" w:space="0" w:color="auto"/>
              <w:left w:val="single" w:sz="4" w:space="0" w:color="auto"/>
              <w:bottom w:val="nil"/>
              <w:right w:val="single" w:sz="4" w:space="0" w:color="auto"/>
            </w:tcBorders>
            <w:shd w:val="clear" w:color="auto" w:fill="FFFF99"/>
            <w:hideMark/>
          </w:tcPr>
          <w:p w14:paraId="63719E58" w14:textId="40BA5689" w:rsidR="00C451CC" w:rsidRPr="00BE6095" w:rsidRDefault="00C451CC" w:rsidP="00C451CC">
            <w:pPr>
              <w:rPr>
                <w:sz w:val="20"/>
                <w:szCs w:val="20"/>
              </w:rPr>
            </w:pPr>
            <w:r w:rsidRPr="00554FE3">
              <w:rPr>
                <w:sz w:val="20"/>
                <w:szCs w:val="20"/>
              </w:rPr>
              <w:t>entgangener</w:t>
            </w:r>
            <w:r w:rsidRPr="00BE6095">
              <w:rPr>
                <w:sz w:val="20"/>
                <w:szCs w:val="20"/>
              </w:rPr>
              <w:t xml:space="preserve"> DB</w:t>
            </w:r>
          </w:p>
        </w:tc>
      </w:tr>
      <w:tr w:rsidR="00C451CC" w14:paraId="1023817D" w14:textId="77777777" w:rsidTr="00C451CC">
        <w:trPr>
          <w:trHeight w:val="454"/>
        </w:trPr>
        <w:tc>
          <w:tcPr>
            <w:tcW w:w="1764" w:type="dxa"/>
            <w:tcBorders>
              <w:top w:val="nil"/>
              <w:left w:val="single" w:sz="4" w:space="0" w:color="auto"/>
              <w:bottom w:val="single" w:sz="4" w:space="0" w:color="auto"/>
              <w:right w:val="single" w:sz="4" w:space="0" w:color="auto"/>
            </w:tcBorders>
            <w:shd w:val="clear" w:color="auto" w:fill="FFFF99"/>
          </w:tcPr>
          <w:p w14:paraId="4334866B" w14:textId="77777777" w:rsidR="00C451CC" w:rsidRPr="00C451CC" w:rsidRDefault="00C451CC" w:rsidP="00C451CC"/>
        </w:tc>
        <w:tc>
          <w:tcPr>
            <w:tcW w:w="1134" w:type="dxa"/>
            <w:tcBorders>
              <w:top w:val="nil"/>
              <w:left w:val="single" w:sz="4" w:space="0" w:color="auto"/>
              <w:bottom w:val="single" w:sz="4" w:space="0" w:color="auto"/>
              <w:right w:val="single" w:sz="4" w:space="0" w:color="auto"/>
            </w:tcBorders>
            <w:shd w:val="clear" w:color="auto" w:fill="FFFF99"/>
          </w:tcPr>
          <w:p w14:paraId="511587DE" w14:textId="7185BB26" w:rsidR="00C451CC" w:rsidRPr="00BE6095" w:rsidRDefault="00C451CC" w:rsidP="00C451CC">
            <w:pPr>
              <w:rPr>
                <w:sz w:val="20"/>
                <w:szCs w:val="20"/>
              </w:rPr>
            </w:pPr>
            <w:r w:rsidRPr="00554FE3">
              <w:rPr>
                <w:sz w:val="20"/>
                <w:szCs w:val="20"/>
              </w:rPr>
              <w:t>in</w:t>
            </w:r>
            <w:r w:rsidRPr="00BE6095">
              <w:rPr>
                <w:sz w:val="20"/>
                <w:szCs w:val="20"/>
              </w:rPr>
              <w:t xml:space="preserve"> Stück</w:t>
            </w:r>
          </w:p>
        </w:tc>
        <w:tc>
          <w:tcPr>
            <w:tcW w:w="1134" w:type="dxa"/>
            <w:tcBorders>
              <w:top w:val="nil"/>
              <w:left w:val="single" w:sz="4" w:space="0" w:color="auto"/>
              <w:bottom w:val="single" w:sz="4" w:space="0" w:color="auto"/>
              <w:right w:val="single" w:sz="4" w:space="0" w:color="auto"/>
            </w:tcBorders>
            <w:shd w:val="clear" w:color="auto" w:fill="FFFF99"/>
          </w:tcPr>
          <w:p w14:paraId="420A370D" w14:textId="7B354261" w:rsidR="00C451CC" w:rsidRPr="00BE6095" w:rsidRDefault="00C451CC" w:rsidP="00C451CC">
            <w:pPr>
              <w:rPr>
                <w:sz w:val="20"/>
                <w:szCs w:val="20"/>
              </w:rPr>
            </w:pPr>
            <w:r w:rsidRPr="00554FE3">
              <w:rPr>
                <w:sz w:val="20"/>
                <w:szCs w:val="20"/>
              </w:rPr>
              <w:t>in</w:t>
            </w:r>
            <w:r w:rsidRPr="00BE6095">
              <w:rPr>
                <w:sz w:val="20"/>
                <w:szCs w:val="20"/>
              </w:rPr>
              <w:t xml:space="preserve"> Stunden</w:t>
            </w:r>
          </w:p>
        </w:tc>
        <w:tc>
          <w:tcPr>
            <w:tcW w:w="1134" w:type="dxa"/>
            <w:tcBorders>
              <w:top w:val="nil"/>
              <w:left w:val="single" w:sz="4" w:space="0" w:color="auto"/>
              <w:bottom w:val="single" w:sz="4" w:space="0" w:color="auto"/>
              <w:right w:val="single" w:sz="4" w:space="0" w:color="auto"/>
            </w:tcBorders>
            <w:shd w:val="clear" w:color="auto" w:fill="FFFF99"/>
          </w:tcPr>
          <w:p w14:paraId="1CEEBAAD" w14:textId="2C09E6B9" w:rsidR="00C451CC" w:rsidRPr="00BE6095" w:rsidRDefault="00C451CC" w:rsidP="00C451CC">
            <w:pPr>
              <w:rPr>
                <w:sz w:val="20"/>
                <w:szCs w:val="20"/>
              </w:rPr>
            </w:pPr>
            <w:r w:rsidRPr="00554FE3">
              <w:rPr>
                <w:sz w:val="20"/>
                <w:szCs w:val="20"/>
              </w:rPr>
              <w:t>in</w:t>
            </w:r>
            <w:r w:rsidRPr="00BE6095">
              <w:rPr>
                <w:sz w:val="20"/>
                <w:szCs w:val="20"/>
              </w:rPr>
              <w:t xml:space="preserve"> Stunden</w:t>
            </w:r>
          </w:p>
        </w:tc>
        <w:tc>
          <w:tcPr>
            <w:tcW w:w="1134" w:type="dxa"/>
            <w:tcBorders>
              <w:top w:val="nil"/>
              <w:left w:val="single" w:sz="4" w:space="0" w:color="auto"/>
              <w:bottom w:val="single" w:sz="4" w:space="0" w:color="auto"/>
              <w:right w:val="single" w:sz="4" w:space="0" w:color="auto"/>
            </w:tcBorders>
            <w:shd w:val="clear" w:color="auto" w:fill="FFFF99"/>
          </w:tcPr>
          <w:p w14:paraId="0D7C473B" w14:textId="1CBF7520" w:rsidR="00C451CC" w:rsidRPr="00BE6095" w:rsidRDefault="00C451CC" w:rsidP="00C451CC">
            <w:pPr>
              <w:rPr>
                <w:sz w:val="20"/>
                <w:szCs w:val="20"/>
              </w:rPr>
            </w:pPr>
            <w:r w:rsidRPr="00554FE3">
              <w:rPr>
                <w:sz w:val="20"/>
                <w:szCs w:val="20"/>
              </w:rPr>
              <w:t>in</w:t>
            </w:r>
            <w:r w:rsidRPr="00BE6095">
              <w:rPr>
                <w:sz w:val="20"/>
                <w:szCs w:val="20"/>
              </w:rPr>
              <w:t xml:space="preserve"> Stück</w:t>
            </w:r>
          </w:p>
        </w:tc>
        <w:tc>
          <w:tcPr>
            <w:tcW w:w="1134" w:type="dxa"/>
            <w:tcBorders>
              <w:top w:val="nil"/>
              <w:left w:val="single" w:sz="4" w:space="0" w:color="auto"/>
              <w:bottom w:val="single" w:sz="4" w:space="0" w:color="auto"/>
              <w:right w:val="single" w:sz="4" w:space="0" w:color="auto"/>
            </w:tcBorders>
            <w:shd w:val="clear" w:color="auto" w:fill="FFFF99"/>
          </w:tcPr>
          <w:p w14:paraId="73C567BD" w14:textId="1ED64A3D" w:rsidR="00C451CC" w:rsidRPr="00BE6095" w:rsidRDefault="00C451CC" w:rsidP="00C451CC">
            <w:pPr>
              <w:rPr>
                <w:sz w:val="20"/>
                <w:szCs w:val="20"/>
              </w:rPr>
            </w:pPr>
            <w:r w:rsidRPr="00554FE3">
              <w:rPr>
                <w:sz w:val="20"/>
                <w:szCs w:val="20"/>
              </w:rPr>
              <w:t>in</w:t>
            </w:r>
            <w:r w:rsidRPr="00BE6095">
              <w:rPr>
                <w:sz w:val="20"/>
                <w:szCs w:val="20"/>
              </w:rPr>
              <w:t xml:space="preserve"> €</w:t>
            </w:r>
          </w:p>
        </w:tc>
        <w:tc>
          <w:tcPr>
            <w:tcW w:w="1134" w:type="dxa"/>
            <w:tcBorders>
              <w:top w:val="nil"/>
              <w:left w:val="single" w:sz="4" w:space="0" w:color="auto"/>
              <w:bottom w:val="single" w:sz="4" w:space="0" w:color="auto"/>
              <w:right w:val="single" w:sz="4" w:space="0" w:color="auto"/>
            </w:tcBorders>
            <w:shd w:val="clear" w:color="auto" w:fill="FFFF99"/>
          </w:tcPr>
          <w:p w14:paraId="7729BE89" w14:textId="6CC03975" w:rsidR="00C451CC" w:rsidRPr="00BE6095" w:rsidRDefault="00BE6095" w:rsidP="00C451CC">
            <w:pPr>
              <w:rPr>
                <w:sz w:val="20"/>
                <w:szCs w:val="20"/>
              </w:rPr>
            </w:pPr>
            <w:r w:rsidRPr="00554FE3">
              <w:rPr>
                <w:sz w:val="20"/>
                <w:szCs w:val="20"/>
              </w:rPr>
              <w:t>in</w:t>
            </w:r>
            <w:r w:rsidRPr="00BE6095">
              <w:rPr>
                <w:sz w:val="20"/>
                <w:szCs w:val="20"/>
              </w:rPr>
              <w:t xml:space="preserve"> Stück</w:t>
            </w:r>
          </w:p>
        </w:tc>
        <w:tc>
          <w:tcPr>
            <w:tcW w:w="1134" w:type="dxa"/>
            <w:tcBorders>
              <w:top w:val="nil"/>
              <w:left w:val="single" w:sz="4" w:space="0" w:color="auto"/>
              <w:bottom w:val="single" w:sz="4" w:space="0" w:color="auto"/>
              <w:right w:val="single" w:sz="4" w:space="0" w:color="auto"/>
            </w:tcBorders>
            <w:shd w:val="clear" w:color="auto" w:fill="FFFF99"/>
          </w:tcPr>
          <w:p w14:paraId="177F77CC" w14:textId="6B25028C" w:rsidR="00C451CC" w:rsidRPr="00BE6095" w:rsidRDefault="00C451CC" w:rsidP="00C451CC">
            <w:pPr>
              <w:rPr>
                <w:sz w:val="20"/>
                <w:szCs w:val="20"/>
              </w:rPr>
            </w:pPr>
            <w:r w:rsidRPr="00554FE3">
              <w:rPr>
                <w:sz w:val="20"/>
                <w:szCs w:val="20"/>
              </w:rPr>
              <w:t>in</w:t>
            </w:r>
            <w:r w:rsidRPr="00BE6095">
              <w:rPr>
                <w:sz w:val="20"/>
                <w:szCs w:val="20"/>
              </w:rPr>
              <w:t xml:space="preserve"> €</w:t>
            </w:r>
          </w:p>
        </w:tc>
      </w:tr>
      <w:tr w:rsidR="00C451CC" w14:paraId="782E9304"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28CC7598" w14:textId="77777777" w:rsidR="00C451CC" w:rsidRPr="00C451CC" w:rsidRDefault="00C451CC" w:rsidP="00C451CC">
            <w:r w:rsidRPr="00554FE3">
              <w:t>beschränkte</w:t>
            </w:r>
            <w:r w:rsidRPr="00C451CC">
              <w:t xml:space="preserve"> </w:t>
            </w:r>
            <w:r w:rsidRPr="00554FE3">
              <w:t>Kapazität</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46C821D5"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FFFF99"/>
            <w:hideMark/>
          </w:tcPr>
          <w:p w14:paraId="06C6CB83" w14:textId="77777777" w:rsidR="00C451CC" w:rsidRPr="00C451CC" w:rsidRDefault="00C451CC" w:rsidP="00C451CC">
            <w:r w:rsidRPr="00C451CC">
              <w:rPr>
                <w:sz w:val="16"/>
                <w:szCs w:val="18"/>
              </w:rPr>
              <w:t>Rundung auf ganze Stunden</w:t>
            </w:r>
          </w:p>
        </w:tc>
        <w:tc>
          <w:tcPr>
            <w:tcW w:w="1134" w:type="dxa"/>
            <w:tcBorders>
              <w:top w:val="single" w:sz="4" w:space="0" w:color="auto"/>
              <w:left w:val="single" w:sz="4" w:space="0" w:color="auto"/>
              <w:bottom w:val="single" w:sz="4" w:space="0" w:color="auto"/>
              <w:right w:val="single" w:sz="4" w:space="0" w:color="auto"/>
            </w:tcBorders>
            <w:hideMark/>
          </w:tcPr>
          <w:p w14:paraId="137A1FFB" w14:textId="77777777" w:rsidR="00C451CC" w:rsidRPr="00C451CC" w:rsidRDefault="00C451CC" w:rsidP="00C451CC">
            <w:pPr>
              <w:jc w:val="right"/>
            </w:pPr>
            <w:r w:rsidRPr="00C451CC">
              <w:t>300</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4F29AD49"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CE99FD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79A5B82B"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5974B3F" w14:textId="77777777" w:rsidR="00C451CC" w:rsidRPr="00C451CC" w:rsidRDefault="00C451CC" w:rsidP="00C451CC">
            <w:pPr>
              <w:jc w:val="right"/>
            </w:pPr>
          </w:p>
        </w:tc>
      </w:tr>
      <w:tr w:rsidR="00C451CC" w14:paraId="13B2694C"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2DCAE635" w14:textId="506E6D97" w:rsidR="00C451CC" w:rsidRPr="00C451CC" w:rsidRDefault="00C451CC" w:rsidP="00C451CC">
            <w:r w:rsidRPr="00C451CC">
              <w:t>Kugellager I</w:t>
            </w:r>
          </w:p>
        </w:tc>
        <w:tc>
          <w:tcPr>
            <w:tcW w:w="1134" w:type="dxa"/>
            <w:tcBorders>
              <w:top w:val="single" w:sz="4" w:space="0" w:color="auto"/>
              <w:left w:val="single" w:sz="4" w:space="0" w:color="auto"/>
              <w:bottom w:val="single" w:sz="4" w:space="0" w:color="auto"/>
              <w:right w:val="single" w:sz="4" w:space="0" w:color="auto"/>
            </w:tcBorders>
            <w:hideMark/>
          </w:tcPr>
          <w:p w14:paraId="5BEE4C81" w14:textId="77777777" w:rsidR="00C451CC" w:rsidRPr="00C451CC" w:rsidRDefault="00C451CC" w:rsidP="00C451CC">
            <w:pPr>
              <w:jc w:val="right"/>
            </w:pPr>
            <w:r w:rsidRPr="00C451CC">
              <w:t>5000</w:t>
            </w:r>
          </w:p>
        </w:tc>
        <w:tc>
          <w:tcPr>
            <w:tcW w:w="1134" w:type="dxa"/>
            <w:tcBorders>
              <w:top w:val="single" w:sz="4" w:space="0" w:color="auto"/>
              <w:left w:val="single" w:sz="4" w:space="0" w:color="auto"/>
              <w:bottom w:val="single" w:sz="4" w:space="0" w:color="auto"/>
              <w:right w:val="single" w:sz="4" w:space="0" w:color="auto"/>
            </w:tcBorders>
            <w:hideMark/>
          </w:tcPr>
          <w:p w14:paraId="5FF9D51E" w14:textId="77777777" w:rsidR="00C451CC" w:rsidRPr="00C451CC" w:rsidRDefault="00C451CC" w:rsidP="00C451CC">
            <w:pPr>
              <w:jc w:val="right"/>
            </w:pPr>
            <w:r w:rsidRPr="00C451CC">
              <w:t>42</w:t>
            </w:r>
          </w:p>
        </w:tc>
        <w:tc>
          <w:tcPr>
            <w:tcW w:w="1134" w:type="dxa"/>
            <w:tcBorders>
              <w:top w:val="single" w:sz="4" w:space="0" w:color="auto"/>
              <w:left w:val="single" w:sz="4" w:space="0" w:color="auto"/>
              <w:bottom w:val="single" w:sz="4" w:space="0" w:color="auto"/>
              <w:right w:val="single" w:sz="4" w:space="0" w:color="auto"/>
            </w:tcBorders>
          </w:tcPr>
          <w:p w14:paraId="0E71BB1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3C231701"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9365D4D"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5A627F1"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725721A3" w14:textId="77777777" w:rsidR="00C451CC" w:rsidRPr="00C451CC" w:rsidRDefault="00C451CC" w:rsidP="00C451CC">
            <w:pPr>
              <w:jc w:val="right"/>
            </w:pPr>
          </w:p>
        </w:tc>
      </w:tr>
      <w:tr w:rsidR="00C451CC" w14:paraId="5763D7CA"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3E7E3E7C" w14:textId="77777777" w:rsidR="00C451CC" w:rsidRPr="00C451CC" w:rsidRDefault="00C451CC" w:rsidP="00C451CC">
            <w:pPr>
              <w:pStyle w:val="StandardFett"/>
            </w:pPr>
            <w:r w:rsidRPr="00C451CC">
              <w:t>Restkapazität</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C2FE58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48534A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5419E85"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16B227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6161A60"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78FECB55"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1CB82C0" w14:textId="77777777" w:rsidR="00C451CC" w:rsidRPr="00C451CC" w:rsidRDefault="00C451CC" w:rsidP="00C451CC">
            <w:pPr>
              <w:jc w:val="right"/>
            </w:pPr>
          </w:p>
        </w:tc>
      </w:tr>
      <w:tr w:rsidR="00C451CC" w14:paraId="70330FFE"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2C5A4AA2" w14:textId="376F12F2" w:rsidR="00C451CC" w:rsidRPr="00C451CC" w:rsidRDefault="00C451CC" w:rsidP="00C451CC">
            <w:r w:rsidRPr="00C451CC">
              <w:t>Kugellager I</w:t>
            </w:r>
            <w:r w:rsidR="008D151C">
              <w:t>I</w:t>
            </w:r>
          </w:p>
        </w:tc>
        <w:tc>
          <w:tcPr>
            <w:tcW w:w="1134" w:type="dxa"/>
            <w:tcBorders>
              <w:top w:val="single" w:sz="4" w:space="0" w:color="auto"/>
              <w:left w:val="single" w:sz="4" w:space="0" w:color="auto"/>
              <w:bottom w:val="single" w:sz="4" w:space="0" w:color="auto"/>
              <w:right w:val="single" w:sz="4" w:space="0" w:color="auto"/>
            </w:tcBorders>
            <w:hideMark/>
          </w:tcPr>
          <w:p w14:paraId="1EEDF20F" w14:textId="77777777" w:rsidR="00C451CC" w:rsidRPr="00C451CC" w:rsidRDefault="00C451CC" w:rsidP="00C451CC">
            <w:pPr>
              <w:jc w:val="right"/>
            </w:pPr>
            <w:r w:rsidRPr="00C451CC">
              <w:t>2000</w:t>
            </w:r>
          </w:p>
        </w:tc>
        <w:tc>
          <w:tcPr>
            <w:tcW w:w="1134" w:type="dxa"/>
            <w:tcBorders>
              <w:top w:val="single" w:sz="4" w:space="0" w:color="auto"/>
              <w:left w:val="single" w:sz="4" w:space="0" w:color="auto"/>
              <w:bottom w:val="single" w:sz="4" w:space="0" w:color="auto"/>
              <w:right w:val="single" w:sz="4" w:space="0" w:color="auto"/>
            </w:tcBorders>
          </w:tcPr>
          <w:p w14:paraId="296BEEAF"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CB0831F"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0AA3040C"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ADEF449"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464E69A3"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4937793E" w14:textId="77777777" w:rsidR="00C451CC" w:rsidRPr="00C451CC" w:rsidRDefault="00C451CC" w:rsidP="00C451CC">
            <w:pPr>
              <w:jc w:val="right"/>
            </w:pPr>
          </w:p>
        </w:tc>
      </w:tr>
      <w:tr w:rsidR="00C451CC" w14:paraId="63B184BC"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71F9869F" w14:textId="77777777" w:rsidR="00C451CC" w:rsidRPr="00C451CC" w:rsidRDefault="00C451CC" w:rsidP="00C451CC">
            <w:pPr>
              <w:pStyle w:val="StandardFett"/>
            </w:pPr>
            <w:r w:rsidRPr="00C451CC">
              <w:t>Restkapazität</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CAE6BA4"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1A641905"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0D208F44"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3524CAE4"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F88669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ED49FED"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0E07FE40" w14:textId="77777777" w:rsidR="00C451CC" w:rsidRPr="00C451CC" w:rsidRDefault="00C451CC" w:rsidP="00C451CC">
            <w:pPr>
              <w:jc w:val="right"/>
            </w:pPr>
          </w:p>
        </w:tc>
      </w:tr>
      <w:tr w:rsidR="00C451CC" w14:paraId="147F7ACD"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2C3E15F0" w14:textId="3B36A6A1" w:rsidR="00C451CC" w:rsidRPr="00C451CC" w:rsidRDefault="00C451CC" w:rsidP="00C451CC">
            <w:r w:rsidRPr="00C451CC">
              <w:t>Kugellager II</w:t>
            </w:r>
            <w:r w:rsidR="008D151C">
              <w:t>I</w:t>
            </w:r>
          </w:p>
        </w:tc>
        <w:tc>
          <w:tcPr>
            <w:tcW w:w="1134" w:type="dxa"/>
            <w:tcBorders>
              <w:top w:val="single" w:sz="4" w:space="0" w:color="auto"/>
              <w:left w:val="single" w:sz="4" w:space="0" w:color="auto"/>
              <w:bottom w:val="single" w:sz="4" w:space="0" w:color="auto"/>
              <w:right w:val="single" w:sz="4" w:space="0" w:color="auto"/>
            </w:tcBorders>
            <w:hideMark/>
          </w:tcPr>
          <w:p w14:paraId="64DC5268" w14:textId="77777777" w:rsidR="00C451CC" w:rsidRPr="00C451CC" w:rsidRDefault="00C451CC" w:rsidP="00C451CC">
            <w:pPr>
              <w:jc w:val="right"/>
            </w:pPr>
            <w:r w:rsidRPr="00C451CC">
              <w:t>3000</w:t>
            </w:r>
          </w:p>
        </w:tc>
        <w:tc>
          <w:tcPr>
            <w:tcW w:w="1134" w:type="dxa"/>
            <w:tcBorders>
              <w:top w:val="single" w:sz="4" w:space="0" w:color="auto"/>
              <w:left w:val="single" w:sz="4" w:space="0" w:color="auto"/>
              <w:bottom w:val="single" w:sz="4" w:space="0" w:color="auto"/>
              <w:right w:val="single" w:sz="4" w:space="0" w:color="auto"/>
            </w:tcBorders>
          </w:tcPr>
          <w:p w14:paraId="73523ECA"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353FB183"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6789B83E"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296E1192"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7EA4C8DB"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12BA69F4" w14:textId="77777777" w:rsidR="00C451CC" w:rsidRPr="00C451CC" w:rsidRDefault="00C451CC" w:rsidP="00C451CC">
            <w:pPr>
              <w:jc w:val="right"/>
            </w:pPr>
          </w:p>
        </w:tc>
      </w:tr>
      <w:tr w:rsidR="00C451CC" w14:paraId="693DB8AC"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7996D70C" w14:textId="77777777" w:rsidR="00C451CC" w:rsidRPr="00C451CC" w:rsidRDefault="00C451CC" w:rsidP="00C451CC">
            <w:pPr>
              <w:pStyle w:val="StandardFett"/>
            </w:pPr>
            <w:r w:rsidRPr="00C451CC">
              <w:t>Restkapazität</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2AC4D9A0"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5CDDA91D"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3EAD9D25"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25726597"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30B020D5"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FE85016"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3E554B7C" w14:textId="77777777" w:rsidR="00C451CC" w:rsidRPr="00C451CC" w:rsidRDefault="00C451CC" w:rsidP="00C451CC">
            <w:pPr>
              <w:jc w:val="right"/>
            </w:pPr>
          </w:p>
        </w:tc>
      </w:tr>
      <w:tr w:rsidR="00C451CC" w14:paraId="4533C921" w14:textId="77777777" w:rsidTr="00C451CC">
        <w:trPr>
          <w:trHeight w:val="454"/>
        </w:trPr>
        <w:tc>
          <w:tcPr>
            <w:tcW w:w="1764" w:type="dxa"/>
            <w:tcBorders>
              <w:top w:val="single" w:sz="4" w:space="0" w:color="auto"/>
              <w:left w:val="single" w:sz="4" w:space="0" w:color="auto"/>
              <w:bottom w:val="single" w:sz="4" w:space="0" w:color="auto"/>
              <w:right w:val="single" w:sz="4" w:space="0" w:color="auto"/>
            </w:tcBorders>
            <w:shd w:val="clear" w:color="auto" w:fill="FFFF99"/>
            <w:hideMark/>
          </w:tcPr>
          <w:p w14:paraId="7FE29C83" w14:textId="77777777" w:rsidR="00C451CC" w:rsidRPr="00C451CC" w:rsidRDefault="00C451CC" w:rsidP="00C451CC">
            <w:r w:rsidRPr="00C451CC">
              <w:t>Kugellager IV</w:t>
            </w:r>
          </w:p>
        </w:tc>
        <w:tc>
          <w:tcPr>
            <w:tcW w:w="1134" w:type="dxa"/>
            <w:tcBorders>
              <w:top w:val="single" w:sz="4" w:space="0" w:color="auto"/>
              <w:left w:val="single" w:sz="4" w:space="0" w:color="auto"/>
              <w:bottom w:val="single" w:sz="4" w:space="0" w:color="auto"/>
              <w:right w:val="single" w:sz="4" w:space="0" w:color="auto"/>
            </w:tcBorders>
            <w:hideMark/>
          </w:tcPr>
          <w:p w14:paraId="339B3B5C" w14:textId="77777777" w:rsidR="00C451CC" w:rsidRPr="00C451CC" w:rsidRDefault="00C451CC" w:rsidP="00C451CC">
            <w:pPr>
              <w:jc w:val="right"/>
            </w:pPr>
            <w:r w:rsidRPr="00C451CC">
              <w:t>4000</w:t>
            </w:r>
          </w:p>
        </w:tc>
        <w:tc>
          <w:tcPr>
            <w:tcW w:w="1134" w:type="dxa"/>
            <w:tcBorders>
              <w:top w:val="single" w:sz="4" w:space="0" w:color="auto"/>
              <w:left w:val="single" w:sz="4" w:space="0" w:color="auto"/>
              <w:bottom w:val="single" w:sz="4" w:space="0" w:color="auto"/>
              <w:right w:val="single" w:sz="4" w:space="0" w:color="auto"/>
            </w:tcBorders>
          </w:tcPr>
          <w:p w14:paraId="6541164E"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0D019F08"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123EB094"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0A08D9DD"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109A9A53" w14:textId="77777777" w:rsidR="00C451CC" w:rsidRPr="00C451CC" w:rsidRDefault="00C451CC" w:rsidP="00C451CC">
            <w:pPr>
              <w:jc w:val="right"/>
            </w:pPr>
          </w:p>
        </w:tc>
        <w:tc>
          <w:tcPr>
            <w:tcW w:w="1134" w:type="dxa"/>
            <w:tcBorders>
              <w:top w:val="single" w:sz="4" w:space="0" w:color="auto"/>
              <w:left w:val="single" w:sz="4" w:space="0" w:color="auto"/>
              <w:bottom w:val="single" w:sz="4" w:space="0" w:color="auto"/>
              <w:right w:val="single" w:sz="4" w:space="0" w:color="auto"/>
            </w:tcBorders>
          </w:tcPr>
          <w:p w14:paraId="161F2DFC" w14:textId="77777777" w:rsidR="00C451CC" w:rsidRPr="00C451CC" w:rsidRDefault="00C451CC" w:rsidP="00C451CC">
            <w:pPr>
              <w:jc w:val="right"/>
            </w:pPr>
          </w:p>
        </w:tc>
      </w:tr>
    </w:tbl>
    <w:p w14:paraId="58C03DAB" w14:textId="620ABAA3" w:rsidR="00C451CC" w:rsidRDefault="00C451CC" w:rsidP="00C451CC"/>
    <w:p w14:paraId="50A6E02C" w14:textId="77777777" w:rsidR="00C451CC" w:rsidRPr="00C451CC" w:rsidRDefault="00C451CC" w:rsidP="00C451CC"/>
    <w:p w14:paraId="53F2C3AA" w14:textId="77777777" w:rsidR="00064EC6" w:rsidRDefault="00064EC6" w:rsidP="00FD60BE">
      <w:pPr>
        <w:pStyle w:val="Aufgabe"/>
        <w:sectPr w:rsidR="00064EC6" w:rsidSect="00F35BAA">
          <w:pgSz w:w="12000" w:h="16832" w:code="9"/>
          <w:pgMar w:top="1134" w:right="1134" w:bottom="851" w:left="1134" w:header="482" w:footer="720" w:gutter="0"/>
          <w:cols w:space="708"/>
          <w:noEndnote/>
          <w:docGrid w:linePitch="245"/>
        </w:sectPr>
      </w:pPr>
    </w:p>
    <w:p w14:paraId="6FB4AC0A" w14:textId="77777777" w:rsidR="00064EC6" w:rsidRDefault="00064EC6" w:rsidP="00064EC6">
      <w:pPr>
        <w:pStyle w:val="Lsungberschrift"/>
        <w:rPr>
          <w:sz w:val="24"/>
        </w:rPr>
      </w:pPr>
      <w:r>
        <w:lastRenderedPageBreak/>
        <w:t>Didaktische Hinweise:</w:t>
      </w:r>
    </w:p>
    <w:p w14:paraId="0C41FBF3" w14:textId="7EB3ECC9" w:rsidR="00064EC6" w:rsidRPr="00064EC6" w:rsidRDefault="00064EC6" w:rsidP="00064EC6">
      <w:pPr>
        <w:pStyle w:val="LsungListe"/>
      </w:pPr>
      <w:r w:rsidRPr="00064EC6">
        <w:t xml:space="preserve">Die Teilaufgabe 1.1 soll in Verbindung mit der Teilaufgabe 2.2 den </w:t>
      </w:r>
      <w:r w:rsidRPr="00554FE3">
        <w:t>SuS</w:t>
      </w:r>
      <w:r w:rsidRPr="00064EC6">
        <w:t xml:space="preserve"> verdeutlichen, dass es sich in der Vollkostenrechnung und der Teilkostenrechnung um dieselben Kosten handelt. Lediglich die Einteilung ist unterschiedlich.</w:t>
      </w:r>
    </w:p>
    <w:p w14:paraId="628BCCDA" w14:textId="2B370862" w:rsidR="00064EC6" w:rsidRPr="00064EC6" w:rsidRDefault="00064EC6" w:rsidP="00064EC6">
      <w:pPr>
        <w:pStyle w:val="LsungListe"/>
      </w:pPr>
      <w:r w:rsidRPr="00064EC6">
        <w:t>Bei der Annahmeentscheidung über Zusatzaufträge wurde im Rahmen der Aufgabe 2 auf die Darstellung von Produktionsprogrammentscheidungen bei ausgelasteter Kapazität verzichtet, da dieses Thema im Rahmen der Aufgabe 3 als Engpasssituation dargestellt wird.</w:t>
      </w:r>
    </w:p>
    <w:p w14:paraId="071ED7A6" w14:textId="09855A96" w:rsidR="00064EC6" w:rsidRPr="00064EC6" w:rsidRDefault="00064EC6" w:rsidP="00064EC6">
      <w:pPr>
        <w:pStyle w:val="LsungListe"/>
      </w:pPr>
      <w:r w:rsidRPr="00064EC6">
        <w:t xml:space="preserve">Zur Binnendifferenzierung ist es möglich bei einigen Teilaufgaben, wie </w:t>
      </w:r>
      <w:r w:rsidR="00D10EC2">
        <w:t>z. B.</w:t>
      </w:r>
      <w:r w:rsidRPr="00064EC6">
        <w:t xml:space="preserve"> 2.1, </w:t>
      </w:r>
      <w:r w:rsidRPr="00554FE3">
        <w:t>Die</w:t>
      </w:r>
      <w:r w:rsidRPr="00064EC6">
        <w:t xml:space="preserve"> </w:t>
      </w:r>
      <w:r w:rsidRPr="00554FE3">
        <w:t>SuS</w:t>
      </w:r>
      <w:r w:rsidRPr="00064EC6">
        <w:t xml:space="preserve"> auch die Tabelle selbst modulieren zu lassen oder bei schwächeren Schülern die Tabelle vorab zu strukturieren.</w:t>
      </w:r>
    </w:p>
    <w:p w14:paraId="4543C02A" w14:textId="2A2D16B5" w:rsidR="00064EC6" w:rsidRPr="00064EC6" w:rsidRDefault="00064EC6" w:rsidP="00064EC6">
      <w:pPr>
        <w:pStyle w:val="LsungListe"/>
      </w:pPr>
      <w:r w:rsidRPr="00064EC6">
        <w:t>Sofern PC Raum und ausreichend Excel</w:t>
      </w:r>
      <w:r w:rsidR="00A9637D">
        <w:t>-</w:t>
      </w:r>
      <w:r w:rsidRPr="00064EC6">
        <w:t xml:space="preserve">Kenntnisse bei den </w:t>
      </w:r>
      <w:r w:rsidRPr="00554FE3">
        <w:t>SuS</w:t>
      </w:r>
      <w:r w:rsidRPr="00064EC6">
        <w:t xml:space="preserve"> vorhanden sind, können die Berechnungen durch die </w:t>
      </w:r>
      <w:r w:rsidRPr="00554FE3">
        <w:t>SuS</w:t>
      </w:r>
      <w:r w:rsidRPr="00064EC6">
        <w:t xml:space="preserve"> auch in Excel durchgeführt werden.</w:t>
      </w:r>
    </w:p>
    <w:p w14:paraId="7D227EDF" w14:textId="28C0ADC6" w:rsidR="00064EC6" w:rsidRDefault="00064EC6" w:rsidP="00064EC6">
      <w:pPr>
        <w:pStyle w:val="Lsungberschrift"/>
      </w:pPr>
      <w:r>
        <w:t>Lösungsvorschläge</w:t>
      </w:r>
    </w:p>
    <w:p w14:paraId="02D7485F" w14:textId="2CEE3024" w:rsidR="009B6651" w:rsidRPr="009B6651" w:rsidRDefault="009B6651" w:rsidP="009B6651">
      <w:pPr>
        <w:pStyle w:val="LoesungStandardFettlinks"/>
      </w:pPr>
      <w:r>
        <w:t>Aufgabe 1</w:t>
      </w:r>
    </w:p>
    <w:p w14:paraId="533C1B8B" w14:textId="606B9956" w:rsidR="00064EC6" w:rsidRDefault="00064EC6" w:rsidP="00064EC6">
      <w:pPr>
        <w:pStyle w:val="LoesungAufgabe"/>
      </w:pPr>
      <w:r>
        <w:t>1.1</w:t>
      </w:r>
      <w:r>
        <w:tab/>
      </w:r>
      <w:r>
        <w:rPr>
          <w:rFonts w:cs="Calibri"/>
          <w:szCs w:val="22"/>
        </w:rPr>
        <w:t>siehe Excel</w:t>
      </w:r>
      <w:r w:rsidR="00A9637D">
        <w:rPr>
          <w:rFonts w:cs="Calibri"/>
          <w:szCs w:val="22"/>
        </w:rPr>
        <w:t>-</w:t>
      </w:r>
      <w:r w:rsidRPr="00554FE3">
        <w:rPr>
          <w:rFonts w:cs="Calibri"/>
          <w:szCs w:val="22"/>
        </w:rPr>
        <w:t>Tabelle</w:t>
      </w:r>
    </w:p>
    <w:p w14:paraId="4028F968" w14:textId="1DFFE9C0" w:rsidR="00064EC6" w:rsidRPr="00064EC6" w:rsidRDefault="00064EC6" w:rsidP="00064EC6">
      <w:pPr>
        <w:pStyle w:val="LoesungAufgabe"/>
      </w:pPr>
      <w:r>
        <w:t>1.2</w:t>
      </w:r>
      <w:r w:rsidRPr="00064EC6">
        <w:tab/>
        <w:t>Über den Vertrieb der Produktgruppen I und II lassen sich Gewinne erzielen. Die Produktgruppe III führt zu einem Verlust, der das Gesamtergebnis negativ beeinflusst.</w:t>
      </w:r>
      <w:r>
        <w:br/>
      </w:r>
      <w:r w:rsidRPr="00064EC6">
        <w:t>Auf Grundlage der Vollkostenrechnung könnte man zu folgenden Entscheidungen kommen:</w:t>
      </w:r>
    </w:p>
    <w:p w14:paraId="14B130E7" w14:textId="61440D4D" w:rsidR="00064EC6" w:rsidRPr="00064EC6" w:rsidRDefault="00064EC6" w:rsidP="00064EC6">
      <w:pPr>
        <w:pStyle w:val="LoesungAufgabeListe"/>
      </w:pPr>
      <w:r w:rsidRPr="00554FE3">
        <w:t>die</w:t>
      </w:r>
      <w:r w:rsidRPr="00064EC6">
        <w:t xml:space="preserve"> Kugellagergruppe III herauszunehmen, um d</w:t>
      </w:r>
      <w:r w:rsidR="00A9637D">
        <w:t>as Gesamtergebnis zu verbessern</w:t>
      </w:r>
      <w:r w:rsidRPr="00064EC6">
        <w:t xml:space="preserve"> </w:t>
      </w:r>
      <w:r w:rsidRPr="00554FE3">
        <w:t>oder</w:t>
      </w:r>
    </w:p>
    <w:p w14:paraId="6CADBD7F" w14:textId="37FC6191" w:rsidR="00064EC6" w:rsidRPr="00064EC6" w:rsidRDefault="00064EC6" w:rsidP="00064EC6">
      <w:pPr>
        <w:pStyle w:val="LoesungAufgabeListe"/>
      </w:pPr>
      <w:r w:rsidRPr="00554FE3">
        <w:t>die</w:t>
      </w:r>
      <w:r w:rsidR="00A9637D">
        <w:t xml:space="preserve"> Kosten zu senken</w:t>
      </w:r>
      <w:r w:rsidRPr="00064EC6">
        <w:t xml:space="preserve"> </w:t>
      </w:r>
      <w:r w:rsidRPr="00554FE3">
        <w:t>oder</w:t>
      </w:r>
    </w:p>
    <w:p w14:paraId="43F97DA3" w14:textId="3C5256D7" w:rsidR="00064EC6" w:rsidRDefault="00064EC6" w:rsidP="00064EC6">
      <w:pPr>
        <w:pStyle w:val="LoesungAufgabeListe"/>
      </w:pPr>
      <w:r w:rsidRPr="00554FE3">
        <w:t>den</w:t>
      </w:r>
      <w:r w:rsidRPr="00064EC6">
        <w:t xml:space="preserve"> Listenverkaufspreis zu erhöhen.</w:t>
      </w:r>
    </w:p>
    <w:p w14:paraId="3DDA532B" w14:textId="76F903D7" w:rsidR="009B6651" w:rsidRPr="009B6651" w:rsidRDefault="009B6651" w:rsidP="009B6651">
      <w:pPr>
        <w:pStyle w:val="LoesungStandardFettlinks"/>
      </w:pPr>
      <w:r>
        <w:t>Aufgabe 2</w:t>
      </w:r>
    </w:p>
    <w:p w14:paraId="12ACB4C2" w14:textId="478D3D3D" w:rsidR="009B6651" w:rsidRDefault="009B6651" w:rsidP="009B6651">
      <w:pPr>
        <w:pStyle w:val="LoesungAufgabe"/>
        <w:rPr>
          <w:rFonts w:cs="Calibri"/>
          <w:sz w:val="28"/>
          <w:szCs w:val="28"/>
        </w:rPr>
      </w:pPr>
      <w:r>
        <w:t>2.1</w:t>
      </w:r>
      <w:r>
        <w:tab/>
      </w:r>
      <w:r w:rsidRPr="009B6651">
        <w:t>Schülerindividuelle Darstellung, z. B. Stichwortliste</w:t>
      </w:r>
    </w:p>
    <w:p w14:paraId="24135C10" w14:textId="7D9FB8B2" w:rsidR="009B6651" w:rsidRDefault="009B6651" w:rsidP="009B6651">
      <w:pPr>
        <w:pStyle w:val="LoesungAufgabeListe"/>
      </w:pPr>
      <w:r>
        <w:t>Kostenarten</w:t>
      </w:r>
      <w:r>
        <w:tab/>
      </w:r>
      <w:r w:rsidRPr="00554FE3">
        <w:t>Variable</w:t>
      </w:r>
      <w:r>
        <w:t xml:space="preserve"> Kosten (</w:t>
      </w:r>
      <w:r w:rsidRPr="00554FE3">
        <w:t>Kv</w:t>
      </w:r>
      <w:r>
        <w:t>), mengenabhängig und fixe Kosten (</w:t>
      </w:r>
      <w:r w:rsidRPr="00554FE3">
        <w:t>Kf</w:t>
      </w:r>
      <w:r>
        <w:t xml:space="preserve">), </w:t>
      </w:r>
      <w:r w:rsidRPr="00554FE3">
        <w:t>mengenunabhängig</w:t>
      </w:r>
    </w:p>
    <w:p w14:paraId="731AEF01" w14:textId="4BE725BE" w:rsidR="009B6651" w:rsidRDefault="009B6651" w:rsidP="009B6651">
      <w:pPr>
        <w:pStyle w:val="LoesungAufgabeListe"/>
      </w:pPr>
      <w:r>
        <w:t>Ausgangspunkt</w:t>
      </w:r>
      <w:r>
        <w:tab/>
      </w:r>
      <w:r w:rsidRPr="00554FE3">
        <w:t>Erzielbarer</w:t>
      </w:r>
      <w:r>
        <w:t xml:space="preserve"> Verkaufspreis pro Stück (e) </w:t>
      </w:r>
    </w:p>
    <w:p w14:paraId="741DB8E7" w14:textId="45FC9202" w:rsidR="009B6651" w:rsidRDefault="009B6651" w:rsidP="009B6651">
      <w:pPr>
        <w:pStyle w:val="LoesungAufgabeListe"/>
      </w:pPr>
      <w:r>
        <w:t>Berechnung</w:t>
      </w:r>
      <w:r>
        <w:tab/>
        <w:t xml:space="preserve">e – </w:t>
      </w:r>
      <w:r w:rsidRPr="00554FE3">
        <w:t>kv</w:t>
      </w:r>
      <w:r>
        <w:t xml:space="preserve"> = dB / Stück</w:t>
      </w:r>
    </w:p>
    <w:p w14:paraId="6FD46275" w14:textId="3D43E9BA" w:rsidR="009B6651" w:rsidRDefault="009B6651" w:rsidP="009B6651">
      <w:pPr>
        <w:pStyle w:val="LoesungAufgabeListe"/>
      </w:pPr>
      <w:r>
        <w:t>Erläuterung dB</w:t>
      </w:r>
      <w:r>
        <w:tab/>
      </w:r>
      <w:r w:rsidRPr="00554FE3">
        <w:t>Trägt</w:t>
      </w:r>
      <w:r>
        <w:t xml:space="preserve"> zur Deckung der Fixkosten bei</w:t>
      </w:r>
    </w:p>
    <w:p w14:paraId="41D20975" w14:textId="716A4BF9" w:rsidR="009B6651" w:rsidRDefault="009B6651" w:rsidP="009B6651">
      <w:pPr>
        <w:pStyle w:val="LoesungAufgabeListe"/>
        <w:numPr>
          <w:ilvl w:val="0"/>
          <w:numId w:val="0"/>
        </w:numPr>
        <w:ind w:left="510"/>
      </w:pPr>
      <w:r w:rsidRPr="009B6651">
        <w:rPr>
          <w:b/>
          <w:bCs/>
        </w:rPr>
        <w:t>Schlussfolgerungen</w:t>
      </w:r>
      <w:r>
        <w:t>:</w:t>
      </w:r>
    </w:p>
    <w:p w14:paraId="31C19729" w14:textId="4CCDACB1" w:rsidR="009B6651" w:rsidRDefault="009B6651" w:rsidP="009B6651">
      <w:pPr>
        <w:pStyle w:val="LoesungAufgabeListe2"/>
      </w:pPr>
      <w:r w:rsidRPr="00554FE3">
        <w:t>dB</w:t>
      </w:r>
      <w:r>
        <w:t xml:space="preserve"> &gt; 0 für ein Produkt oder eine Produktgruppe</w:t>
      </w:r>
      <w:r w:rsidR="00D10EC2">
        <w:t xml:space="preserve"> – </w:t>
      </w:r>
      <w:r>
        <w:t>positiver Beitrag zum Betriebsergebnis</w:t>
      </w:r>
    </w:p>
    <w:p w14:paraId="66AB9095" w14:textId="43552954" w:rsidR="009B6651" w:rsidRDefault="009B6651" w:rsidP="009B6651">
      <w:pPr>
        <w:pStyle w:val="LoesungAufgabeListe2"/>
      </w:pPr>
      <w:r w:rsidRPr="00554FE3">
        <w:t>dB</w:t>
      </w:r>
      <w:r>
        <w:t xml:space="preserve"> = 0 für ein Produkt oder eine Produktgruppe – kein Beitrag zur Deckung der Fixkosten, nur kurzfristig realisierbar</w:t>
      </w:r>
    </w:p>
    <w:p w14:paraId="690F7DB5" w14:textId="3D74026C" w:rsidR="009B6651" w:rsidRDefault="009B6651" w:rsidP="009B6651">
      <w:pPr>
        <w:pStyle w:val="LoesungAufgabeListe2"/>
      </w:pPr>
      <w:r w:rsidRPr="00554FE3">
        <w:t>dB</w:t>
      </w:r>
      <w:r>
        <w:t xml:space="preserve"> 1 &gt; dB 2 für ein Produkt oder eine Produktgruppe – Vorrang des Produktes mit dB 1.</w:t>
      </w:r>
    </w:p>
    <w:p w14:paraId="268DBF1B" w14:textId="0D249338" w:rsidR="009B6651" w:rsidRDefault="009B6651" w:rsidP="009B6651">
      <w:pPr>
        <w:pStyle w:val="LoesungAufgabe"/>
      </w:pPr>
      <w:r>
        <w:t>2.2</w:t>
      </w:r>
      <w:r>
        <w:tab/>
      </w:r>
      <w:r w:rsidR="00A9637D" w:rsidRPr="00554FE3">
        <w:rPr>
          <w:rFonts w:cs="Calibri"/>
          <w:szCs w:val="22"/>
        </w:rPr>
        <w:t>siehe Excel-</w:t>
      </w:r>
      <w:r w:rsidRPr="00554FE3">
        <w:rPr>
          <w:rFonts w:cs="Calibri"/>
          <w:szCs w:val="22"/>
        </w:rPr>
        <w:t>Tabelle</w:t>
      </w:r>
    </w:p>
    <w:p w14:paraId="1FBDBCFE" w14:textId="569DC431" w:rsidR="009B6651" w:rsidRDefault="009B6651" w:rsidP="009B6651">
      <w:pPr>
        <w:pStyle w:val="LoesungAufgabe"/>
      </w:pPr>
      <w:r>
        <w:t>2.3</w:t>
      </w:r>
      <w:r>
        <w:tab/>
      </w:r>
      <w:r w:rsidR="00A9637D" w:rsidRPr="00554FE3">
        <w:rPr>
          <w:rFonts w:cs="Calibri"/>
          <w:szCs w:val="22"/>
        </w:rPr>
        <w:t>siehe Excel-</w:t>
      </w:r>
      <w:r w:rsidRPr="00554FE3">
        <w:rPr>
          <w:rFonts w:cs="Calibri"/>
          <w:szCs w:val="22"/>
        </w:rPr>
        <w:t>Tabelle</w:t>
      </w:r>
    </w:p>
    <w:p w14:paraId="0162EF13" w14:textId="42BB3BBF" w:rsidR="009B6651" w:rsidRPr="00A631C7" w:rsidRDefault="009B6651" w:rsidP="00A631C7">
      <w:pPr>
        <w:pStyle w:val="LoesungAufgabe"/>
      </w:pPr>
      <w:r>
        <w:t>2.4</w:t>
      </w:r>
      <w:r>
        <w:tab/>
      </w:r>
      <w:r w:rsidR="00A631C7" w:rsidRPr="00A631C7">
        <w:t>Merknotiz:</w:t>
      </w:r>
      <w:r w:rsidR="00A631C7">
        <w:br/>
      </w:r>
      <w:r w:rsidR="00A631C7" w:rsidRPr="00A631C7">
        <w:t xml:space="preserve">Zunächst sind die Ergebnisse aus der </w:t>
      </w:r>
      <w:r w:rsidR="00A631C7" w:rsidRPr="00554FE3">
        <w:t>VKR</w:t>
      </w:r>
      <w:r w:rsidR="00A631C7" w:rsidRPr="00A631C7">
        <w:t xml:space="preserve"> und </w:t>
      </w:r>
      <w:r w:rsidR="00A631C7" w:rsidRPr="00554FE3">
        <w:t>TKR</w:t>
      </w:r>
      <w:r w:rsidR="00A631C7" w:rsidRPr="00A631C7">
        <w:t xml:space="preserve"> unterschiedlich, da die Fixkosten von Kugellager</w:t>
      </w:r>
      <w:r w:rsidR="00A631C7">
        <w:t> </w:t>
      </w:r>
      <w:r w:rsidR="00A631C7" w:rsidRPr="00A631C7">
        <w:t xml:space="preserve">III </w:t>
      </w:r>
      <w:r w:rsidR="00A631C7" w:rsidRPr="00A631C7">
        <w:lastRenderedPageBreak/>
        <w:t xml:space="preserve">bei der Vollkostenrechnung nicht verursachungsgerecht zugeordnet werden. Somit steigt vermeintlich das BE nach der </w:t>
      </w:r>
      <w:r w:rsidR="00A631C7" w:rsidRPr="00554FE3">
        <w:t>VKR</w:t>
      </w:r>
      <w:r w:rsidR="00A631C7" w:rsidRPr="00A631C7">
        <w:t xml:space="preserve"> bei Herausnahme von Kugellager III aus dem Sortiment von 35.280</w:t>
      </w:r>
      <w:r w:rsidR="00A631C7">
        <w:t> </w:t>
      </w:r>
      <w:r w:rsidR="00A631C7" w:rsidRPr="00A631C7">
        <w:t>€ auf 42.530</w:t>
      </w:r>
      <w:r w:rsidR="00A631C7">
        <w:t> </w:t>
      </w:r>
      <w:r w:rsidR="00A631C7" w:rsidRPr="00A631C7">
        <w:t>€.</w:t>
      </w:r>
      <w:r w:rsidR="00A631C7">
        <w:br/>
      </w:r>
      <w:r w:rsidR="00A631C7">
        <w:br/>
      </w:r>
      <w:r w:rsidR="00A631C7" w:rsidRPr="00A631C7">
        <w:t>Bei der Teilkos</w:t>
      </w:r>
      <w:r w:rsidR="00D10EC2">
        <w:t>tenrechnung hingegen sinkt es b</w:t>
      </w:r>
      <w:r w:rsidR="00A631C7" w:rsidRPr="00A631C7">
        <w:t>ei der Herausnahme von Kugellager</w:t>
      </w:r>
      <w:r w:rsidR="00A631C7">
        <w:t> </w:t>
      </w:r>
      <w:r w:rsidR="00A631C7" w:rsidRPr="00A631C7">
        <w:t>III von ebenfalls 35.280</w:t>
      </w:r>
      <w:r w:rsidR="00A631C7">
        <w:t> </w:t>
      </w:r>
      <w:r w:rsidR="00A631C7" w:rsidRPr="00A631C7">
        <w:t>€ auf 28.580</w:t>
      </w:r>
      <w:r w:rsidR="00A631C7">
        <w:t> </w:t>
      </w:r>
      <w:r w:rsidR="00A631C7" w:rsidRPr="00A631C7">
        <w:t>€.</w:t>
      </w:r>
      <w:r w:rsidR="00A631C7">
        <w:br/>
      </w:r>
      <w:r w:rsidR="00A631C7">
        <w:br/>
      </w:r>
      <w:r w:rsidR="00A631C7" w:rsidRPr="00A631C7">
        <w:t xml:space="preserve">Werden jedoch in der </w:t>
      </w:r>
      <w:r w:rsidR="00A631C7" w:rsidRPr="00554FE3">
        <w:t>VKR</w:t>
      </w:r>
      <w:r w:rsidR="00A631C7" w:rsidRPr="00A631C7">
        <w:t xml:space="preserve"> die GK Fix von Kugellager</w:t>
      </w:r>
      <w:r w:rsidR="00A631C7">
        <w:t> </w:t>
      </w:r>
      <w:r w:rsidR="00A631C7" w:rsidRPr="00A631C7">
        <w:t xml:space="preserve">III den in der </w:t>
      </w:r>
      <w:r w:rsidR="00A631C7" w:rsidRPr="00554FE3">
        <w:t>VKR</w:t>
      </w:r>
      <w:r w:rsidR="00A631C7" w:rsidRPr="00A631C7">
        <w:t xml:space="preserve"> verbleibenden Kugellagern</w:t>
      </w:r>
      <w:r w:rsidR="00A631C7">
        <w:t> </w:t>
      </w:r>
      <w:r w:rsidR="00A631C7" w:rsidRPr="00A631C7">
        <w:t xml:space="preserve">I und II zugeordnet, so gleichen sich die Ergebnisse von </w:t>
      </w:r>
      <w:r w:rsidR="00A631C7" w:rsidRPr="00554FE3">
        <w:t>TKR</w:t>
      </w:r>
      <w:r w:rsidR="00A631C7" w:rsidRPr="00A631C7">
        <w:t xml:space="preserve"> und </w:t>
      </w:r>
      <w:r w:rsidR="00A631C7" w:rsidRPr="00554FE3">
        <w:t>VKR</w:t>
      </w:r>
      <w:r w:rsidR="00A631C7" w:rsidRPr="00A631C7">
        <w:t xml:space="preserve"> auf 28.580</w:t>
      </w:r>
      <w:r w:rsidR="00A631C7">
        <w:t> </w:t>
      </w:r>
      <w:r w:rsidR="00A631C7" w:rsidRPr="00A631C7">
        <w:t>€ an.</w:t>
      </w:r>
      <w:r w:rsidR="00A631C7">
        <w:t xml:space="preserve"> </w:t>
      </w:r>
      <w:r w:rsidR="00D10EC2">
        <w:t>D. h.</w:t>
      </w:r>
      <w:r w:rsidR="00A631C7" w:rsidRPr="00A631C7">
        <w:t>, bei der Herausnahme von Kugellager</w:t>
      </w:r>
      <w:r w:rsidR="00A631C7">
        <w:t> </w:t>
      </w:r>
      <w:r w:rsidR="00A631C7" w:rsidRPr="00A631C7">
        <w:t>III verschlechtert sich das Betriebsergebnis von 35.280</w:t>
      </w:r>
      <w:r w:rsidR="00A631C7">
        <w:t> </w:t>
      </w:r>
      <w:r w:rsidR="00A631C7" w:rsidRPr="00A631C7">
        <w:t>€</w:t>
      </w:r>
      <w:r w:rsidR="00A631C7">
        <w:t xml:space="preserve"> </w:t>
      </w:r>
      <w:r w:rsidR="00A631C7" w:rsidRPr="00A631C7">
        <w:t>auf 28.580</w:t>
      </w:r>
      <w:r w:rsidR="00A631C7">
        <w:t> </w:t>
      </w:r>
      <w:r w:rsidR="00A631C7" w:rsidRPr="00A631C7">
        <w:t>€.</w:t>
      </w:r>
      <w:r w:rsidR="00A631C7">
        <w:br/>
      </w:r>
      <w:r w:rsidR="00A631C7">
        <w:br/>
      </w:r>
      <w:r w:rsidR="00A631C7" w:rsidRPr="00A631C7">
        <w:rPr>
          <w:b/>
          <w:bCs/>
        </w:rPr>
        <w:t>Empfehlung: Kugellager III im Sortiment belassen!</w:t>
      </w:r>
    </w:p>
    <w:p w14:paraId="7DEAD4FE" w14:textId="7E9C3084" w:rsidR="009B6651" w:rsidRDefault="009B6651" w:rsidP="009B6651">
      <w:pPr>
        <w:pStyle w:val="LoesungAufgabe"/>
      </w:pPr>
      <w:r>
        <w:t>2.5</w:t>
      </w:r>
      <w:r>
        <w:tab/>
      </w:r>
      <w:r w:rsidR="00A9637D" w:rsidRPr="00554FE3">
        <w:rPr>
          <w:rFonts w:cs="Calibri"/>
          <w:szCs w:val="22"/>
        </w:rPr>
        <w:t>siehe Excel-</w:t>
      </w:r>
      <w:r w:rsidRPr="00554FE3">
        <w:rPr>
          <w:rFonts w:cs="Calibri"/>
          <w:szCs w:val="22"/>
        </w:rPr>
        <w:t>Tabelle</w:t>
      </w:r>
    </w:p>
    <w:p w14:paraId="70BEDFDA" w14:textId="463F0C7E" w:rsidR="00D84FE7" w:rsidRDefault="009B6651" w:rsidP="00D84FE7">
      <w:pPr>
        <w:pStyle w:val="LoesungAufgabe"/>
      </w:pPr>
      <w:r>
        <w:t>2.6</w:t>
      </w:r>
      <w:r>
        <w:tab/>
      </w:r>
      <w:r w:rsidR="00D84FE7" w:rsidRPr="00CE47C6">
        <w:t>Gewinns</w:t>
      </w:r>
      <w:r w:rsidR="00D84FE7" w:rsidRPr="00A44CAE">
        <w:t>chwelle</w:t>
      </w:r>
      <w:r w:rsidR="00D84FE7">
        <w:t>:</w:t>
      </w:r>
      <w:r w:rsidR="00D84FE7">
        <w:tab/>
      </w:r>
      <w:r w:rsidR="00D84FE7" w:rsidRPr="00554FE3">
        <w:t>Kf</w:t>
      </w:r>
      <w:r w:rsidR="00D84FE7" w:rsidRPr="00EC71D2">
        <w:t> =</w:t>
      </w:r>
      <w:r w:rsidR="00D84FE7">
        <w:tab/>
      </w:r>
      <w:r w:rsidR="00D84FE7">
        <w:tab/>
      </w:r>
      <w:r w:rsidR="00D84FE7" w:rsidRPr="00EC71D2">
        <w:t>100.000,00 €</w:t>
      </w:r>
      <w:r w:rsidR="00CD48B6">
        <w:tab/>
      </w:r>
      <w:r w:rsidR="00CD48B6">
        <w:tab/>
      </w:r>
      <w:r w:rsidR="00D84FE7" w:rsidRPr="00A44CAE">
        <w:t>27.027,03</w:t>
      </w:r>
      <w:r w:rsidR="00D84FE7">
        <w:t> </w:t>
      </w:r>
      <w:r w:rsidR="00CD48B6" w:rsidRPr="00554FE3">
        <w:t>Stk</w:t>
      </w:r>
      <w:r w:rsidR="00CD48B6">
        <w:t>.</w:t>
      </w:r>
      <w:r w:rsidR="00D84FE7">
        <w:br/>
        <w:t xml:space="preserve"> </w:t>
      </w:r>
      <w:r w:rsidR="00D84FE7">
        <w:tab/>
      </w:r>
      <w:r w:rsidR="00D84FE7">
        <w:tab/>
      </w:r>
      <w:r w:rsidR="00D84FE7">
        <w:tab/>
      </w:r>
      <w:r w:rsidR="00D84FE7" w:rsidRPr="00554FE3">
        <w:t>dB</w:t>
      </w:r>
      <w:r w:rsidR="00D84FE7" w:rsidRPr="00A44CAE">
        <w:t xml:space="preserve"> Stück</w:t>
      </w:r>
      <w:r w:rsidR="00D84FE7">
        <w:t xml:space="preserve"> =</w:t>
      </w:r>
      <w:r w:rsidR="00D84FE7">
        <w:tab/>
      </w:r>
      <w:r w:rsidR="00D10EC2">
        <w:t>8,50 €</w:t>
      </w:r>
      <w:r w:rsidR="00D84FE7">
        <w:t xml:space="preserve"> - 4,80 €</w:t>
      </w:r>
      <w:r w:rsidR="00D84FE7">
        <w:br/>
      </w:r>
      <w:r w:rsidR="00D84FE7">
        <w:br/>
      </w:r>
      <w:r w:rsidR="00D84FE7" w:rsidRPr="00EC71D2">
        <w:t>Ab 27.028</w:t>
      </w:r>
      <w:r w:rsidR="00CD48B6">
        <w:t> </w:t>
      </w:r>
      <w:r w:rsidR="00CD48B6" w:rsidRPr="00554FE3">
        <w:t>Stk.</w:t>
      </w:r>
      <w:r w:rsidR="00D84FE7" w:rsidRPr="00EC71D2">
        <w:t xml:space="preserve"> zusätzlich verkaufter Kugellager würde die neue Maschine Gewinn </w:t>
      </w:r>
      <w:r w:rsidR="00D84FE7" w:rsidRPr="00554FE3">
        <w:t>erzielen</w:t>
      </w:r>
      <w:r w:rsidR="00A9637D" w:rsidRPr="00A9637D">
        <w:t>.</w:t>
      </w:r>
    </w:p>
    <w:p w14:paraId="5F4A9085" w14:textId="05F50A29" w:rsidR="00EE58F8" w:rsidRDefault="009B6651" w:rsidP="00EE58F8">
      <w:pPr>
        <w:pStyle w:val="LoesungAufgabe"/>
      </w:pPr>
      <w:r>
        <w:t>2.7</w:t>
      </w:r>
      <w:r>
        <w:tab/>
      </w:r>
      <m:oMath>
        <m:sSub>
          <m:sSubPr>
            <m:ctrlPr>
              <w:rPr>
                <w:rFonts w:ascii="Cambria Math" w:hAnsi="Cambria Math"/>
              </w:rPr>
            </m:ctrlPr>
          </m:sSubPr>
          <m:e>
            <m:r>
              <w:rPr>
                <w:rFonts w:ascii="Cambria Math" w:hAnsi="Cambria Math"/>
              </w:rPr>
              <m:t>K</m:t>
            </m:r>
          </m:e>
          <m:sub>
            <m:r>
              <w:rPr>
                <w:rFonts w:ascii="Cambria Math" w:hAnsi="Cambria Math"/>
                <w:vertAlign w:val="subscript"/>
              </w:rPr>
              <m:t>eigen</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K</m:t>
            </m:r>
          </m:e>
          <m:sub>
            <m:r>
              <w:rPr>
                <w:rFonts w:ascii="Cambria Math" w:hAnsi="Cambria Math"/>
                <w:vertAlign w:val="subscript"/>
              </w:rPr>
              <m:t>fremd</m:t>
            </m:r>
          </m:sub>
        </m:sSub>
      </m:oMath>
      <w:r w:rsidR="00EE58F8">
        <w:br/>
      </w:r>
      <w:r w:rsidR="00EE58F8">
        <w:br/>
      </w:r>
      <m:oMathPara>
        <m:oMathParaPr>
          <m:jc m:val="left"/>
        </m:oMathParaPr>
        <m:oMath>
          <m:r>
            <m:rPr>
              <m:sty m:val="p"/>
            </m:rPr>
            <w:rPr>
              <w:rFonts w:ascii="Cambria Math" w:hAnsi="Cambria Math"/>
            </w:rPr>
            <m:t>100.000 €+</m:t>
          </m:r>
          <m:r>
            <w:rPr>
              <w:rFonts w:ascii="Cambria Math" w:hAnsi="Cambria Math"/>
            </w:rPr>
            <m:t>x</m:t>
          </m:r>
          <m:r>
            <m:rPr>
              <m:sty m:val="p"/>
            </m:rPr>
            <w:rPr>
              <w:rFonts w:ascii="Cambria Math" w:hAnsi="Cambria Math"/>
            </w:rPr>
            <m:t>∙4,80 €=</m:t>
          </m:r>
          <m:r>
            <w:rPr>
              <w:rFonts w:ascii="Cambria Math" w:hAnsi="Cambria Math"/>
            </w:rPr>
            <m:t>x</m:t>
          </m:r>
          <m:r>
            <m:rPr>
              <m:sty m:val="p"/>
            </m:rPr>
            <w:rPr>
              <w:rFonts w:ascii="Cambria Math" w:hAnsi="Cambria Math"/>
            </w:rPr>
            <m:t>∙8,00 €</m:t>
          </m:r>
          <m:r>
            <m:rPr>
              <m:sty m:val="p"/>
            </m:rPr>
            <w:br/>
          </m:r>
        </m:oMath>
        <m:oMath>
          <m:r>
            <m:rPr>
              <m:sty m:val="p"/>
            </m:rPr>
            <w:br/>
          </m:r>
        </m:oMath>
        <m:oMath>
          <m:r>
            <m:rPr>
              <m:sty m:val="p"/>
            </m:rPr>
            <w:rPr>
              <w:rFonts w:ascii="Cambria Math" w:hAnsi="Cambria Math"/>
            </w:rPr>
            <m:t>↝</m:t>
          </m:r>
          <m:r>
            <w:rPr>
              <w:rFonts w:ascii="Cambria Math" w:hAnsi="Cambria Math"/>
            </w:rPr>
            <m:t>x</m:t>
          </m:r>
          <m:r>
            <m:rPr>
              <m:sty m:val="p"/>
            </m:rPr>
            <w:rPr>
              <w:rFonts w:ascii="Cambria Math" w:hAnsi="Cambria Math"/>
            </w:rPr>
            <m:t>=31.250 </m:t>
          </m:r>
          <m:r>
            <m:rPr>
              <m:nor/>
            </m:rPr>
            <m:t>Stück</m:t>
          </m:r>
          <m:r>
            <m:rPr>
              <m:sty m:val="p"/>
            </m:rPr>
            <w:br/>
          </m:r>
        </m:oMath>
        <m:oMath>
          <m:r>
            <m:rPr>
              <m:sty m:val="p"/>
            </m:rPr>
            <w:br/>
          </m:r>
        </m:oMath>
      </m:oMathPara>
      <w:r w:rsidR="00EE58F8">
        <w:t>Bis zu einem Absatz von 31.250 Stück lohnt es sich den Auftrag an den externen Wettbewerber zu vergeben.</w:t>
      </w:r>
      <w:r w:rsidR="00EE58F8">
        <w:br/>
        <w:t>Ab einem Absatz von 31.250 Stück lohnt sich die Anschaffung der neuen Maschine.</w:t>
      </w:r>
    </w:p>
    <w:p w14:paraId="44338A70" w14:textId="4A97336E" w:rsidR="009B6651" w:rsidRDefault="009B6651" w:rsidP="009B6651">
      <w:pPr>
        <w:pStyle w:val="LoesungAufgabe"/>
      </w:pPr>
    </w:p>
    <w:p w14:paraId="2B3AA1EF" w14:textId="30A5D1E8" w:rsidR="009B6651" w:rsidRPr="009B6651" w:rsidRDefault="009B6651" w:rsidP="009B6651">
      <w:pPr>
        <w:pStyle w:val="LoesungStandardFettlinks"/>
      </w:pPr>
      <w:r>
        <w:t>Aufgabe 3</w:t>
      </w:r>
    </w:p>
    <w:p w14:paraId="6DD36B7E" w14:textId="4486D2E3" w:rsidR="009B6651" w:rsidRDefault="00A9637D" w:rsidP="009B6651">
      <w:pPr>
        <w:pStyle w:val="LoesungAufgabe"/>
      </w:pPr>
      <w:r w:rsidRPr="00554FE3">
        <w:t>3.1</w:t>
      </w:r>
      <w:r w:rsidRPr="00554FE3">
        <w:tab/>
        <w:t>siehe Excel-</w:t>
      </w:r>
      <w:r w:rsidR="009B6651" w:rsidRPr="00554FE3">
        <w:t>Tabelle</w:t>
      </w:r>
    </w:p>
    <w:p w14:paraId="4A973D76" w14:textId="45A7ADED" w:rsidR="009B6651" w:rsidRDefault="00A9637D" w:rsidP="009B6651">
      <w:pPr>
        <w:pStyle w:val="LoesungAufgabe"/>
      </w:pPr>
      <w:r w:rsidRPr="00554FE3">
        <w:t>3.2</w:t>
      </w:r>
      <w:r w:rsidRPr="00554FE3">
        <w:tab/>
        <w:t>siehe Excel-</w:t>
      </w:r>
      <w:r w:rsidR="009B6651" w:rsidRPr="00554FE3">
        <w:t>Tabelle</w:t>
      </w:r>
    </w:p>
    <w:p w14:paraId="2FFCE8B0" w14:textId="4298D4E4" w:rsidR="009B6651" w:rsidRPr="009B6651" w:rsidRDefault="00A9637D" w:rsidP="009B6651">
      <w:pPr>
        <w:pStyle w:val="LoesungAufgabe"/>
      </w:pPr>
      <w:r w:rsidRPr="00554FE3">
        <w:t>3.3</w:t>
      </w:r>
      <w:r w:rsidRPr="00554FE3">
        <w:tab/>
        <w:t>siehe Excel-</w:t>
      </w:r>
      <w:r w:rsidR="009B6651" w:rsidRPr="00554FE3">
        <w:t>Tabelle</w:t>
      </w:r>
    </w:p>
    <w:sectPr w:rsidR="009B6651" w:rsidRPr="009B6651" w:rsidSect="00F35BAA">
      <w:pgSz w:w="12000" w:h="16832" w:code="9"/>
      <w:pgMar w:top="1134" w:right="1134" w:bottom="851" w:left="1134" w:header="482" w:footer="720" w:gutter="0"/>
      <w:cols w:space="708"/>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9A9BC" w14:textId="77777777" w:rsidR="00455746" w:rsidRDefault="00455746">
      <w:r>
        <w:separator/>
      </w:r>
    </w:p>
  </w:endnote>
  <w:endnote w:type="continuationSeparator" w:id="0">
    <w:p w14:paraId="0CEAF685" w14:textId="77777777" w:rsidR="00455746" w:rsidRDefault="0045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81553" w14:textId="77777777" w:rsidR="00D10EC2" w:rsidRPr="00554FE3" w:rsidRDefault="00D10E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A2577" w14:textId="4CE55EEB" w:rsidR="00D10EC2" w:rsidRPr="003A2861" w:rsidRDefault="00D10EC2" w:rsidP="003A2861">
    <w:pPr>
      <w:pStyle w:val="Fuzeile"/>
    </w:pPr>
    <w:r>
      <w:fldChar w:fldCharType="begin"/>
    </w:r>
    <w:r>
      <w:instrText xml:space="preserve"> PAGE  \* Arabic  \* MERGEFORMAT </w:instrText>
    </w:r>
    <w:r>
      <w:fldChar w:fldCharType="separate"/>
    </w:r>
    <w:r w:rsidR="00554FE3">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41BB5" w14:textId="77777777" w:rsidR="00D10EC2" w:rsidRDefault="00D10E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66857" w14:textId="77777777" w:rsidR="00455746" w:rsidRDefault="00455746">
      <w:r>
        <w:separator/>
      </w:r>
    </w:p>
  </w:footnote>
  <w:footnote w:type="continuationSeparator" w:id="0">
    <w:p w14:paraId="67522E8C" w14:textId="77777777" w:rsidR="00455746" w:rsidRDefault="00455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01044" w14:textId="77777777" w:rsidR="00D10EC2" w:rsidRDefault="00D10E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3264"/>
      <w:gridCol w:w="5228"/>
      <w:gridCol w:w="1240"/>
    </w:tblGrid>
    <w:tr w:rsidR="00D10EC2" w14:paraId="7B628542" w14:textId="77777777" w:rsidTr="00AD263E">
      <w:tc>
        <w:tcPr>
          <w:tcW w:w="3264" w:type="dxa"/>
          <w:tcBorders>
            <w:bottom w:val="single" w:sz="4" w:space="0" w:color="808080"/>
          </w:tcBorders>
          <w:shd w:val="clear" w:color="auto" w:fill="auto"/>
          <w:vAlign w:val="bottom"/>
        </w:tcPr>
        <w:p w14:paraId="32218916" w14:textId="77777777" w:rsidR="00D10EC2" w:rsidRDefault="00D10EC2" w:rsidP="007F2C63">
          <w:pPr>
            <w:pStyle w:val="Kopfzeile"/>
            <w:tabs>
              <w:tab w:val="clear" w:pos="9072"/>
              <w:tab w:val="right" w:pos="9732"/>
            </w:tabs>
            <w:ind w:left="-112"/>
            <w:jc w:val="left"/>
          </w:pPr>
          <w:r w:rsidRPr="00554FE3">
            <w:t>TuM</w:t>
          </w:r>
          <w:r w:rsidRPr="007C2137">
            <w:t> » BPE 13 » Kostenrechnung</w:t>
          </w:r>
        </w:p>
      </w:tc>
      <w:tc>
        <w:tcPr>
          <w:tcW w:w="5228" w:type="dxa"/>
          <w:tcBorders>
            <w:bottom w:val="single" w:sz="4" w:space="0" w:color="808080"/>
          </w:tcBorders>
          <w:shd w:val="clear" w:color="auto" w:fill="auto"/>
          <w:vAlign w:val="bottom"/>
        </w:tcPr>
        <w:p w14:paraId="4B94DE65" w14:textId="77777777" w:rsidR="00D10EC2" w:rsidRDefault="00D10EC2" w:rsidP="003A2861">
          <w:pPr>
            <w:pStyle w:val="Kopfzeile"/>
          </w:pPr>
        </w:p>
      </w:tc>
      <w:tc>
        <w:tcPr>
          <w:tcW w:w="1240" w:type="dxa"/>
          <w:tcBorders>
            <w:bottom w:val="single" w:sz="4" w:space="0" w:color="808080"/>
          </w:tcBorders>
          <w:shd w:val="clear" w:color="auto" w:fill="auto"/>
        </w:tcPr>
        <w:p w14:paraId="29249485" w14:textId="2E1EDAF0" w:rsidR="00D10EC2" w:rsidRDefault="00D10EC2" w:rsidP="007F2C63">
          <w:pPr>
            <w:pStyle w:val="Kopfzeile"/>
            <w:tabs>
              <w:tab w:val="clear" w:pos="9072"/>
              <w:tab w:val="right" w:pos="9732"/>
            </w:tabs>
            <w:jc w:val="right"/>
          </w:pPr>
        </w:p>
      </w:tc>
    </w:tr>
  </w:tbl>
  <w:p w14:paraId="0D9F381B" w14:textId="77777777" w:rsidR="00D10EC2" w:rsidRPr="007C2137" w:rsidRDefault="00D10EC2" w:rsidP="007C2137">
    <w:pPr>
      <w:pStyle w:val="Kopfzeile"/>
      <w:tabs>
        <w:tab w:val="clear" w:pos="9072"/>
        <w:tab w:val="right" w:pos="973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9FCC6" w14:textId="77777777" w:rsidR="00D10EC2" w:rsidRDefault="00D10E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265_"/>
      </v:shape>
    </w:pict>
  </w:numPicBullet>
  <w:abstractNum w:abstractNumId="0" w15:restartNumberingAfterBreak="0">
    <w:nsid w:val="041B3CBF"/>
    <w:multiLevelType w:val="hybridMultilevel"/>
    <w:tmpl w:val="6DDAC104"/>
    <w:lvl w:ilvl="0" w:tplc="1EBEDD66">
      <w:start w:val="1"/>
      <w:numFmt w:val="bullet"/>
      <w:lvlText w:val=""/>
      <w:lvlPicBulletId w:val="0"/>
      <w:lvlJc w:val="left"/>
      <w:pPr>
        <w:tabs>
          <w:tab w:val="num" w:pos="284"/>
        </w:tabs>
        <w:ind w:left="284" w:hanging="28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220C84"/>
    <w:multiLevelType w:val="multilevel"/>
    <w:tmpl w:val="C04CDB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7A729FC"/>
    <w:multiLevelType w:val="multilevel"/>
    <w:tmpl w:val="D8E096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C94043"/>
    <w:multiLevelType w:val="hybridMultilevel"/>
    <w:tmpl w:val="3D401A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FA5280"/>
    <w:multiLevelType w:val="hybridMultilevel"/>
    <w:tmpl w:val="2EEC99AA"/>
    <w:lvl w:ilvl="0" w:tplc="2864CDC2">
      <w:start w:val="2"/>
      <w:numFmt w:val="bullet"/>
      <w:lvlText w:val="-"/>
      <w:lvlJc w:val="left"/>
      <w:pPr>
        <w:ind w:left="720" w:hanging="360"/>
      </w:pPr>
      <w:rPr>
        <w:rFonts w:ascii="Calibri" w:eastAsia="Times New Roman" w:hAnsi="Calibri" w:cs="Calibri"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1266084"/>
    <w:multiLevelType w:val="multilevel"/>
    <w:tmpl w:val="D8E096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592493"/>
    <w:multiLevelType w:val="hybridMultilevel"/>
    <w:tmpl w:val="0CEE5556"/>
    <w:lvl w:ilvl="0" w:tplc="3FDE7434">
      <w:start w:val="1"/>
      <w:numFmt w:val="bullet"/>
      <w:pStyle w:val="LoesungAufgabeListe"/>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6B63B5"/>
    <w:multiLevelType w:val="multilevel"/>
    <w:tmpl w:val="731458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2F5FD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C73713"/>
    <w:multiLevelType w:val="hybridMultilevel"/>
    <w:tmpl w:val="4782BDB4"/>
    <w:lvl w:ilvl="0" w:tplc="3EB05098">
      <w:start w:val="1"/>
      <w:numFmt w:val="bullet"/>
      <w:pStyle w:val="LsungListe"/>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8686008"/>
    <w:multiLevelType w:val="hybridMultilevel"/>
    <w:tmpl w:val="7DCEE91E"/>
    <w:lvl w:ilvl="0" w:tplc="87A2F87E">
      <w:start w:val="2"/>
      <w:numFmt w:val="bullet"/>
      <w:lvlText w:val="-"/>
      <w:lvlJc w:val="left"/>
      <w:pPr>
        <w:ind w:left="720" w:hanging="360"/>
      </w:pPr>
      <w:rPr>
        <w:rFonts w:ascii="Calibri" w:eastAsia="Times New Roman" w:hAnsi="Calibri" w:cs="Calibri"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8C42E21"/>
    <w:multiLevelType w:val="multilevel"/>
    <w:tmpl w:val="E5E87E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C277F0C"/>
    <w:multiLevelType w:val="multilevel"/>
    <w:tmpl w:val="731458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2B7D08"/>
    <w:multiLevelType w:val="multilevel"/>
    <w:tmpl w:val="731458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5415A5"/>
    <w:multiLevelType w:val="hybridMultilevel"/>
    <w:tmpl w:val="4064A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18C0AD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15797C"/>
    <w:multiLevelType w:val="multilevel"/>
    <w:tmpl w:val="D68C50EE"/>
    <w:lvl w:ilvl="0">
      <w:start w:val="1"/>
      <w:numFmt w:val="decimal"/>
      <w:lvlText w:val="%1."/>
      <w:lvlJc w:val="left"/>
      <w:pPr>
        <w:ind w:left="360" w:hanging="360"/>
      </w:pPr>
      <w:rPr>
        <w:rFonts w:hint="default"/>
      </w:rPr>
    </w:lvl>
    <w:lvl w:ilvl="1">
      <w:start w:val="1"/>
      <w:numFmt w:val="decimal"/>
      <w:pStyle w:val="Listenabsatz"/>
      <w:isLgl/>
      <w:lvlText w:val="%1.%2."/>
      <w:lvlJc w:val="left"/>
      <w:pPr>
        <w:tabs>
          <w:tab w:val="num" w:pos="380"/>
        </w:tabs>
        <w:ind w:left="397" w:hanging="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436B29"/>
    <w:multiLevelType w:val="multilevel"/>
    <w:tmpl w:val="C04CDB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6FB6FAD"/>
    <w:multiLevelType w:val="hybridMultilevel"/>
    <w:tmpl w:val="28907D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8541D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FF202E"/>
    <w:multiLevelType w:val="hybridMultilevel"/>
    <w:tmpl w:val="1BE0D4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D022EC3"/>
    <w:multiLevelType w:val="multilevel"/>
    <w:tmpl w:val="D8E096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597E6E"/>
    <w:multiLevelType w:val="multilevel"/>
    <w:tmpl w:val="D8E096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01E3"/>
    <w:multiLevelType w:val="hybridMultilevel"/>
    <w:tmpl w:val="C6E86836"/>
    <w:lvl w:ilvl="0" w:tplc="D9540EF8">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BBE7274"/>
    <w:multiLevelType w:val="multilevel"/>
    <w:tmpl w:val="731458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436626"/>
    <w:multiLevelType w:val="multilevel"/>
    <w:tmpl w:val="C04CDB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7D54789"/>
    <w:multiLevelType w:val="hybridMultilevel"/>
    <w:tmpl w:val="0DC49B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C363B2A"/>
    <w:multiLevelType w:val="hybridMultilevel"/>
    <w:tmpl w:val="E4925854"/>
    <w:lvl w:ilvl="0" w:tplc="B2ACFAF8">
      <w:start w:val="1"/>
      <w:numFmt w:val="bullet"/>
      <w:pStyle w:val="LoesungAufgabeListe2"/>
      <w:lvlText w:val=""/>
      <w:lvlJc w:val="left"/>
      <w:pPr>
        <w:ind w:left="1588" w:hanging="360"/>
      </w:pPr>
      <w:rPr>
        <w:rFonts w:ascii="Wingdings" w:hAnsi="Wingdings" w:hint="default"/>
      </w:rPr>
    </w:lvl>
    <w:lvl w:ilvl="1" w:tplc="04070003" w:tentative="1">
      <w:start w:val="1"/>
      <w:numFmt w:val="bullet"/>
      <w:lvlText w:val="o"/>
      <w:lvlJc w:val="left"/>
      <w:pPr>
        <w:ind w:left="2308" w:hanging="360"/>
      </w:pPr>
      <w:rPr>
        <w:rFonts w:ascii="Courier New" w:hAnsi="Courier New" w:cs="Courier New" w:hint="default"/>
      </w:rPr>
    </w:lvl>
    <w:lvl w:ilvl="2" w:tplc="04070005" w:tentative="1">
      <w:start w:val="1"/>
      <w:numFmt w:val="bullet"/>
      <w:lvlText w:val=""/>
      <w:lvlJc w:val="left"/>
      <w:pPr>
        <w:ind w:left="3028" w:hanging="360"/>
      </w:pPr>
      <w:rPr>
        <w:rFonts w:ascii="Wingdings" w:hAnsi="Wingdings" w:cs="Wingdings" w:hint="default"/>
      </w:rPr>
    </w:lvl>
    <w:lvl w:ilvl="3" w:tplc="04070001" w:tentative="1">
      <w:start w:val="1"/>
      <w:numFmt w:val="bullet"/>
      <w:lvlText w:val=""/>
      <w:lvlJc w:val="left"/>
      <w:pPr>
        <w:ind w:left="3748" w:hanging="360"/>
      </w:pPr>
      <w:rPr>
        <w:rFonts w:ascii="Symbol" w:hAnsi="Symbol" w:cs="Symbol" w:hint="default"/>
      </w:rPr>
    </w:lvl>
    <w:lvl w:ilvl="4" w:tplc="04070003" w:tentative="1">
      <w:start w:val="1"/>
      <w:numFmt w:val="bullet"/>
      <w:lvlText w:val="o"/>
      <w:lvlJc w:val="left"/>
      <w:pPr>
        <w:ind w:left="4468" w:hanging="360"/>
      </w:pPr>
      <w:rPr>
        <w:rFonts w:ascii="Courier New" w:hAnsi="Courier New" w:cs="Courier New" w:hint="default"/>
      </w:rPr>
    </w:lvl>
    <w:lvl w:ilvl="5" w:tplc="04070005" w:tentative="1">
      <w:start w:val="1"/>
      <w:numFmt w:val="bullet"/>
      <w:lvlText w:val=""/>
      <w:lvlJc w:val="left"/>
      <w:pPr>
        <w:ind w:left="5188" w:hanging="360"/>
      </w:pPr>
      <w:rPr>
        <w:rFonts w:ascii="Wingdings" w:hAnsi="Wingdings" w:cs="Wingdings" w:hint="default"/>
      </w:rPr>
    </w:lvl>
    <w:lvl w:ilvl="6" w:tplc="04070001" w:tentative="1">
      <w:start w:val="1"/>
      <w:numFmt w:val="bullet"/>
      <w:lvlText w:val=""/>
      <w:lvlJc w:val="left"/>
      <w:pPr>
        <w:ind w:left="5908" w:hanging="360"/>
      </w:pPr>
      <w:rPr>
        <w:rFonts w:ascii="Symbol" w:hAnsi="Symbol" w:cs="Symbol" w:hint="default"/>
      </w:rPr>
    </w:lvl>
    <w:lvl w:ilvl="7" w:tplc="04070003" w:tentative="1">
      <w:start w:val="1"/>
      <w:numFmt w:val="bullet"/>
      <w:lvlText w:val="o"/>
      <w:lvlJc w:val="left"/>
      <w:pPr>
        <w:ind w:left="6628" w:hanging="360"/>
      </w:pPr>
      <w:rPr>
        <w:rFonts w:ascii="Courier New" w:hAnsi="Courier New" w:cs="Courier New" w:hint="default"/>
      </w:rPr>
    </w:lvl>
    <w:lvl w:ilvl="8" w:tplc="04070005" w:tentative="1">
      <w:start w:val="1"/>
      <w:numFmt w:val="bullet"/>
      <w:lvlText w:val=""/>
      <w:lvlJc w:val="left"/>
      <w:pPr>
        <w:ind w:left="7348" w:hanging="360"/>
      </w:pPr>
      <w:rPr>
        <w:rFonts w:ascii="Wingdings" w:hAnsi="Wingdings" w:cs="Wingdings" w:hint="default"/>
      </w:rPr>
    </w:lvl>
  </w:abstractNum>
  <w:abstractNum w:abstractNumId="28" w15:restartNumberingAfterBreak="0">
    <w:nsid w:val="5F1F705C"/>
    <w:multiLevelType w:val="multilevel"/>
    <w:tmpl w:val="A01CC0C0"/>
    <w:lvl w:ilvl="0">
      <w:start w:val="1"/>
      <w:numFmt w:val="decimal"/>
      <w:lvlText w:val="%1."/>
      <w:lvlJc w:val="left"/>
      <w:pPr>
        <w:tabs>
          <w:tab w:val="num" w:pos="357"/>
        </w:tabs>
        <w:ind w:left="360" w:hanging="360"/>
      </w:pPr>
      <w:rPr>
        <w:rFonts w:hint="default"/>
      </w:rPr>
    </w:lvl>
    <w:lvl w:ilvl="1">
      <w:start w:val="1"/>
      <w:numFmt w:val="decimal"/>
      <w:isLg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E22351"/>
    <w:multiLevelType w:val="hybridMultilevel"/>
    <w:tmpl w:val="79CAE066"/>
    <w:lvl w:ilvl="0" w:tplc="4DCAAD56">
      <w:start w:val="1"/>
      <w:numFmt w:val="bullet"/>
      <w:lvlText w:val=""/>
      <w:lvlJc w:val="left"/>
      <w:pPr>
        <w:ind w:left="720" w:hanging="360"/>
      </w:pPr>
      <w:rPr>
        <w:rFonts w:ascii="Symbol" w:hAnsi="Symbol" w:hint="default"/>
        <w:color w:val="FF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6A70181D"/>
    <w:multiLevelType w:val="hybridMultilevel"/>
    <w:tmpl w:val="AB4C2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CA77A7"/>
    <w:multiLevelType w:val="multilevel"/>
    <w:tmpl w:val="731458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460B0C"/>
    <w:multiLevelType w:val="hybridMultilevel"/>
    <w:tmpl w:val="DDFED854"/>
    <w:lvl w:ilvl="0" w:tplc="C82E20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F31721"/>
    <w:multiLevelType w:val="multilevel"/>
    <w:tmpl w:val="29A63C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E2B119C"/>
    <w:multiLevelType w:val="multilevel"/>
    <w:tmpl w:val="C04CDB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FF108F9"/>
    <w:multiLevelType w:val="multilevel"/>
    <w:tmpl w:val="C04CDB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6"/>
  </w:num>
  <w:num w:numId="2">
    <w:abstractNumId w:val="0"/>
  </w:num>
  <w:num w:numId="3">
    <w:abstractNumId w:val="3"/>
  </w:num>
  <w:num w:numId="4">
    <w:abstractNumId w:val="20"/>
  </w:num>
  <w:num w:numId="5">
    <w:abstractNumId w:val="18"/>
  </w:num>
  <w:num w:numId="6">
    <w:abstractNumId w:val="14"/>
  </w:num>
  <w:num w:numId="7">
    <w:abstractNumId w:val="30"/>
  </w:num>
  <w:num w:numId="8">
    <w:abstractNumId w:val="21"/>
  </w:num>
  <w:num w:numId="9">
    <w:abstractNumId w:val="13"/>
  </w:num>
  <w:num w:numId="10">
    <w:abstractNumId w:val="12"/>
  </w:num>
  <w:num w:numId="11">
    <w:abstractNumId w:val="11"/>
  </w:num>
  <w:num w:numId="12">
    <w:abstractNumId w:val="24"/>
  </w:num>
  <w:num w:numId="13">
    <w:abstractNumId w:val="7"/>
  </w:num>
  <w:num w:numId="14">
    <w:abstractNumId w:val="31"/>
  </w:num>
  <w:num w:numId="15">
    <w:abstractNumId w:val="5"/>
  </w:num>
  <w:num w:numId="16">
    <w:abstractNumId w:val="22"/>
  </w:num>
  <w:num w:numId="17">
    <w:abstractNumId w:val="2"/>
  </w:num>
  <w:num w:numId="18">
    <w:abstractNumId w:val="17"/>
  </w:num>
  <w:num w:numId="19">
    <w:abstractNumId w:val="1"/>
  </w:num>
  <w:num w:numId="20">
    <w:abstractNumId w:val="34"/>
  </w:num>
  <w:num w:numId="21">
    <w:abstractNumId w:val="35"/>
  </w:num>
  <w:num w:numId="22">
    <w:abstractNumId w:val="25"/>
  </w:num>
  <w:num w:numId="23">
    <w:abstractNumId w:val="28"/>
  </w:num>
  <w:num w:numId="24">
    <w:abstractNumId w:val="33"/>
  </w:num>
  <w:num w:numId="25">
    <w:abstractNumId w:val="8"/>
  </w:num>
  <w:num w:numId="26">
    <w:abstractNumId w:val="19"/>
  </w:num>
  <w:num w:numId="27">
    <w:abstractNumId w:val="16"/>
  </w:num>
  <w:num w:numId="28">
    <w:abstractNumId w:val="15"/>
  </w:num>
  <w:num w:numId="29">
    <w:abstractNumId w:val="9"/>
  </w:num>
  <w:num w:numId="30">
    <w:abstractNumId w:val="32"/>
  </w:num>
  <w:num w:numId="31">
    <w:abstractNumId w:val="29"/>
  </w:num>
  <w:num w:numId="32">
    <w:abstractNumId w:val="6"/>
  </w:num>
  <w:num w:numId="33">
    <w:abstractNumId w:val="27"/>
  </w:num>
  <w:num w:numId="34">
    <w:abstractNumId w:val="10"/>
  </w:num>
  <w:num w:numId="35">
    <w:abstractNumId w:val="4"/>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425"/>
  <w:drawingGridHorizontalSpacing w:val="90"/>
  <w:drawingGridVerticalSpacing w:val="245"/>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D26"/>
    <w:rsid w:val="00010A90"/>
    <w:rsid w:val="000122B9"/>
    <w:rsid w:val="00023A71"/>
    <w:rsid w:val="0005424D"/>
    <w:rsid w:val="00057AF1"/>
    <w:rsid w:val="00063306"/>
    <w:rsid w:val="00064EC6"/>
    <w:rsid w:val="00071B6E"/>
    <w:rsid w:val="00076B47"/>
    <w:rsid w:val="00083972"/>
    <w:rsid w:val="00094AC7"/>
    <w:rsid w:val="000B10BF"/>
    <w:rsid w:val="000E0824"/>
    <w:rsid w:val="001076E6"/>
    <w:rsid w:val="00111864"/>
    <w:rsid w:val="00160F06"/>
    <w:rsid w:val="0016578E"/>
    <w:rsid w:val="00184CD0"/>
    <w:rsid w:val="001C215A"/>
    <w:rsid w:val="001D2632"/>
    <w:rsid w:val="001D6427"/>
    <w:rsid w:val="002078FA"/>
    <w:rsid w:val="002219A9"/>
    <w:rsid w:val="00223EF2"/>
    <w:rsid w:val="00231360"/>
    <w:rsid w:val="00270D51"/>
    <w:rsid w:val="00277147"/>
    <w:rsid w:val="00280A50"/>
    <w:rsid w:val="00284940"/>
    <w:rsid w:val="002A5736"/>
    <w:rsid w:val="002B236F"/>
    <w:rsid w:val="002C2E78"/>
    <w:rsid w:val="002C39B6"/>
    <w:rsid w:val="002C4ECA"/>
    <w:rsid w:val="002E195A"/>
    <w:rsid w:val="002E6F44"/>
    <w:rsid w:val="00305871"/>
    <w:rsid w:val="003455F5"/>
    <w:rsid w:val="00372DCC"/>
    <w:rsid w:val="00390A57"/>
    <w:rsid w:val="003961C6"/>
    <w:rsid w:val="003A2861"/>
    <w:rsid w:val="003C52C4"/>
    <w:rsid w:val="00421F8C"/>
    <w:rsid w:val="0044388A"/>
    <w:rsid w:val="00455746"/>
    <w:rsid w:val="00457E37"/>
    <w:rsid w:val="00465F2E"/>
    <w:rsid w:val="0048786A"/>
    <w:rsid w:val="00492976"/>
    <w:rsid w:val="004947A3"/>
    <w:rsid w:val="004A2AD9"/>
    <w:rsid w:val="004B4852"/>
    <w:rsid w:val="004C2D84"/>
    <w:rsid w:val="004D5F5D"/>
    <w:rsid w:val="004E00AA"/>
    <w:rsid w:val="0051761D"/>
    <w:rsid w:val="005231E9"/>
    <w:rsid w:val="00532127"/>
    <w:rsid w:val="00554FE3"/>
    <w:rsid w:val="00564053"/>
    <w:rsid w:val="005712DC"/>
    <w:rsid w:val="00577EE6"/>
    <w:rsid w:val="00581D37"/>
    <w:rsid w:val="005B5837"/>
    <w:rsid w:val="0061600A"/>
    <w:rsid w:val="00623F29"/>
    <w:rsid w:val="006571A9"/>
    <w:rsid w:val="00666064"/>
    <w:rsid w:val="00680812"/>
    <w:rsid w:val="006B51F3"/>
    <w:rsid w:val="006C12D3"/>
    <w:rsid w:val="006C1334"/>
    <w:rsid w:val="006C1EA4"/>
    <w:rsid w:val="006D4BB6"/>
    <w:rsid w:val="006E61EA"/>
    <w:rsid w:val="006F040B"/>
    <w:rsid w:val="00706866"/>
    <w:rsid w:val="00722379"/>
    <w:rsid w:val="00724BBD"/>
    <w:rsid w:val="00736739"/>
    <w:rsid w:val="007443F0"/>
    <w:rsid w:val="00757081"/>
    <w:rsid w:val="00763B56"/>
    <w:rsid w:val="00785D28"/>
    <w:rsid w:val="00793AEA"/>
    <w:rsid w:val="007C2137"/>
    <w:rsid w:val="007F2C63"/>
    <w:rsid w:val="0082352C"/>
    <w:rsid w:val="0083142C"/>
    <w:rsid w:val="0084415C"/>
    <w:rsid w:val="00863F05"/>
    <w:rsid w:val="008767B7"/>
    <w:rsid w:val="00876A46"/>
    <w:rsid w:val="008A0B6D"/>
    <w:rsid w:val="008A1C22"/>
    <w:rsid w:val="008A7993"/>
    <w:rsid w:val="008B3673"/>
    <w:rsid w:val="008C2196"/>
    <w:rsid w:val="008D151C"/>
    <w:rsid w:val="008F0F6E"/>
    <w:rsid w:val="00913E6F"/>
    <w:rsid w:val="00915DCF"/>
    <w:rsid w:val="00920609"/>
    <w:rsid w:val="00940275"/>
    <w:rsid w:val="00946678"/>
    <w:rsid w:val="00963D26"/>
    <w:rsid w:val="00970F58"/>
    <w:rsid w:val="009B1ECB"/>
    <w:rsid w:val="009B6651"/>
    <w:rsid w:val="009C5C00"/>
    <w:rsid w:val="009C6226"/>
    <w:rsid w:val="009E1867"/>
    <w:rsid w:val="00A44CAE"/>
    <w:rsid w:val="00A509C7"/>
    <w:rsid w:val="00A540C7"/>
    <w:rsid w:val="00A56E09"/>
    <w:rsid w:val="00A631C7"/>
    <w:rsid w:val="00A85148"/>
    <w:rsid w:val="00A9637D"/>
    <w:rsid w:val="00AA58C5"/>
    <w:rsid w:val="00AC103D"/>
    <w:rsid w:val="00AD263E"/>
    <w:rsid w:val="00AD5AA3"/>
    <w:rsid w:val="00AF6A63"/>
    <w:rsid w:val="00B23A78"/>
    <w:rsid w:val="00B33500"/>
    <w:rsid w:val="00B35A7A"/>
    <w:rsid w:val="00B41CCE"/>
    <w:rsid w:val="00B5284B"/>
    <w:rsid w:val="00B61FBB"/>
    <w:rsid w:val="00B65BF9"/>
    <w:rsid w:val="00B872C9"/>
    <w:rsid w:val="00B939F9"/>
    <w:rsid w:val="00B94B6D"/>
    <w:rsid w:val="00BA2401"/>
    <w:rsid w:val="00BA37AF"/>
    <w:rsid w:val="00BB0FAF"/>
    <w:rsid w:val="00BB4EBD"/>
    <w:rsid w:val="00BB6781"/>
    <w:rsid w:val="00BC37E0"/>
    <w:rsid w:val="00BD084F"/>
    <w:rsid w:val="00BD32FD"/>
    <w:rsid w:val="00BE6095"/>
    <w:rsid w:val="00BE728B"/>
    <w:rsid w:val="00C3006A"/>
    <w:rsid w:val="00C451CC"/>
    <w:rsid w:val="00C46890"/>
    <w:rsid w:val="00C55EAB"/>
    <w:rsid w:val="00C64D99"/>
    <w:rsid w:val="00C71A67"/>
    <w:rsid w:val="00C76135"/>
    <w:rsid w:val="00C77CA6"/>
    <w:rsid w:val="00C847AA"/>
    <w:rsid w:val="00CC1E54"/>
    <w:rsid w:val="00CC6891"/>
    <w:rsid w:val="00CD48B6"/>
    <w:rsid w:val="00CE47C6"/>
    <w:rsid w:val="00D02AA6"/>
    <w:rsid w:val="00D10EC2"/>
    <w:rsid w:val="00D20101"/>
    <w:rsid w:val="00D2295B"/>
    <w:rsid w:val="00D30444"/>
    <w:rsid w:val="00D37F5C"/>
    <w:rsid w:val="00D46445"/>
    <w:rsid w:val="00D46EA6"/>
    <w:rsid w:val="00D77006"/>
    <w:rsid w:val="00D84FE7"/>
    <w:rsid w:val="00D92177"/>
    <w:rsid w:val="00DA2D2A"/>
    <w:rsid w:val="00DC4719"/>
    <w:rsid w:val="00E10C4E"/>
    <w:rsid w:val="00E12FA7"/>
    <w:rsid w:val="00E179E3"/>
    <w:rsid w:val="00E26166"/>
    <w:rsid w:val="00E27D1C"/>
    <w:rsid w:val="00E43E7C"/>
    <w:rsid w:val="00E56BBA"/>
    <w:rsid w:val="00E7527C"/>
    <w:rsid w:val="00E7537E"/>
    <w:rsid w:val="00E76CF2"/>
    <w:rsid w:val="00E8329D"/>
    <w:rsid w:val="00E860C1"/>
    <w:rsid w:val="00EA59E9"/>
    <w:rsid w:val="00EC71D2"/>
    <w:rsid w:val="00EE58F8"/>
    <w:rsid w:val="00F01715"/>
    <w:rsid w:val="00F03871"/>
    <w:rsid w:val="00F04F7C"/>
    <w:rsid w:val="00F1701B"/>
    <w:rsid w:val="00F35BAA"/>
    <w:rsid w:val="00F9545F"/>
    <w:rsid w:val="00FA2836"/>
    <w:rsid w:val="00FC6292"/>
    <w:rsid w:val="00FC7546"/>
    <w:rsid w:val="00FD491B"/>
    <w:rsid w:val="00FD60BE"/>
    <w:rsid w:val="00FF13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EF39AF"/>
  <w15:chartTrackingRefBased/>
  <w15:docId w15:val="{2C810833-A154-4E3B-A0D6-D2976CA7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6166"/>
    <w:pPr>
      <w:spacing w:before="120" w:after="120"/>
      <w:jc w:val="both"/>
    </w:pPr>
    <w:rPr>
      <w:rFonts w:ascii="Calibri" w:hAnsi="Calibri"/>
      <w:sz w:val="22"/>
      <w:szCs w:val="24"/>
    </w:rPr>
  </w:style>
  <w:style w:type="paragraph" w:styleId="berschrift1">
    <w:name w:val="heading 1"/>
    <w:basedOn w:val="Standard"/>
    <w:next w:val="Standard"/>
    <w:qFormat/>
    <w:rsid w:val="003A2861"/>
    <w:pPr>
      <w:keepNext/>
      <w:spacing w:before="240"/>
      <w:jc w:val="left"/>
      <w:outlineLvl w:val="0"/>
    </w:pPr>
    <w:rPr>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13E6F"/>
    <w:pPr>
      <w:tabs>
        <w:tab w:val="center" w:pos="4536"/>
        <w:tab w:val="right" w:pos="9072"/>
      </w:tabs>
      <w:spacing w:after="60"/>
    </w:pPr>
    <w:rPr>
      <w:sz w:val="20"/>
    </w:rPr>
  </w:style>
  <w:style w:type="paragraph" w:styleId="Fuzeile">
    <w:name w:val="footer"/>
    <w:basedOn w:val="Standard"/>
    <w:rsid w:val="003A2861"/>
    <w:pPr>
      <w:tabs>
        <w:tab w:val="center" w:pos="4536"/>
        <w:tab w:val="right" w:pos="9072"/>
      </w:tabs>
      <w:jc w:val="right"/>
    </w:pPr>
  </w:style>
  <w:style w:type="character" w:styleId="Seitenzahl">
    <w:name w:val="page number"/>
    <w:basedOn w:val="Absatz-Standardschriftart"/>
  </w:style>
  <w:style w:type="table" w:styleId="Tabellenraster">
    <w:name w:val="Table Grid"/>
    <w:basedOn w:val="NormaleTabelle"/>
    <w:rsid w:val="00F95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2E195A"/>
    <w:rPr>
      <w:rFonts w:ascii="Segoe UI" w:hAnsi="Segoe UI" w:cs="Segoe UI"/>
      <w:sz w:val="18"/>
      <w:szCs w:val="18"/>
    </w:rPr>
  </w:style>
  <w:style w:type="character" w:customStyle="1" w:styleId="SprechblasentextZchn">
    <w:name w:val="Sprechblasentext Zchn"/>
    <w:link w:val="Sprechblasentext"/>
    <w:rsid w:val="002E195A"/>
    <w:rPr>
      <w:rFonts w:ascii="Segoe UI" w:hAnsi="Segoe UI" w:cs="Segoe UI"/>
      <w:sz w:val="18"/>
      <w:szCs w:val="18"/>
    </w:rPr>
  </w:style>
  <w:style w:type="paragraph" w:styleId="Listenabsatz">
    <w:name w:val="List Paragraph"/>
    <w:basedOn w:val="Standard"/>
    <w:autoRedefine/>
    <w:uiPriority w:val="34"/>
    <w:qFormat/>
    <w:rsid w:val="006C1334"/>
    <w:pPr>
      <w:numPr>
        <w:ilvl w:val="1"/>
        <w:numId w:val="27"/>
      </w:numPr>
    </w:pPr>
  </w:style>
  <w:style w:type="paragraph" w:customStyle="1" w:styleId="StandardFett">
    <w:name w:val="Standard_Fett"/>
    <w:basedOn w:val="Standard"/>
    <w:qFormat/>
    <w:rsid w:val="006C1334"/>
    <w:rPr>
      <w:b/>
    </w:rPr>
  </w:style>
  <w:style w:type="paragraph" w:customStyle="1" w:styleId="LoesungStandard">
    <w:name w:val="Loesung_Standard"/>
    <w:basedOn w:val="Standard"/>
    <w:qFormat/>
    <w:rsid w:val="007443F0"/>
    <w:rPr>
      <w:color w:val="FF0000"/>
    </w:rPr>
  </w:style>
  <w:style w:type="paragraph" w:customStyle="1" w:styleId="Aufgabe">
    <w:name w:val="Aufgabe"/>
    <w:basedOn w:val="Standard"/>
    <w:qFormat/>
    <w:rsid w:val="00FD60BE"/>
    <w:pPr>
      <w:tabs>
        <w:tab w:val="left" w:pos="425"/>
      </w:tabs>
      <w:spacing w:before="240" w:after="240"/>
      <w:ind w:left="510" w:hanging="510"/>
      <w:jc w:val="left"/>
    </w:pPr>
  </w:style>
  <w:style w:type="paragraph" w:customStyle="1" w:styleId="LsungListe">
    <w:name w:val="Lösung_Liste"/>
    <w:basedOn w:val="LoesungStandard"/>
    <w:qFormat/>
    <w:rsid w:val="00064EC6"/>
    <w:pPr>
      <w:numPr>
        <w:numId w:val="29"/>
      </w:numPr>
      <w:spacing w:after="240"/>
      <w:ind w:left="714" w:hanging="357"/>
    </w:pPr>
    <w:rPr>
      <w:bCs/>
    </w:rPr>
  </w:style>
  <w:style w:type="paragraph" w:customStyle="1" w:styleId="LsungStandardrechts">
    <w:name w:val="Lösung_Standard_rechts"/>
    <w:basedOn w:val="LoesungStandard"/>
    <w:qFormat/>
    <w:rsid w:val="007443F0"/>
    <w:pPr>
      <w:jc w:val="right"/>
    </w:pPr>
  </w:style>
  <w:style w:type="paragraph" w:customStyle="1" w:styleId="StandardFettzentriert">
    <w:name w:val="Standard_Fett_zentriert"/>
    <w:basedOn w:val="StandardFett"/>
    <w:qFormat/>
    <w:rsid w:val="00E26166"/>
    <w:pPr>
      <w:jc w:val="center"/>
    </w:pPr>
  </w:style>
  <w:style w:type="paragraph" w:customStyle="1" w:styleId="Standardrechts">
    <w:name w:val="Standard_rechts"/>
    <w:basedOn w:val="Standard"/>
    <w:qFormat/>
    <w:rsid w:val="00E26166"/>
    <w:pPr>
      <w:jc w:val="right"/>
    </w:pPr>
  </w:style>
  <w:style w:type="paragraph" w:customStyle="1" w:styleId="Standardzentriert">
    <w:name w:val="Standard_zentriert"/>
    <w:basedOn w:val="Standard"/>
    <w:qFormat/>
    <w:rsid w:val="00E26166"/>
    <w:pPr>
      <w:jc w:val="center"/>
    </w:pPr>
  </w:style>
  <w:style w:type="paragraph" w:customStyle="1" w:styleId="Standardfettrechts">
    <w:name w:val="Standard_fett_rechts"/>
    <w:basedOn w:val="Standard"/>
    <w:qFormat/>
    <w:rsid w:val="00E26166"/>
    <w:pPr>
      <w:jc w:val="right"/>
    </w:pPr>
    <w:rPr>
      <w:b/>
    </w:rPr>
  </w:style>
  <w:style w:type="paragraph" w:customStyle="1" w:styleId="LoesungStandardFettzentriert">
    <w:name w:val="Loesung_Standard_Fett_zentriert"/>
    <w:basedOn w:val="LoesungStandard"/>
    <w:qFormat/>
    <w:rsid w:val="00623F29"/>
    <w:pPr>
      <w:jc w:val="center"/>
    </w:pPr>
    <w:rPr>
      <w:b/>
    </w:rPr>
  </w:style>
  <w:style w:type="paragraph" w:customStyle="1" w:styleId="LoesungStandardFettlinks">
    <w:name w:val="Loesung_Standard_Fett_links"/>
    <w:basedOn w:val="LoesungStandard"/>
    <w:qFormat/>
    <w:rsid w:val="00064EC6"/>
    <w:pPr>
      <w:spacing w:before="240" w:after="240"/>
      <w:jc w:val="left"/>
    </w:pPr>
    <w:rPr>
      <w:b/>
    </w:rPr>
  </w:style>
  <w:style w:type="character" w:styleId="Platzhaltertext">
    <w:name w:val="Placeholder Text"/>
    <w:basedOn w:val="Absatz-Standardschriftart"/>
    <w:uiPriority w:val="99"/>
    <w:semiHidden/>
    <w:rsid w:val="00EC71D2"/>
    <w:rPr>
      <w:color w:val="808080"/>
    </w:rPr>
  </w:style>
  <w:style w:type="paragraph" w:customStyle="1" w:styleId="LoesungStandardzentriert">
    <w:name w:val="Loesung_Standard_zentriert"/>
    <w:basedOn w:val="LoesungStandard"/>
    <w:qFormat/>
    <w:rsid w:val="00B5284B"/>
    <w:pPr>
      <w:jc w:val="center"/>
    </w:pPr>
  </w:style>
  <w:style w:type="paragraph" w:customStyle="1" w:styleId="Lsungberschrift">
    <w:name w:val="Lösung_Überschrift"/>
    <w:basedOn w:val="berschrift1"/>
    <w:next w:val="LoesungStandard"/>
    <w:qFormat/>
    <w:rsid w:val="00064EC6"/>
    <w:rPr>
      <w:color w:val="FF0000"/>
    </w:rPr>
  </w:style>
  <w:style w:type="paragraph" w:customStyle="1" w:styleId="LoesungAufgabe">
    <w:name w:val="Loesung_Aufgabe"/>
    <w:basedOn w:val="Aufgabe"/>
    <w:next w:val="LoesungStandard"/>
    <w:qFormat/>
    <w:rsid w:val="00064EC6"/>
    <w:rPr>
      <w:color w:val="FF0000"/>
    </w:rPr>
  </w:style>
  <w:style w:type="paragraph" w:customStyle="1" w:styleId="LoesungAufgabeListe">
    <w:name w:val="Loesung_Aufgabe_Liste"/>
    <w:basedOn w:val="LoesungAufgabe"/>
    <w:next w:val="LoesungAufgabe"/>
    <w:qFormat/>
    <w:rsid w:val="009B6651"/>
    <w:pPr>
      <w:numPr>
        <w:numId w:val="32"/>
      </w:numPr>
      <w:tabs>
        <w:tab w:val="clear" w:pos="425"/>
        <w:tab w:val="left" w:pos="794"/>
        <w:tab w:val="left" w:pos="2552"/>
      </w:tabs>
      <w:spacing w:before="120" w:after="120"/>
      <w:ind w:left="867" w:hanging="357"/>
    </w:pPr>
  </w:style>
  <w:style w:type="paragraph" w:customStyle="1" w:styleId="LoesungAufgabeListe2">
    <w:name w:val="Loesung_Aufgabe_Liste_2"/>
    <w:basedOn w:val="LoesungAufgabeListe"/>
    <w:next w:val="LoesungAufgabeListe"/>
    <w:qFormat/>
    <w:rsid w:val="009B6651"/>
    <w:pPr>
      <w:numPr>
        <w:numId w:val="33"/>
      </w:numPr>
      <w:tabs>
        <w:tab w:val="clear" w:pos="794"/>
        <w:tab w:val="left" w:pos="1225"/>
      </w:tabs>
      <w:ind w:left="1322" w:hanging="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1272">
      <w:bodyDiv w:val="1"/>
      <w:marLeft w:val="0"/>
      <w:marRight w:val="0"/>
      <w:marTop w:val="0"/>
      <w:marBottom w:val="0"/>
      <w:divBdr>
        <w:top w:val="none" w:sz="0" w:space="0" w:color="auto"/>
        <w:left w:val="none" w:sz="0" w:space="0" w:color="auto"/>
        <w:bottom w:val="none" w:sz="0" w:space="0" w:color="auto"/>
        <w:right w:val="none" w:sz="0" w:space="0" w:color="auto"/>
      </w:divBdr>
    </w:div>
    <w:div w:id="28991366">
      <w:bodyDiv w:val="1"/>
      <w:marLeft w:val="0"/>
      <w:marRight w:val="0"/>
      <w:marTop w:val="0"/>
      <w:marBottom w:val="0"/>
      <w:divBdr>
        <w:top w:val="none" w:sz="0" w:space="0" w:color="auto"/>
        <w:left w:val="none" w:sz="0" w:space="0" w:color="auto"/>
        <w:bottom w:val="none" w:sz="0" w:space="0" w:color="auto"/>
        <w:right w:val="none" w:sz="0" w:space="0" w:color="auto"/>
      </w:divBdr>
    </w:div>
    <w:div w:id="164784023">
      <w:bodyDiv w:val="1"/>
      <w:marLeft w:val="0"/>
      <w:marRight w:val="0"/>
      <w:marTop w:val="0"/>
      <w:marBottom w:val="0"/>
      <w:divBdr>
        <w:top w:val="none" w:sz="0" w:space="0" w:color="auto"/>
        <w:left w:val="none" w:sz="0" w:space="0" w:color="auto"/>
        <w:bottom w:val="none" w:sz="0" w:space="0" w:color="auto"/>
        <w:right w:val="none" w:sz="0" w:space="0" w:color="auto"/>
      </w:divBdr>
    </w:div>
    <w:div w:id="529336962">
      <w:bodyDiv w:val="1"/>
      <w:marLeft w:val="0"/>
      <w:marRight w:val="0"/>
      <w:marTop w:val="0"/>
      <w:marBottom w:val="0"/>
      <w:divBdr>
        <w:top w:val="none" w:sz="0" w:space="0" w:color="auto"/>
        <w:left w:val="none" w:sz="0" w:space="0" w:color="auto"/>
        <w:bottom w:val="none" w:sz="0" w:space="0" w:color="auto"/>
        <w:right w:val="none" w:sz="0" w:space="0" w:color="auto"/>
      </w:divBdr>
    </w:div>
    <w:div w:id="620186557">
      <w:bodyDiv w:val="1"/>
      <w:marLeft w:val="0"/>
      <w:marRight w:val="0"/>
      <w:marTop w:val="0"/>
      <w:marBottom w:val="0"/>
      <w:divBdr>
        <w:top w:val="none" w:sz="0" w:space="0" w:color="auto"/>
        <w:left w:val="none" w:sz="0" w:space="0" w:color="auto"/>
        <w:bottom w:val="none" w:sz="0" w:space="0" w:color="auto"/>
        <w:right w:val="none" w:sz="0" w:space="0" w:color="auto"/>
      </w:divBdr>
    </w:div>
    <w:div w:id="1006708013">
      <w:bodyDiv w:val="1"/>
      <w:marLeft w:val="0"/>
      <w:marRight w:val="0"/>
      <w:marTop w:val="0"/>
      <w:marBottom w:val="0"/>
      <w:divBdr>
        <w:top w:val="none" w:sz="0" w:space="0" w:color="auto"/>
        <w:left w:val="none" w:sz="0" w:space="0" w:color="auto"/>
        <w:bottom w:val="none" w:sz="0" w:space="0" w:color="auto"/>
        <w:right w:val="none" w:sz="0" w:space="0" w:color="auto"/>
      </w:divBdr>
    </w:div>
    <w:div w:id="1081754774">
      <w:bodyDiv w:val="1"/>
      <w:marLeft w:val="0"/>
      <w:marRight w:val="0"/>
      <w:marTop w:val="0"/>
      <w:marBottom w:val="0"/>
      <w:divBdr>
        <w:top w:val="none" w:sz="0" w:space="0" w:color="auto"/>
        <w:left w:val="none" w:sz="0" w:space="0" w:color="auto"/>
        <w:bottom w:val="none" w:sz="0" w:space="0" w:color="auto"/>
        <w:right w:val="none" w:sz="0" w:space="0" w:color="auto"/>
      </w:divBdr>
    </w:div>
    <w:div w:id="1117411781">
      <w:bodyDiv w:val="1"/>
      <w:marLeft w:val="0"/>
      <w:marRight w:val="0"/>
      <w:marTop w:val="0"/>
      <w:marBottom w:val="0"/>
      <w:divBdr>
        <w:top w:val="none" w:sz="0" w:space="0" w:color="auto"/>
        <w:left w:val="none" w:sz="0" w:space="0" w:color="auto"/>
        <w:bottom w:val="none" w:sz="0" w:space="0" w:color="auto"/>
        <w:right w:val="none" w:sz="0" w:space="0" w:color="auto"/>
      </w:divBdr>
    </w:div>
    <w:div w:id="1154445391">
      <w:bodyDiv w:val="1"/>
      <w:marLeft w:val="0"/>
      <w:marRight w:val="0"/>
      <w:marTop w:val="0"/>
      <w:marBottom w:val="0"/>
      <w:divBdr>
        <w:top w:val="none" w:sz="0" w:space="0" w:color="auto"/>
        <w:left w:val="none" w:sz="0" w:space="0" w:color="auto"/>
        <w:bottom w:val="none" w:sz="0" w:space="0" w:color="auto"/>
        <w:right w:val="none" w:sz="0" w:space="0" w:color="auto"/>
      </w:divBdr>
    </w:div>
    <w:div w:id="1189951689">
      <w:bodyDiv w:val="1"/>
      <w:marLeft w:val="0"/>
      <w:marRight w:val="0"/>
      <w:marTop w:val="0"/>
      <w:marBottom w:val="0"/>
      <w:divBdr>
        <w:top w:val="none" w:sz="0" w:space="0" w:color="auto"/>
        <w:left w:val="none" w:sz="0" w:space="0" w:color="auto"/>
        <w:bottom w:val="none" w:sz="0" w:space="0" w:color="auto"/>
        <w:right w:val="none" w:sz="0" w:space="0" w:color="auto"/>
      </w:divBdr>
    </w:div>
    <w:div w:id="1264217628">
      <w:bodyDiv w:val="1"/>
      <w:marLeft w:val="0"/>
      <w:marRight w:val="0"/>
      <w:marTop w:val="0"/>
      <w:marBottom w:val="0"/>
      <w:divBdr>
        <w:top w:val="none" w:sz="0" w:space="0" w:color="auto"/>
        <w:left w:val="none" w:sz="0" w:space="0" w:color="auto"/>
        <w:bottom w:val="none" w:sz="0" w:space="0" w:color="auto"/>
        <w:right w:val="none" w:sz="0" w:space="0" w:color="auto"/>
      </w:divBdr>
    </w:div>
    <w:div w:id="1288589119">
      <w:bodyDiv w:val="1"/>
      <w:marLeft w:val="0"/>
      <w:marRight w:val="0"/>
      <w:marTop w:val="0"/>
      <w:marBottom w:val="0"/>
      <w:divBdr>
        <w:top w:val="none" w:sz="0" w:space="0" w:color="auto"/>
        <w:left w:val="none" w:sz="0" w:space="0" w:color="auto"/>
        <w:bottom w:val="none" w:sz="0" w:space="0" w:color="auto"/>
        <w:right w:val="none" w:sz="0" w:space="0" w:color="auto"/>
      </w:divBdr>
    </w:div>
    <w:div w:id="1468352797">
      <w:bodyDiv w:val="1"/>
      <w:marLeft w:val="0"/>
      <w:marRight w:val="0"/>
      <w:marTop w:val="0"/>
      <w:marBottom w:val="0"/>
      <w:divBdr>
        <w:top w:val="none" w:sz="0" w:space="0" w:color="auto"/>
        <w:left w:val="none" w:sz="0" w:space="0" w:color="auto"/>
        <w:bottom w:val="none" w:sz="0" w:space="0" w:color="auto"/>
        <w:right w:val="none" w:sz="0" w:space="0" w:color="auto"/>
      </w:divBdr>
    </w:div>
    <w:div w:id="1497502243">
      <w:bodyDiv w:val="1"/>
      <w:marLeft w:val="0"/>
      <w:marRight w:val="0"/>
      <w:marTop w:val="0"/>
      <w:marBottom w:val="0"/>
      <w:divBdr>
        <w:top w:val="none" w:sz="0" w:space="0" w:color="auto"/>
        <w:left w:val="none" w:sz="0" w:space="0" w:color="auto"/>
        <w:bottom w:val="none" w:sz="0" w:space="0" w:color="auto"/>
        <w:right w:val="none" w:sz="0" w:space="0" w:color="auto"/>
      </w:divBdr>
    </w:div>
    <w:div w:id="1555461179">
      <w:bodyDiv w:val="1"/>
      <w:marLeft w:val="0"/>
      <w:marRight w:val="0"/>
      <w:marTop w:val="0"/>
      <w:marBottom w:val="0"/>
      <w:divBdr>
        <w:top w:val="none" w:sz="0" w:space="0" w:color="auto"/>
        <w:left w:val="none" w:sz="0" w:space="0" w:color="auto"/>
        <w:bottom w:val="none" w:sz="0" w:space="0" w:color="auto"/>
        <w:right w:val="none" w:sz="0" w:space="0" w:color="auto"/>
      </w:divBdr>
    </w:div>
    <w:div w:id="1785614690">
      <w:bodyDiv w:val="1"/>
      <w:marLeft w:val="0"/>
      <w:marRight w:val="0"/>
      <w:marTop w:val="0"/>
      <w:marBottom w:val="0"/>
      <w:divBdr>
        <w:top w:val="none" w:sz="0" w:space="0" w:color="auto"/>
        <w:left w:val="none" w:sz="0" w:space="0" w:color="auto"/>
        <w:bottom w:val="none" w:sz="0" w:space="0" w:color="auto"/>
        <w:right w:val="none" w:sz="0" w:space="0" w:color="auto"/>
      </w:divBdr>
    </w:div>
    <w:div w:id="1796556524">
      <w:bodyDiv w:val="1"/>
      <w:marLeft w:val="0"/>
      <w:marRight w:val="0"/>
      <w:marTop w:val="0"/>
      <w:marBottom w:val="0"/>
      <w:divBdr>
        <w:top w:val="none" w:sz="0" w:space="0" w:color="auto"/>
        <w:left w:val="none" w:sz="0" w:space="0" w:color="auto"/>
        <w:bottom w:val="none" w:sz="0" w:space="0" w:color="auto"/>
        <w:right w:val="none" w:sz="0" w:space="0" w:color="auto"/>
      </w:divBdr>
    </w:div>
    <w:div w:id="1802113882">
      <w:bodyDiv w:val="1"/>
      <w:marLeft w:val="0"/>
      <w:marRight w:val="0"/>
      <w:marTop w:val="0"/>
      <w:marBottom w:val="0"/>
      <w:divBdr>
        <w:top w:val="none" w:sz="0" w:space="0" w:color="auto"/>
        <w:left w:val="none" w:sz="0" w:space="0" w:color="auto"/>
        <w:bottom w:val="none" w:sz="0" w:space="0" w:color="auto"/>
        <w:right w:val="none" w:sz="0" w:space="0" w:color="auto"/>
      </w:divBdr>
    </w:div>
    <w:div w:id="1807625771">
      <w:bodyDiv w:val="1"/>
      <w:marLeft w:val="0"/>
      <w:marRight w:val="0"/>
      <w:marTop w:val="0"/>
      <w:marBottom w:val="0"/>
      <w:divBdr>
        <w:top w:val="none" w:sz="0" w:space="0" w:color="auto"/>
        <w:left w:val="none" w:sz="0" w:space="0" w:color="auto"/>
        <w:bottom w:val="none" w:sz="0" w:space="0" w:color="auto"/>
        <w:right w:val="none" w:sz="0" w:space="0" w:color="auto"/>
      </w:divBdr>
    </w:div>
    <w:div w:id="1814635098">
      <w:bodyDiv w:val="1"/>
      <w:marLeft w:val="0"/>
      <w:marRight w:val="0"/>
      <w:marTop w:val="0"/>
      <w:marBottom w:val="0"/>
      <w:divBdr>
        <w:top w:val="none" w:sz="0" w:space="0" w:color="auto"/>
        <w:left w:val="none" w:sz="0" w:space="0" w:color="auto"/>
        <w:bottom w:val="none" w:sz="0" w:space="0" w:color="auto"/>
        <w:right w:val="none" w:sz="0" w:space="0" w:color="auto"/>
      </w:divBdr>
    </w:div>
    <w:div w:id="1970472555">
      <w:bodyDiv w:val="1"/>
      <w:marLeft w:val="0"/>
      <w:marRight w:val="0"/>
      <w:marTop w:val="0"/>
      <w:marBottom w:val="0"/>
      <w:divBdr>
        <w:top w:val="none" w:sz="0" w:space="0" w:color="auto"/>
        <w:left w:val="none" w:sz="0" w:space="0" w:color="auto"/>
        <w:bottom w:val="none" w:sz="0" w:space="0" w:color="auto"/>
        <w:right w:val="none" w:sz="0" w:space="0" w:color="auto"/>
      </w:divBdr>
    </w:div>
    <w:div w:id="20963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2E6B12C-7FA8-492E-849B-29528E1BBBC0}">
  <we:reference id="wa104381727" version="1.0.0.7" store="en-001" storeType="OMEX"/>
  <we:alternateReferences>
    <we:reference id="wa104381727" version="1.0.0.7"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EB31B8FAA93B40B441572BD575C4A1" ma:contentTypeVersion="" ma:contentTypeDescription="Ein neues Dokument erstellen." ma:contentTypeScope="" ma:versionID="5f7cc4560f487141daf149ae61a18d83">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B5DF7-3268-451D-813F-32DDECB07323}">
  <ds:schemaRefs>
    <ds:schemaRef ds:uri="http://schemas.microsoft.com/sharepoint/v3/contenttype/forms"/>
  </ds:schemaRefs>
</ds:datastoreItem>
</file>

<file path=customXml/itemProps2.xml><?xml version="1.0" encoding="utf-8"?>
<ds:datastoreItem xmlns:ds="http://schemas.openxmlformats.org/officeDocument/2006/customXml" ds:itemID="{53DF9185-83C2-4676-800E-1882D66763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94C6EE-4C74-427C-9C37-B923C43B5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591D41-DC15-466D-A0C8-C2C1EF41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1589</Words>
  <Characters>9383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Gewerbliche Schule Ravensburg</vt:lpstr>
    </vt:vector>
  </TitlesOfParts>
  <Company>Gewerbliche Schule RV</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Gewerbliche Schule Ravensburg</dc:title>
  <dc:subject/>
  <dc:creator>Michael Flach</dc:creator>
  <cp:keywords/>
  <cp:lastModifiedBy>Jan Pfeiffer</cp:lastModifiedBy>
  <cp:revision>8</cp:revision>
  <cp:lastPrinted>2020-04-20T12:55:00Z</cp:lastPrinted>
  <dcterms:created xsi:type="dcterms:W3CDTF">2020-07-20T10:49:00Z</dcterms:created>
  <dcterms:modified xsi:type="dcterms:W3CDTF">2021-02-24T07:28:00Z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0x010100BFEB31B8FAA93B40B441572BD575C4A1</vt:lpwstr>
  </property>
</Properties>
</file>