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129" w:rsidRDefault="00F258E7" w:rsidP="007610C0">
      <w:pPr>
        <w:spacing w:line="240" w:lineRule="auto"/>
        <w:rPr>
          <w:rFonts w:asciiTheme="minorHAnsi" w:hAnsiTheme="minorHAnsi" w:cstheme="minorHAnsi"/>
          <w:b/>
          <w:sz w:val="32"/>
        </w:rPr>
      </w:pPr>
      <w:r>
        <w:rPr>
          <w:rFonts w:ascii="Times New Roman" w:hAnsi="Times New Roman"/>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430.9pt;margin-top:0;width:47.9pt;height:60.25pt;z-index:251660288;mso-position-horizontal-relative:text;mso-position-vertical-relative:text">
            <v:imagedata r:id="rId9" o:title=""/>
            <w10:wrap type="square"/>
          </v:shape>
          <o:OLEObject Type="Embed" ProgID="Visio.Drawing.15" ShapeID="_x0000_s1030" DrawAspect="Content" ObjectID="_1681055868" r:id="rId10"/>
        </w:object>
      </w:r>
      <w:r w:rsidR="000A0CF4">
        <w:rPr>
          <w:noProof/>
        </w:rPr>
        <w:drawing>
          <wp:anchor distT="0" distB="0" distL="114300" distR="114300" simplePos="0" relativeHeight="251662336" behindDoc="0" locked="0" layoutInCell="1" allowOverlap="1" wp14:anchorId="27778289" wp14:editId="2ED78EDF">
            <wp:simplePos x="0" y="0"/>
            <wp:positionH relativeFrom="column">
              <wp:posOffset>370790</wp:posOffset>
            </wp:positionH>
            <wp:positionV relativeFrom="paragraph">
              <wp:posOffset>95521</wp:posOffset>
            </wp:positionV>
            <wp:extent cx="461645" cy="469900"/>
            <wp:effectExtent l="0" t="0" r="0" b="6350"/>
            <wp:wrapSquare wrapText="bothSides"/>
            <wp:docPr id="50" name="Bild 1" descr="Info, Icon, Button, Web, Hilfe, Blau, Meldung"/>
            <wp:cNvGraphicFramePr/>
            <a:graphic xmlns:a="http://schemas.openxmlformats.org/drawingml/2006/main">
              <a:graphicData uri="http://schemas.openxmlformats.org/drawingml/2006/picture">
                <pic:pic xmlns:pic="http://schemas.openxmlformats.org/drawingml/2006/picture">
                  <pic:nvPicPr>
                    <pic:cNvPr id="50" name="Bild 1" descr="Info, Icon, Button, Web, Hilfe, Blau, Meldu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1645" cy="469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C7708">
        <w:rPr>
          <w:rFonts w:ascii="Times New Roman" w:eastAsiaTheme="minorHAnsi" w:hAnsi="Times New Roman"/>
          <w:noProof/>
          <w:sz w:val="24"/>
        </w:rPr>
        <mc:AlternateContent>
          <mc:Choice Requires="wps">
            <w:drawing>
              <wp:anchor distT="0" distB="0" distL="114300" distR="114300" simplePos="0" relativeHeight="251657216" behindDoc="0" locked="0" layoutInCell="1" allowOverlap="1">
                <wp:simplePos x="0" y="0"/>
                <wp:positionH relativeFrom="column">
                  <wp:posOffset>-104115</wp:posOffset>
                </wp:positionH>
                <wp:positionV relativeFrom="paragraph">
                  <wp:posOffset>10940</wp:posOffset>
                </wp:positionV>
                <wp:extent cx="6692900" cy="556335"/>
                <wp:effectExtent l="0" t="0" r="12700" b="15240"/>
                <wp:wrapNone/>
                <wp:docPr id="44" name="Textfeld 44"/>
                <wp:cNvGraphicFramePr/>
                <a:graphic xmlns:a="http://schemas.openxmlformats.org/drawingml/2006/main">
                  <a:graphicData uri="http://schemas.microsoft.com/office/word/2010/wordprocessingShape">
                    <wps:wsp>
                      <wps:cNvSpPr txBox="1"/>
                      <wps:spPr>
                        <a:xfrm>
                          <a:off x="0" y="0"/>
                          <a:ext cx="6692900" cy="556335"/>
                        </a:xfrm>
                        <a:prstGeom prst="rect">
                          <a:avLst/>
                        </a:prstGeom>
                        <a:solidFill>
                          <a:schemeClr val="accent2">
                            <a:lumMod val="60000"/>
                            <a:lumOff val="40000"/>
                          </a:schemeClr>
                        </a:solidFill>
                        <a:ln w="6350">
                          <a:solidFill>
                            <a:prstClr val="black"/>
                          </a:solidFill>
                        </a:ln>
                      </wps:spPr>
                      <wps:txbx>
                        <w:txbxContent>
                          <w:p w:rsidR="00596129" w:rsidRPr="00CC7708" w:rsidRDefault="00596129" w:rsidP="00CC7708">
                            <w:pPr>
                              <w:jc w:val="center"/>
                              <w:rPr>
                                <w:rFonts w:asciiTheme="minorHAnsi" w:hAnsiTheme="minorHAnsi" w:cstheme="minorHAnsi"/>
                                <w:b/>
                                <w:sz w:val="26"/>
                                <w:szCs w:val="26"/>
                              </w:rPr>
                            </w:pPr>
                            <w:r w:rsidRPr="00CC7708">
                              <w:rPr>
                                <w:rFonts w:asciiTheme="minorHAnsi" w:hAnsiTheme="minorHAnsi" w:cstheme="minorHAnsi"/>
                                <w:b/>
                                <w:sz w:val="26"/>
                                <w:szCs w:val="26"/>
                              </w:rPr>
                              <w:t>Informationstext:</w:t>
                            </w:r>
                          </w:p>
                          <w:p w:rsidR="00596129" w:rsidRPr="00CC7708" w:rsidRDefault="00596129" w:rsidP="00CC7708">
                            <w:pPr>
                              <w:jc w:val="center"/>
                              <w:rPr>
                                <w:rFonts w:asciiTheme="minorHAnsi" w:hAnsiTheme="minorHAnsi" w:cstheme="minorHAnsi"/>
                                <w:b/>
                                <w:sz w:val="26"/>
                                <w:szCs w:val="26"/>
                              </w:rPr>
                            </w:pPr>
                            <w:r w:rsidRPr="00CC7708">
                              <w:rPr>
                                <w:rFonts w:asciiTheme="minorHAnsi" w:hAnsiTheme="minorHAnsi" w:cstheme="minorHAnsi"/>
                                <w:b/>
                                <w:sz w:val="26"/>
                                <w:szCs w:val="26"/>
                              </w:rPr>
                              <w:t>Sourcing-Strategien nach dem Beschaffungsraum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4" o:spid="_x0000_s1026" type="#_x0000_t202" style="position:absolute;margin-left:-8.2pt;margin-top:.85pt;width:527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" fillcolor="#f4b083 [1941]" strokeweight=".5pt">
                <v:textbox>
                  <w:txbxContent>
                    <w:p w:rsidR="00596129" w:rsidRPr="00CC7708" w:rsidRDefault="00596129" w:rsidP="00CC7708">
                      <w:pPr>
                        <w:jc w:val="center"/>
                        <w:rPr>
                          <w:rFonts w:asciiTheme="minorHAnsi" w:hAnsiTheme="minorHAnsi" w:cstheme="minorHAnsi"/>
                          <w:b/>
                          <w:sz w:val="26"/>
                          <w:szCs w:val="26"/>
                        </w:rPr>
                      </w:pPr>
                      <w:r w:rsidRPr="00CC7708">
                        <w:rPr>
                          <w:rFonts w:asciiTheme="minorHAnsi" w:hAnsiTheme="minorHAnsi" w:cstheme="minorHAnsi"/>
                          <w:b/>
                          <w:sz w:val="26"/>
                          <w:szCs w:val="26"/>
                        </w:rPr>
                        <w:t>Informationstext:</w:t>
                      </w:r>
                    </w:p>
                    <w:p w:rsidR="00596129" w:rsidRPr="00CC7708" w:rsidRDefault="00596129" w:rsidP="00CC7708">
                      <w:pPr>
                        <w:jc w:val="center"/>
                        <w:rPr>
                          <w:rFonts w:asciiTheme="minorHAnsi" w:hAnsiTheme="minorHAnsi" w:cstheme="minorHAnsi"/>
                          <w:b/>
                          <w:sz w:val="26"/>
                          <w:szCs w:val="26"/>
                        </w:rPr>
                      </w:pPr>
                      <w:r w:rsidRPr="00CC7708">
                        <w:rPr>
                          <w:rFonts w:asciiTheme="minorHAnsi" w:hAnsiTheme="minorHAnsi" w:cstheme="minorHAnsi"/>
                          <w:b/>
                          <w:sz w:val="26"/>
                          <w:szCs w:val="26"/>
                        </w:rPr>
                        <w:t>Sourcing-Strategien nach dem Beschaffungsraum</w:t>
                      </w:r>
                    </w:p>
                  </w:txbxContent>
                </v:textbox>
              </v:shape>
            </w:pict>
          </mc:Fallback>
        </mc:AlternateContent>
      </w:r>
      <w:r w:rsidR="00CC7708">
        <w:rPr>
          <w:noProof/>
        </w:rPr>
        <w:drawing>
          <wp:anchor distT="0" distB="0" distL="114300" distR="114300" simplePos="0" relativeHeight="251658240" behindDoc="0" locked="0" layoutInCell="1" allowOverlap="1">
            <wp:simplePos x="0" y="0"/>
            <wp:positionH relativeFrom="column">
              <wp:posOffset>5172075</wp:posOffset>
            </wp:positionH>
            <wp:positionV relativeFrom="paragraph">
              <wp:posOffset>158039</wp:posOffset>
            </wp:positionV>
            <wp:extent cx="304800" cy="411480"/>
            <wp:effectExtent l="0" t="0" r="0" b="7620"/>
            <wp:wrapSquare wrapText="bothSides"/>
            <wp:docPr id="45" name="Grafik 45" descr="C:\Users\vo\Desktop\location-1132647_960_720.png"/>
            <wp:cNvGraphicFramePr/>
            <a:graphic xmlns:a="http://schemas.openxmlformats.org/drawingml/2006/main">
              <a:graphicData uri="http://schemas.openxmlformats.org/drawingml/2006/picture">
                <pic:pic xmlns:pic="http://schemas.openxmlformats.org/drawingml/2006/picture">
                  <pic:nvPicPr>
                    <pic:cNvPr id="45" name="Grafik 45" descr="C:\Users\vo\Desktop\location-1132647_960_720.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411480"/>
                    </a:xfrm>
                    <a:prstGeom prst="rect">
                      <a:avLst/>
                    </a:prstGeom>
                    <a:noFill/>
                    <a:ln>
                      <a:noFill/>
                    </a:ln>
                  </pic:spPr>
                </pic:pic>
              </a:graphicData>
            </a:graphic>
            <wp14:sizeRelH relativeFrom="page">
              <wp14:pctWidth>0</wp14:pctWidth>
            </wp14:sizeRelH>
            <wp14:sizeRelV relativeFrom="page">
              <wp14:pctHeight>0</wp14:pctHeight>
            </wp14:sizeRelV>
          </wp:anchor>
        </w:drawing>
      </w:r>
      <w:r>
        <w:object w:dxaOrig="1440" w:dyaOrig="1440">
          <v:shape id="_x0000_s1026" type="#_x0000_t75" style="position:absolute;margin-left:478.8pt;margin-top:2.55pt;width:34.2pt;height:34.75pt;z-index:251659264;mso-position-horizontal-relative:text;mso-position-vertical-relative:text">
            <v:imagedata r:id="rId13" o:title=""/>
            <w10:wrap type="square"/>
          </v:shape>
          <o:OLEObject Type="Embed" ProgID="Visio.Drawing.15" ShapeID="_x0000_s1026" DrawAspect="Content" ObjectID="_1681055869" r:id="rId14"/>
        </w:object>
      </w:r>
    </w:p>
    <w:p w:rsidR="00596129" w:rsidRDefault="00596129" w:rsidP="007610C0">
      <w:pPr>
        <w:spacing w:line="240" w:lineRule="auto"/>
        <w:rPr>
          <w:rFonts w:asciiTheme="minorHAnsi" w:hAnsiTheme="minorHAnsi" w:cstheme="minorHAnsi"/>
          <w:sz w:val="28"/>
        </w:rPr>
      </w:pPr>
    </w:p>
    <w:p w:rsidR="00CC7708" w:rsidRDefault="00CC7708" w:rsidP="007610C0">
      <w:pPr>
        <w:spacing w:line="240" w:lineRule="auto"/>
        <w:rPr>
          <w:rFonts w:asciiTheme="minorHAnsi" w:hAnsiTheme="minorHAnsi" w:cstheme="minorHAnsi"/>
          <w:sz w:val="28"/>
        </w:rPr>
      </w:pPr>
    </w:p>
    <w:p w:rsidR="007610C0" w:rsidRDefault="007610C0" w:rsidP="007610C0">
      <w:pPr>
        <w:tabs>
          <w:tab w:val="left" w:pos="3040"/>
          <w:tab w:val="left" w:pos="8931"/>
        </w:tabs>
        <w:spacing w:line="240" w:lineRule="auto"/>
        <w:rPr>
          <w:rFonts w:asciiTheme="minorHAnsi" w:hAnsiTheme="minorHAnsi" w:cstheme="minorHAnsi"/>
        </w:rPr>
      </w:pPr>
    </w:p>
    <w:p w:rsidR="00596129" w:rsidRDefault="00596129" w:rsidP="007610C0">
      <w:pPr>
        <w:tabs>
          <w:tab w:val="left" w:pos="3040"/>
          <w:tab w:val="left" w:pos="8931"/>
        </w:tabs>
        <w:spacing w:line="240" w:lineRule="auto"/>
        <w:rPr>
          <w:rFonts w:asciiTheme="minorHAnsi" w:hAnsiTheme="minorHAnsi" w:cstheme="minorHAnsi"/>
        </w:rPr>
      </w:pPr>
      <w:r>
        <w:rPr>
          <w:rFonts w:asciiTheme="minorHAnsi" w:hAnsiTheme="minorHAnsi" w:cstheme="minorHAnsi"/>
        </w:rPr>
        <w:t>Im Bereich der Beschaffung stehen Industrie und Handel in einem vielfältigen Span</w:t>
      </w:r>
      <w:r w:rsidR="00E83F69">
        <w:rPr>
          <w:rFonts w:asciiTheme="minorHAnsi" w:hAnsiTheme="minorHAnsi" w:cstheme="minorHAnsi"/>
        </w:rPr>
        <w:t>n</w:t>
      </w:r>
      <w:r>
        <w:rPr>
          <w:rFonts w:asciiTheme="minorHAnsi" w:hAnsiTheme="minorHAnsi" w:cstheme="minorHAnsi"/>
        </w:rPr>
        <w:t xml:space="preserve">ungsfeld. Häufig bedeutet die Lieferantenauswahl einen Spagat zwischen den differenzierenden Unternehmenszielen und den damit verbundenen Zielbeziehungen der Beschaffung. Ob Synergieeffekte zwischen einzelnen Beschaffungszielen genutzt oder unter Umständen Zielkonflikte innerhalb der Beschaffung verstärkt werden, hängt unter anderem von der Entscheidung über die richtige Sourcing-Strategie ab. </w:t>
      </w:r>
      <w:bookmarkStart w:id="0" w:name="_GoBack"/>
      <w:bookmarkEnd w:id="0"/>
    </w:p>
    <w:p w:rsidR="00596129" w:rsidRDefault="00596129" w:rsidP="007610C0">
      <w:pPr>
        <w:tabs>
          <w:tab w:val="left" w:pos="3040"/>
        </w:tabs>
        <w:spacing w:line="240" w:lineRule="auto"/>
        <w:rPr>
          <w:rFonts w:asciiTheme="minorHAnsi" w:hAnsiTheme="minorHAnsi" w:cstheme="minorHAnsi"/>
        </w:rPr>
      </w:pPr>
      <w:r>
        <w:rPr>
          <w:rFonts w:asciiTheme="minorHAnsi" w:hAnsiTheme="minorHAnsi" w:cstheme="minorHAnsi"/>
        </w:rPr>
        <w:t xml:space="preserve">Aus diesen Grund sollen im Folgenden die </w:t>
      </w:r>
      <w:r>
        <w:rPr>
          <w:rFonts w:asciiTheme="minorHAnsi" w:hAnsiTheme="minorHAnsi" w:cstheme="minorHAnsi"/>
          <w:b/>
        </w:rPr>
        <w:t>Sourcing-Strategien nach dem Beschaffungsraum</w:t>
      </w:r>
      <w:r>
        <w:rPr>
          <w:rFonts w:asciiTheme="minorHAnsi" w:hAnsiTheme="minorHAnsi" w:cstheme="minorHAnsi"/>
        </w:rPr>
        <w:t xml:space="preserve"> näher betrachtet werden. </w:t>
      </w:r>
    </w:p>
    <w:p w:rsidR="00CC7708" w:rsidRDefault="00CC7708" w:rsidP="007610C0">
      <w:pPr>
        <w:spacing w:line="240" w:lineRule="auto"/>
        <w:jc w:val="both"/>
        <w:rPr>
          <w:rFonts w:asciiTheme="minorHAnsi" w:hAnsiTheme="minorHAnsi" w:cstheme="minorHAnsi"/>
        </w:rPr>
      </w:pPr>
    </w:p>
    <w:p w:rsidR="007610C0" w:rsidRDefault="007610C0" w:rsidP="007610C0">
      <w:pPr>
        <w:spacing w:line="240" w:lineRule="auto"/>
        <w:jc w:val="both"/>
        <w:rPr>
          <w:rFonts w:asciiTheme="minorHAnsi" w:hAnsiTheme="minorHAnsi" w:cstheme="minorHAnsi"/>
        </w:rPr>
      </w:pPr>
    </w:p>
    <w:p w:rsidR="00596129" w:rsidRDefault="00596129" w:rsidP="007610C0">
      <w:pPr>
        <w:spacing w:line="240" w:lineRule="auto"/>
        <w:rPr>
          <w:rFonts w:asciiTheme="minorHAnsi" w:hAnsiTheme="minorHAnsi" w:cstheme="minorHAnsi"/>
          <w:b/>
          <w:sz w:val="24"/>
        </w:rPr>
      </w:pPr>
      <w:r w:rsidRPr="00B9282E">
        <w:rPr>
          <w:rFonts w:asciiTheme="minorHAnsi" w:hAnsiTheme="minorHAnsi" w:cstheme="minorHAnsi"/>
          <w:b/>
          <w:sz w:val="24"/>
        </w:rPr>
        <w:t>Local</w:t>
      </w:r>
      <w:r>
        <w:rPr>
          <w:rFonts w:asciiTheme="minorHAnsi" w:hAnsiTheme="minorHAnsi" w:cstheme="minorHAnsi"/>
          <w:b/>
          <w:sz w:val="24"/>
        </w:rPr>
        <w:t xml:space="preserve"> Sourcing</w:t>
      </w:r>
    </w:p>
    <w:p w:rsidR="007610C0" w:rsidRDefault="007610C0" w:rsidP="007610C0">
      <w:pPr>
        <w:spacing w:line="240" w:lineRule="auto"/>
        <w:rPr>
          <w:rFonts w:asciiTheme="minorHAnsi" w:hAnsiTheme="minorHAnsi" w:cstheme="minorHAnsi"/>
          <w:b/>
          <w:sz w:val="24"/>
        </w:rPr>
      </w:pPr>
    </w:p>
    <w:p w:rsidR="00596129" w:rsidRDefault="00596129" w:rsidP="007610C0">
      <w:pPr>
        <w:spacing w:line="240" w:lineRule="auto"/>
        <w:jc w:val="both"/>
        <w:rPr>
          <w:rFonts w:asciiTheme="minorHAnsi" w:hAnsiTheme="minorHAnsi" w:cstheme="minorHAnsi"/>
        </w:rPr>
      </w:pPr>
      <w:r>
        <w:rPr>
          <w:noProof/>
        </w:rPr>
        <w:drawing>
          <wp:anchor distT="0" distB="0" distL="114300" distR="114300" simplePos="0" relativeHeight="251655168" behindDoc="0" locked="0" layoutInCell="1" allowOverlap="1">
            <wp:simplePos x="0" y="0"/>
            <wp:positionH relativeFrom="column">
              <wp:posOffset>4041775</wp:posOffset>
            </wp:positionH>
            <wp:positionV relativeFrom="paragraph">
              <wp:posOffset>26670</wp:posOffset>
            </wp:positionV>
            <wp:extent cx="2458085" cy="160274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58085" cy="160274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rPr>
        <w:t xml:space="preserve">Erfolgt die Beschaffung in geografischer Nähe zum Unternehmen, spricht man von der Strategie des </w:t>
      </w:r>
      <w:r w:rsidRPr="00B9282E">
        <w:rPr>
          <w:rFonts w:asciiTheme="minorHAnsi" w:hAnsiTheme="minorHAnsi" w:cstheme="minorHAnsi"/>
          <w:b/>
        </w:rPr>
        <w:t>Local</w:t>
      </w:r>
      <w:r>
        <w:rPr>
          <w:rFonts w:asciiTheme="minorHAnsi" w:hAnsiTheme="minorHAnsi" w:cstheme="minorHAnsi"/>
          <w:b/>
        </w:rPr>
        <w:t xml:space="preserve"> </w:t>
      </w:r>
      <w:r w:rsidR="00BB405E">
        <w:rPr>
          <w:rFonts w:asciiTheme="minorHAnsi" w:hAnsiTheme="minorHAnsi" w:cstheme="minorHAnsi"/>
          <w:b/>
        </w:rPr>
        <w:t>Sourcing</w:t>
      </w:r>
      <w:r>
        <w:rPr>
          <w:rFonts w:asciiTheme="minorHAnsi" w:hAnsiTheme="minorHAnsi" w:cstheme="minorHAnsi"/>
        </w:rPr>
        <w:t xml:space="preserve">, </w:t>
      </w:r>
      <w:r w:rsidR="00BB405E">
        <w:rPr>
          <w:rFonts w:asciiTheme="minorHAnsi" w:hAnsiTheme="minorHAnsi" w:cstheme="minorHAnsi"/>
        </w:rPr>
        <w:t>d. h.</w:t>
      </w:r>
      <w:r>
        <w:rPr>
          <w:rFonts w:asciiTheme="minorHAnsi" w:hAnsiTheme="minorHAnsi" w:cstheme="minorHAnsi"/>
        </w:rPr>
        <w:t xml:space="preserve"> die Beschaffung </w:t>
      </w:r>
      <w:r w:rsidR="002077BC">
        <w:rPr>
          <w:rFonts w:asciiTheme="minorHAnsi" w:hAnsiTheme="minorHAnsi" w:cstheme="minorHAnsi"/>
        </w:rPr>
        <w:t xml:space="preserve">bestimmter </w:t>
      </w:r>
      <w:r>
        <w:rPr>
          <w:rFonts w:asciiTheme="minorHAnsi" w:hAnsiTheme="minorHAnsi" w:cstheme="minorHAnsi"/>
        </w:rPr>
        <w:t>Gütern erfolgt auf dem regionalen</w:t>
      </w:r>
      <w:r w:rsidR="002077BC">
        <w:rPr>
          <w:rFonts w:asciiTheme="minorHAnsi" w:hAnsiTheme="minorHAnsi" w:cstheme="minorHAnsi"/>
        </w:rPr>
        <w:t xml:space="preserve"> oder nationalen</w:t>
      </w:r>
      <w:r>
        <w:rPr>
          <w:rFonts w:asciiTheme="minorHAnsi" w:hAnsiTheme="minorHAnsi" w:cstheme="minorHAnsi"/>
        </w:rPr>
        <w:t xml:space="preserve"> Beschaffungsmarkt. Diese Strategie wird hauptsächlich von Unternehmen genutzt, die bei ihren Beschaffungszielen auf eine Verbundenheit zu der heimischen Region und ihren Produkten setzen. </w:t>
      </w:r>
    </w:p>
    <w:p w:rsidR="00596129" w:rsidRDefault="00596129" w:rsidP="007610C0">
      <w:pPr>
        <w:spacing w:line="240" w:lineRule="auto"/>
        <w:jc w:val="both"/>
        <w:rPr>
          <w:rFonts w:asciiTheme="minorHAnsi" w:hAnsiTheme="minorHAnsi" w:cstheme="minorHAnsi"/>
        </w:rPr>
      </w:pPr>
      <w:r>
        <w:rPr>
          <w:rFonts w:asciiTheme="minorHAnsi" w:hAnsiTheme="minorHAnsi" w:cstheme="minorHAnsi"/>
        </w:rPr>
        <w:t xml:space="preserve">Darüber hinaus bringt gerade die räumliche Nähe zwischen Unternehmer und Lieferanten einige generelle </w:t>
      </w:r>
      <w:r>
        <w:rPr>
          <w:rFonts w:asciiTheme="minorHAnsi" w:hAnsiTheme="minorHAnsi" w:cstheme="minorHAnsi"/>
          <w:b/>
        </w:rPr>
        <w:t>Vorteile</w:t>
      </w:r>
      <w:r>
        <w:rPr>
          <w:rFonts w:asciiTheme="minorHAnsi" w:hAnsiTheme="minorHAnsi" w:cstheme="minorHAnsi"/>
        </w:rPr>
        <w:t xml:space="preserve"> mit sich. Kurze Wegstrecken können nicht nur zu geringen Transport- und Lieferkosten führen, sondern zeigen sich auch als ökologisch vorteilhaft. Durch die kurzen Strecken zwischen Zubringer und Unternehmer kann auf mögliche Engpässe im Unternehmen zügig mit Nachlieferungen reagiert werden. Auch lagerkostensenkenden Konzepte wie beispielsweise Just-in-time (Materialien werden erst dann geliefert, wenn sie gebraucht werden), lassen sich beim </w:t>
      </w:r>
      <w:r w:rsidRPr="00B9282E">
        <w:rPr>
          <w:rFonts w:asciiTheme="minorHAnsi" w:hAnsiTheme="minorHAnsi" w:cstheme="minorHAnsi"/>
        </w:rPr>
        <w:t>Local</w:t>
      </w:r>
      <w:r>
        <w:rPr>
          <w:rFonts w:asciiTheme="minorHAnsi" w:hAnsiTheme="minorHAnsi" w:cstheme="minorHAnsi"/>
        </w:rPr>
        <w:t xml:space="preserve"> Sourcing problemlos umsetzen. Dabei ist es nicht allein die schnelle Re</w:t>
      </w:r>
      <w:r w:rsidR="002077BC">
        <w:rPr>
          <w:rFonts w:asciiTheme="minorHAnsi" w:hAnsiTheme="minorHAnsi" w:cstheme="minorHAnsi"/>
        </w:rPr>
        <w:t>aktionsfähigkeit, die für eine lokale</w:t>
      </w:r>
      <w:r>
        <w:rPr>
          <w:rFonts w:asciiTheme="minorHAnsi" w:hAnsiTheme="minorHAnsi" w:cstheme="minorHAnsi"/>
        </w:rPr>
        <w:t xml:space="preserve"> Beschaffung spricht. Auch eine identische Währung ohne Wechselkursschwankungen, ähnliche und nachvollziehbare Arbeitsweisen damit verbunden, dieselbe Sprache und Kultur, eine übereinstimmende politische Ausgangssituation mit identischer Gesetzgebung und Regelwerken sprechen für eine Beschaffung auf dem bekannten Markt.</w:t>
      </w:r>
    </w:p>
    <w:p w:rsidR="00596129" w:rsidRDefault="00596129" w:rsidP="007610C0">
      <w:pPr>
        <w:spacing w:line="240" w:lineRule="auto"/>
        <w:jc w:val="both"/>
        <w:rPr>
          <w:rFonts w:asciiTheme="minorHAnsi" w:hAnsiTheme="minorHAnsi" w:cstheme="minorHAnsi"/>
        </w:rPr>
      </w:pPr>
      <w:r>
        <w:rPr>
          <w:rFonts w:asciiTheme="minorHAnsi" w:hAnsiTheme="minorHAnsi" w:cstheme="minorHAnsi"/>
        </w:rPr>
        <w:t xml:space="preserve">Dennoch bietet die lokale Beschaffung auch einige nicht zu vernachlässigende </w:t>
      </w:r>
      <w:r>
        <w:rPr>
          <w:rFonts w:asciiTheme="minorHAnsi" w:hAnsiTheme="minorHAnsi" w:cstheme="minorHAnsi"/>
          <w:b/>
        </w:rPr>
        <w:t>Nachteile</w:t>
      </w:r>
      <w:r>
        <w:rPr>
          <w:rFonts w:asciiTheme="minorHAnsi" w:hAnsiTheme="minorHAnsi" w:cstheme="minorHAnsi"/>
        </w:rPr>
        <w:t>.</w:t>
      </w:r>
      <w:r w:rsidR="002077BC">
        <w:rPr>
          <w:rFonts w:asciiTheme="minorHAnsi" w:hAnsiTheme="minorHAnsi" w:cstheme="minorHAnsi"/>
        </w:rPr>
        <w:t xml:space="preserve"> Die Beschränkung auf den rein lokalen</w:t>
      </w:r>
      <w:r>
        <w:rPr>
          <w:rFonts w:asciiTheme="minorHAnsi" w:hAnsiTheme="minorHAnsi" w:cstheme="minorHAnsi"/>
        </w:rPr>
        <w:t xml:space="preserve"> Markt führt nicht selten dazu, dass für Güter oder Dienstleistungen höhere Preise als auf dem internationalen Markt bezahlt werden müssen. Wird beabsichtigt, größere Mengen zu beschaffen, stößt das Unternehmen eventuell an die Kapazitätsgrenze der heimischen Lieferanten. Auch kann die Begrenzung auf den lokalen Markt dazu führen, dass Innovationschancen nicht wahrgenommen werden. Generell geht mit dem </w:t>
      </w:r>
      <w:r w:rsidRPr="00B9282E">
        <w:rPr>
          <w:rFonts w:asciiTheme="minorHAnsi" w:hAnsiTheme="minorHAnsi" w:cstheme="minorHAnsi"/>
        </w:rPr>
        <w:t>Local</w:t>
      </w:r>
      <w:r>
        <w:rPr>
          <w:rFonts w:asciiTheme="minorHAnsi" w:hAnsiTheme="minorHAnsi" w:cstheme="minorHAnsi"/>
        </w:rPr>
        <w:t xml:space="preserve"> Sourcing schnell die Übersicht an </w:t>
      </w:r>
      <w:r w:rsidR="00BB405E">
        <w:rPr>
          <w:rFonts w:asciiTheme="minorHAnsi" w:hAnsiTheme="minorHAnsi" w:cstheme="minorHAnsi"/>
        </w:rPr>
        <w:t>potenziellen</w:t>
      </w:r>
      <w:r>
        <w:rPr>
          <w:rFonts w:asciiTheme="minorHAnsi" w:hAnsiTheme="minorHAnsi" w:cstheme="minorHAnsi"/>
        </w:rPr>
        <w:t xml:space="preserve"> Lieferanten auf dem globalen Markt verloren.</w:t>
      </w:r>
    </w:p>
    <w:p w:rsidR="00CC7708" w:rsidRDefault="00CC7708" w:rsidP="007610C0">
      <w:pPr>
        <w:spacing w:line="240" w:lineRule="auto"/>
        <w:jc w:val="both"/>
        <w:rPr>
          <w:rFonts w:asciiTheme="minorHAnsi" w:hAnsiTheme="minorHAnsi" w:cstheme="minorHAnsi"/>
        </w:rPr>
      </w:pPr>
    </w:p>
    <w:p w:rsidR="007610C0" w:rsidRDefault="007610C0" w:rsidP="007610C0">
      <w:pPr>
        <w:spacing w:line="240" w:lineRule="auto"/>
        <w:jc w:val="both"/>
        <w:rPr>
          <w:rFonts w:asciiTheme="minorHAnsi" w:hAnsiTheme="minorHAnsi" w:cstheme="minorHAnsi"/>
        </w:rPr>
      </w:pPr>
    </w:p>
    <w:p w:rsidR="00596129" w:rsidRDefault="00596129" w:rsidP="007610C0">
      <w:pPr>
        <w:spacing w:line="240" w:lineRule="auto"/>
        <w:rPr>
          <w:rFonts w:asciiTheme="minorHAnsi" w:hAnsiTheme="minorHAnsi" w:cstheme="minorHAnsi"/>
          <w:b/>
          <w:sz w:val="24"/>
        </w:rPr>
      </w:pPr>
      <w:r>
        <w:rPr>
          <w:rFonts w:asciiTheme="minorHAnsi" w:hAnsiTheme="minorHAnsi" w:cstheme="minorHAnsi"/>
          <w:b/>
          <w:sz w:val="24"/>
        </w:rPr>
        <w:t>Global Sourcing</w:t>
      </w:r>
    </w:p>
    <w:p w:rsidR="007610C0" w:rsidRDefault="007610C0" w:rsidP="007610C0">
      <w:pPr>
        <w:spacing w:line="240" w:lineRule="auto"/>
        <w:rPr>
          <w:rFonts w:asciiTheme="minorHAnsi" w:hAnsiTheme="minorHAnsi" w:cstheme="minorHAnsi"/>
          <w:b/>
          <w:sz w:val="24"/>
        </w:rPr>
      </w:pPr>
    </w:p>
    <w:p w:rsidR="00596129" w:rsidRDefault="007610C0" w:rsidP="007610C0">
      <w:pPr>
        <w:spacing w:line="240" w:lineRule="auto"/>
        <w:rPr>
          <w:rFonts w:asciiTheme="minorHAnsi" w:hAnsiTheme="minorHAnsi" w:cstheme="minorHAnsi"/>
          <w:highlight w:val="yellow"/>
        </w:rPr>
      </w:pPr>
      <w:r>
        <w:rPr>
          <w:noProof/>
        </w:rPr>
        <w:drawing>
          <wp:anchor distT="0" distB="0" distL="114300" distR="114300" simplePos="0" relativeHeight="251664384" behindDoc="0" locked="0" layoutInCell="1" allowOverlap="1" wp14:anchorId="0018190B" wp14:editId="378579B6">
            <wp:simplePos x="0" y="0"/>
            <wp:positionH relativeFrom="column">
              <wp:posOffset>4140200</wp:posOffset>
            </wp:positionH>
            <wp:positionV relativeFrom="paragraph">
              <wp:posOffset>59055</wp:posOffset>
            </wp:positionV>
            <wp:extent cx="2452370" cy="1448435"/>
            <wp:effectExtent l="0" t="0" r="508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52370" cy="1448435"/>
                    </a:xfrm>
                    <a:prstGeom prst="rect">
                      <a:avLst/>
                    </a:prstGeom>
                    <a:noFill/>
                  </pic:spPr>
                </pic:pic>
              </a:graphicData>
            </a:graphic>
            <wp14:sizeRelH relativeFrom="page">
              <wp14:pctWidth>0</wp14:pctWidth>
            </wp14:sizeRelH>
            <wp14:sizeRelV relativeFrom="page">
              <wp14:pctHeight>0</wp14:pctHeight>
            </wp14:sizeRelV>
          </wp:anchor>
        </w:drawing>
      </w:r>
      <w:r w:rsidR="00596129">
        <w:rPr>
          <w:rFonts w:asciiTheme="minorHAnsi" w:hAnsiTheme="minorHAnsi" w:cstheme="minorHAnsi"/>
        </w:rPr>
        <w:t xml:space="preserve">Die Nachteile des </w:t>
      </w:r>
      <w:r w:rsidR="00596129" w:rsidRPr="00B9282E">
        <w:rPr>
          <w:rFonts w:asciiTheme="minorHAnsi" w:hAnsiTheme="minorHAnsi" w:cstheme="minorHAnsi"/>
        </w:rPr>
        <w:t>Local</w:t>
      </w:r>
      <w:r w:rsidR="00BB405E">
        <w:rPr>
          <w:rFonts w:asciiTheme="minorHAnsi" w:hAnsiTheme="minorHAnsi" w:cstheme="minorHAnsi"/>
        </w:rPr>
        <w:t xml:space="preserve"> Sourcing</w:t>
      </w:r>
      <w:r w:rsidR="00596129">
        <w:rPr>
          <w:rFonts w:asciiTheme="minorHAnsi" w:hAnsiTheme="minorHAnsi" w:cstheme="minorHAnsi"/>
        </w:rPr>
        <w:t xml:space="preserve"> </w:t>
      </w:r>
      <w:r w:rsidR="00596129" w:rsidRPr="00B9282E">
        <w:rPr>
          <w:rFonts w:asciiTheme="minorHAnsi" w:hAnsiTheme="minorHAnsi" w:cstheme="minorHAnsi"/>
        </w:rPr>
        <w:t>werden</w:t>
      </w:r>
      <w:r w:rsidR="00596129">
        <w:rPr>
          <w:rFonts w:asciiTheme="minorHAnsi" w:hAnsiTheme="minorHAnsi" w:cstheme="minorHAnsi"/>
        </w:rPr>
        <w:t xml:space="preserve"> durch das </w:t>
      </w:r>
      <w:r w:rsidR="00596129">
        <w:rPr>
          <w:rFonts w:asciiTheme="minorHAnsi" w:hAnsiTheme="minorHAnsi" w:cstheme="minorHAnsi"/>
          <w:b/>
        </w:rPr>
        <w:t>Global Sourcing</w:t>
      </w:r>
      <w:r w:rsidR="00596129">
        <w:rPr>
          <w:rFonts w:asciiTheme="minorHAnsi" w:hAnsiTheme="minorHAnsi" w:cstheme="minorHAnsi"/>
        </w:rPr>
        <w:t xml:space="preserve"> – bei dem die Güter weltweit beschafft werden – behoben. Dabei steht die Nutzung weltweiter Ressourcen im Zentrum dieses Beschaffungskonzepts. </w:t>
      </w:r>
    </w:p>
    <w:p w:rsidR="00596129" w:rsidRDefault="00596129" w:rsidP="007610C0">
      <w:pPr>
        <w:spacing w:line="240" w:lineRule="auto"/>
        <w:jc w:val="both"/>
        <w:rPr>
          <w:rFonts w:asciiTheme="minorHAnsi" w:hAnsiTheme="minorHAnsi" w:cstheme="minorHAnsi"/>
        </w:rPr>
      </w:pPr>
      <w:r>
        <w:rPr>
          <w:rFonts w:asciiTheme="minorHAnsi" w:hAnsiTheme="minorHAnsi" w:cstheme="minorHAnsi"/>
        </w:rPr>
        <w:t>Im Idealfall lässt sich beim Glob</w:t>
      </w:r>
      <w:r w:rsidR="00CC7708">
        <w:rPr>
          <w:rFonts w:asciiTheme="minorHAnsi" w:hAnsiTheme="minorHAnsi" w:cstheme="minorHAnsi"/>
        </w:rPr>
        <w:t>a</w:t>
      </w:r>
      <w:r>
        <w:rPr>
          <w:rFonts w:asciiTheme="minorHAnsi" w:hAnsiTheme="minorHAnsi" w:cstheme="minorHAnsi"/>
        </w:rPr>
        <w:t xml:space="preserve">l Sourcing ein noch günstigerer Einkaufspreis aushandeln und auch das Risiko von Lieferausfällen kann weiter minimiert werden, hat das Unternehmen doch die weltweite Auswahl. Auch niedrigere Lohnkosten und Lohnnebenkosten im Ausland können die Kosten für das Unternehmen noch weiter senken. Die fortschreitende Digitalisierung fördert den weltweiten Informationsaustausch und ermöglicht eine weltweite </w:t>
      </w:r>
      <w:r>
        <w:rPr>
          <w:rFonts w:asciiTheme="minorHAnsi" w:hAnsiTheme="minorHAnsi" w:cstheme="minorHAnsi"/>
        </w:rPr>
        <w:lastRenderedPageBreak/>
        <w:t xml:space="preserve">Marktübersicht – der Anschluss an die globale Konkurrenz wird nicht verschlafen, das Unternehmen bleibt wettbewerbsfähig. So können auch Innovationen über Grenzen hinweg schnell übernommen werden. Die Beschaffung großer Mengen stellt durch den Zugang zum globalen Markt kein Problem mehr dar. Weiterhin kann die internationale </w:t>
      </w:r>
      <w:r w:rsidR="00BB405E">
        <w:rPr>
          <w:rFonts w:asciiTheme="minorHAnsi" w:hAnsiTheme="minorHAnsi" w:cstheme="minorHAnsi"/>
        </w:rPr>
        <w:t>Arbeits</w:t>
      </w:r>
      <w:r w:rsidRPr="00BB405E">
        <w:rPr>
          <w:rFonts w:asciiTheme="minorHAnsi" w:hAnsiTheme="minorHAnsi" w:cstheme="minorHAnsi"/>
        </w:rPr>
        <w:t>teilung</w:t>
      </w:r>
      <w:r>
        <w:rPr>
          <w:rFonts w:asciiTheme="minorHAnsi" w:hAnsiTheme="minorHAnsi" w:cstheme="minorHAnsi"/>
        </w:rPr>
        <w:t xml:space="preserve"> für das heimische Unternehmen zu einer höheren Produktivität führen. </w:t>
      </w:r>
    </w:p>
    <w:p w:rsidR="00596129" w:rsidRDefault="00596129" w:rsidP="007610C0">
      <w:pPr>
        <w:spacing w:line="240" w:lineRule="auto"/>
        <w:rPr>
          <w:rFonts w:asciiTheme="minorHAnsi" w:hAnsiTheme="minorHAnsi" w:cstheme="minorHAnsi"/>
        </w:rPr>
      </w:pPr>
      <w:r>
        <w:rPr>
          <w:rFonts w:asciiTheme="minorHAnsi" w:hAnsiTheme="minorHAnsi" w:cstheme="minorHAnsi"/>
        </w:rPr>
        <w:t xml:space="preserve">Im Rückschluss lassen sich aber gerade aus den Vorteilen des </w:t>
      </w:r>
      <w:r w:rsidRPr="00B9282E">
        <w:rPr>
          <w:rFonts w:asciiTheme="minorHAnsi" w:hAnsiTheme="minorHAnsi" w:cstheme="minorHAnsi"/>
        </w:rPr>
        <w:t>Local</w:t>
      </w:r>
      <w:r>
        <w:rPr>
          <w:rFonts w:asciiTheme="minorHAnsi" w:hAnsiTheme="minorHAnsi" w:cstheme="minorHAnsi"/>
        </w:rPr>
        <w:t xml:space="preserve"> </w:t>
      </w:r>
      <w:r w:rsidR="00BB405E">
        <w:rPr>
          <w:rFonts w:asciiTheme="minorHAnsi" w:hAnsiTheme="minorHAnsi" w:cstheme="minorHAnsi"/>
        </w:rPr>
        <w:t>Sourcing</w:t>
      </w:r>
      <w:r>
        <w:rPr>
          <w:rFonts w:asciiTheme="minorHAnsi" w:hAnsiTheme="minorHAnsi" w:cstheme="minorHAnsi"/>
        </w:rPr>
        <w:t xml:space="preserve"> die </w:t>
      </w:r>
      <w:r>
        <w:rPr>
          <w:rFonts w:asciiTheme="minorHAnsi" w:hAnsiTheme="minorHAnsi" w:cstheme="minorHAnsi"/>
          <w:b/>
        </w:rPr>
        <w:t>Nachteile</w:t>
      </w:r>
      <w:r>
        <w:rPr>
          <w:rFonts w:asciiTheme="minorHAnsi" w:hAnsiTheme="minorHAnsi" w:cstheme="minorHAnsi"/>
        </w:rPr>
        <w:t xml:space="preserve"> des Global </w:t>
      </w:r>
      <w:r w:rsidR="00BB405E">
        <w:rPr>
          <w:rFonts w:asciiTheme="minorHAnsi" w:hAnsiTheme="minorHAnsi" w:cstheme="minorHAnsi"/>
        </w:rPr>
        <w:t>Sourcing</w:t>
      </w:r>
      <w:r>
        <w:rPr>
          <w:rFonts w:asciiTheme="minorHAnsi" w:hAnsiTheme="minorHAnsi" w:cstheme="minorHAnsi"/>
        </w:rPr>
        <w:t xml:space="preserve"> ableiten. So können sich schnell politische und wirtschaftliche Instabilitäten, andere Arbeitsweisen, kulturelle Konflikte, Sprachbarrieren und Devisenkursschwankungen als nachteilig auf die Beschaffung im Ausland auswirken. Nicht selten sind mit dem erhöhten Koordinationsaufwand auch zusätzliche Kosten verbunden. Weiterhin </w:t>
      </w:r>
      <w:r w:rsidR="008E4AEE">
        <w:rPr>
          <w:rFonts w:asciiTheme="minorHAnsi" w:hAnsiTheme="minorHAnsi" w:cstheme="minorHAnsi"/>
        </w:rPr>
        <w:t xml:space="preserve">entstehen durch das Global Sourcing, </w:t>
      </w:r>
      <w:r>
        <w:rPr>
          <w:rFonts w:asciiTheme="minorHAnsi" w:hAnsiTheme="minorHAnsi" w:cstheme="minorHAnsi"/>
        </w:rPr>
        <w:t>beispielsweise im amerikanischen oder asiatischen Raum</w:t>
      </w:r>
      <w:r w:rsidR="008E4AEE">
        <w:rPr>
          <w:rFonts w:asciiTheme="minorHAnsi" w:hAnsiTheme="minorHAnsi" w:cstheme="minorHAnsi"/>
        </w:rPr>
        <w:t>,</w:t>
      </w:r>
      <w:r>
        <w:rPr>
          <w:rFonts w:asciiTheme="minorHAnsi" w:hAnsiTheme="minorHAnsi" w:cstheme="minorHAnsi"/>
        </w:rPr>
        <w:t xml:space="preserve"> auch </w:t>
      </w:r>
      <w:r w:rsidR="008E4AEE">
        <w:rPr>
          <w:rFonts w:asciiTheme="minorHAnsi" w:hAnsiTheme="minorHAnsi" w:cstheme="minorHAnsi"/>
        </w:rPr>
        <w:t>hohe Transportkosten</w:t>
      </w:r>
      <w:r>
        <w:rPr>
          <w:rFonts w:asciiTheme="minorHAnsi" w:hAnsiTheme="minorHAnsi" w:cstheme="minorHAnsi"/>
        </w:rPr>
        <w:t xml:space="preserve">. Der Grund hierfür ist nicht alleine bei der Entfernung zu suchen, auch Zölle und Gebühren wirken sich dabei auf die Transportkostenstruktur aus. Mit der räumlichen Distanz zwischen Lieferant und Unternehmen sind auch meist lange Lieferfristen verbunden, die lange Reaktionszeiten mit sich ziehen können. Eine unternehmerische Flexibilität im Beschaffungsbereich ist mit der weltweiten Beschaffung daher kaum realisierbar; Konzepte wie </w:t>
      </w:r>
      <w:r w:rsidRPr="00B9282E">
        <w:rPr>
          <w:rFonts w:asciiTheme="minorHAnsi" w:hAnsiTheme="minorHAnsi" w:cstheme="minorHAnsi"/>
        </w:rPr>
        <w:t>Just-in-time</w:t>
      </w:r>
      <w:r>
        <w:rPr>
          <w:rFonts w:asciiTheme="minorHAnsi" w:hAnsiTheme="minorHAnsi" w:cstheme="minorHAnsi"/>
        </w:rPr>
        <w:t xml:space="preserve"> sind damit auch nicht anwendbar. Vielmehr muss der Einkauf wesentlich präziser und aufwendiger geplant werden, um Engpässe bereits im Vorfeld vermeiden zu können.</w:t>
      </w:r>
    </w:p>
    <w:p w:rsidR="00F71228" w:rsidRDefault="00E472F6" w:rsidP="007610C0">
      <w:pPr>
        <w:spacing w:line="240" w:lineRule="auto"/>
      </w:pPr>
      <w:r>
        <w:rPr>
          <w:i/>
          <w:iCs/>
          <w:noProof/>
          <w:sz w:val="16"/>
          <w:szCs w:val="21"/>
        </w:rPr>
        <mc:AlternateContent>
          <mc:Choice Requires="wps">
            <w:drawing>
              <wp:anchor distT="0" distB="0" distL="114300" distR="114300" simplePos="0" relativeHeight="251666432" behindDoc="0" locked="0" layoutInCell="1" allowOverlap="1" wp14:anchorId="038DA706" wp14:editId="6C4D343E">
                <wp:simplePos x="0" y="0"/>
                <wp:positionH relativeFrom="column">
                  <wp:posOffset>3609975</wp:posOffset>
                </wp:positionH>
                <wp:positionV relativeFrom="paragraph">
                  <wp:posOffset>6458585</wp:posOffset>
                </wp:positionV>
                <wp:extent cx="2924269" cy="235390"/>
                <wp:effectExtent l="0" t="0" r="28575" b="12700"/>
                <wp:wrapNone/>
                <wp:docPr id="3" name="Textfeld 3"/>
                <wp:cNvGraphicFramePr/>
                <a:graphic xmlns:a="http://schemas.openxmlformats.org/drawingml/2006/main">
                  <a:graphicData uri="http://schemas.microsoft.com/office/word/2010/wordprocessingShape">
                    <wps:wsp>
                      <wps:cNvSpPr txBox="1"/>
                      <wps:spPr>
                        <a:xfrm>
                          <a:off x="0" y="0"/>
                          <a:ext cx="2924269" cy="235390"/>
                        </a:xfrm>
                        <a:prstGeom prst="rect">
                          <a:avLst/>
                        </a:prstGeom>
                        <a:solidFill>
                          <a:schemeClr val="lt1"/>
                        </a:solidFill>
                        <a:ln w="6350">
                          <a:solidFill>
                            <a:schemeClr val="bg1"/>
                          </a:solidFill>
                        </a:ln>
                      </wps:spPr>
                      <wps:txbx>
                        <w:txbxContent>
                          <w:p w:rsidR="00E472F6" w:rsidRDefault="00E472F6" w:rsidP="00E472F6">
                            <w:r>
                              <w:rPr>
                                <w:i/>
                                <w:iCs/>
                                <w:sz w:val="16"/>
                                <w:szCs w:val="21"/>
                              </w:rPr>
                              <w:t xml:space="preserve">Bilder: </w:t>
                            </w:r>
                            <w:r w:rsidRPr="00767F11">
                              <w:rPr>
                                <w:i/>
                                <w:iCs/>
                                <w:sz w:val="16"/>
                                <w:szCs w:val="21"/>
                              </w:rPr>
                              <w:t xml:space="preserve">Nutzung mit Genehmigung von Microsoft, Microsoft </w:t>
                            </w:r>
                            <w:r w:rsidRPr="00B9282E">
                              <w:rPr>
                                <w:i/>
                                <w:iCs/>
                                <w:sz w:val="16"/>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8DA706" id="_x0000_t202" coordsize="21600,21600" o:spt="202" path="m,l,21600r21600,l21600,xe">
                <v:stroke joinstyle="miter"/>
                <v:path gradientshapeok="t" o:connecttype="rect"/>
              </v:shapetype>
              <v:shape id="Textfeld 3" o:spid="_x0000_s1027" type="#_x0000_t202" style="position:absolute;margin-left:284.25pt;margin-top:508.55pt;width:230.25pt;height:18.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" fillcolor="white [3201]" strokecolor="white [3212]" strokeweight=".5pt">
                <v:textbox>
                  <w:txbxContent>
                    <w:p w:rsidR="00E472F6" w:rsidRDefault="00E472F6" w:rsidP="00E472F6">
                      <w:r>
                        <w:rPr>
                          <w:i/>
                          <w:iCs/>
                          <w:sz w:val="16"/>
                          <w:szCs w:val="21"/>
                        </w:rPr>
                        <w:t xml:space="preserve">Bilder: </w:t>
                      </w:r>
                      <w:r w:rsidRPr="00767F11">
                        <w:rPr>
                          <w:i/>
                          <w:iCs/>
                          <w:sz w:val="16"/>
                          <w:szCs w:val="21"/>
                        </w:rPr>
                        <w:t xml:space="preserve">Nutzung mit Genehmigung von Microsoft, Microsoft </w:t>
                      </w:r>
                      <w:r w:rsidRPr="00B9282E">
                        <w:rPr>
                          <w:i/>
                          <w:iCs/>
                          <w:sz w:val="16"/>
                          <w:szCs w:val="21"/>
                        </w:rPr>
                        <w:t>Visio</w:t>
                      </w:r>
                    </w:p>
                  </w:txbxContent>
                </v:textbox>
              </v:shape>
            </w:pict>
          </mc:Fallback>
        </mc:AlternateContent>
      </w:r>
      <w:r w:rsidR="00596129">
        <w:rPr>
          <w:rFonts w:asciiTheme="minorHAnsi" w:hAnsiTheme="minorHAnsi" w:cstheme="minorHAnsi"/>
        </w:rPr>
        <w:t xml:space="preserve">Das Konzept </w:t>
      </w:r>
      <w:r w:rsidR="008E4AEE">
        <w:rPr>
          <w:rFonts w:asciiTheme="minorHAnsi" w:hAnsiTheme="minorHAnsi" w:cstheme="minorHAnsi"/>
        </w:rPr>
        <w:t xml:space="preserve">des Global </w:t>
      </w:r>
      <w:r w:rsidR="00BB405E">
        <w:rPr>
          <w:rFonts w:asciiTheme="minorHAnsi" w:hAnsiTheme="minorHAnsi" w:cstheme="minorHAnsi"/>
        </w:rPr>
        <w:t>Sourcing</w:t>
      </w:r>
      <w:r w:rsidR="00596129">
        <w:rPr>
          <w:rFonts w:asciiTheme="minorHAnsi" w:hAnsiTheme="minorHAnsi" w:cstheme="minorHAnsi"/>
        </w:rPr>
        <w:t xml:space="preserve"> ist ökologisch und sozial </w:t>
      </w:r>
      <w:r w:rsidR="008E4AEE">
        <w:rPr>
          <w:rFonts w:asciiTheme="minorHAnsi" w:hAnsiTheme="minorHAnsi" w:cstheme="minorHAnsi"/>
        </w:rPr>
        <w:t>nachteilig</w:t>
      </w:r>
      <w:r w:rsidR="00596129">
        <w:rPr>
          <w:rFonts w:asciiTheme="minorHAnsi" w:hAnsiTheme="minorHAnsi" w:cstheme="minorHAnsi"/>
        </w:rPr>
        <w:t>. Steigende Umweltbelastungen, aber auch in Deutschland wenig akzeptable Arbeitsbedingungen bei den globalen Lieferanten sprechen wie ein möglicher Arbeitsplatzverlust der deutschen Wirtschaft gegen dieses Konzept.</w:t>
      </w:r>
      <w:r w:rsidRPr="00E472F6">
        <w:rPr>
          <w:i/>
          <w:iCs/>
          <w:noProof/>
          <w:sz w:val="16"/>
          <w:szCs w:val="21"/>
        </w:rPr>
        <w:t xml:space="preserve"> </w:t>
      </w:r>
    </w:p>
    <w:sectPr w:rsidR="00F71228" w:rsidSect="00CC7708">
      <w:headerReference w:type="even" r:id="rId17"/>
      <w:headerReference w:type="default" r:id="rId18"/>
      <w:footerReference w:type="even" r:id="rId19"/>
      <w:footerReference w:type="default" r:id="rId20"/>
      <w:headerReference w:type="first" r:id="rId21"/>
      <w:footerReference w:type="first" r:id="rId22"/>
      <w:pgSz w:w="11906" w:h="16838"/>
      <w:pgMar w:top="720" w:right="720" w:bottom="720" w:left="720"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8E7" w:rsidRDefault="00F258E7" w:rsidP="00CC7708">
      <w:pPr>
        <w:spacing w:line="240" w:lineRule="auto"/>
      </w:pPr>
      <w:r>
        <w:separator/>
      </w:r>
    </w:p>
  </w:endnote>
  <w:endnote w:type="continuationSeparator" w:id="0">
    <w:p w:rsidR="00F258E7" w:rsidRDefault="00F258E7" w:rsidP="00CC7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05E" w:rsidRDefault="00BB40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708" w:rsidRPr="003D7FDB" w:rsidRDefault="00CC7708" w:rsidP="00CC7708">
    <w:pPr>
      <w:pStyle w:val="Fuzeile"/>
      <w:pBdr>
        <w:top w:val="single" w:sz="4" w:space="1" w:color="auto"/>
      </w:pBdr>
      <w:tabs>
        <w:tab w:val="left" w:pos="2763"/>
      </w:tabs>
      <w:jc w:val="center"/>
      <w:rPr>
        <w:sz w:val="18"/>
      </w:rPr>
    </w:pPr>
    <w:r>
      <w:rPr>
        <w:sz w:val="18"/>
      </w:rPr>
      <w:t>April 2020</w:t>
    </w:r>
    <w:r>
      <w:rPr>
        <w:sz w:val="18"/>
      </w:rPr>
      <w:tab/>
    </w:r>
    <w:r>
      <w:rPr>
        <w:sz w:val="18"/>
      </w:rPr>
      <w:tab/>
    </w:r>
    <w:sdt>
      <w:sdtPr>
        <w:rPr>
          <w:sz w:val="18"/>
        </w:rPr>
        <w:id w:val="-58794797"/>
        <w:docPartObj>
          <w:docPartGallery w:val="Page Numbers (Bottom of Page)"/>
          <w:docPartUnique/>
        </w:docPartObj>
      </w:sdtPr>
      <w:sdtEndPr/>
      <w:sdtContent>
        <w:r>
          <w:rPr>
            <w:sz w:val="18"/>
          </w:rPr>
          <w:fldChar w:fldCharType="begin"/>
        </w:r>
        <w:r>
          <w:rPr>
            <w:sz w:val="18"/>
          </w:rPr>
          <w:instrText>PAGE   \* MERGEFORMAT</w:instrText>
        </w:r>
        <w:r>
          <w:rPr>
            <w:sz w:val="18"/>
          </w:rPr>
          <w:fldChar w:fldCharType="separate"/>
        </w:r>
        <w:r w:rsidR="00B9282E">
          <w:rPr>
            <w:noProof/>
            <w:sz w:val="18"/>
          </w:rPr>
          <w:t>2</w:t>
        </w:r>
        <w:r>
          <w:rPr>
            <w:sz w:val="18"/>
          </w:rPr>
          <w:fldChar w:fldCharType="end"/>
        </w:r>
        <w:r>
          <w:rPr>
            <w:sz w:val="18"/>
          </w:rPr>
          <w:tab/>
          <w:t>2_7_c_QRC_Infotext_Beschaffungsraum</w:t>
        </w:r>
      </w:sdtContent>
    </w:sdt>
  </w:p>
  <w:p w:rsidR="00CC7708" w:rsidRDefault="00CC770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05E" w:rsidRDefault="00BB405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8E7" w:rsidRDefault="00F258E7" w:rsidP="00CC7708">
      <w:pPr>
        <w:spacing w:line="240" w:lineRule="auto"/>
      </w:pPr>
      <w:r>
        <w:separator/>
      </w:r>
    </w:p>
  </w:footnote>
  <w:footnote w:type="continuationSeparator" w:id="0">
    <w:p w:rsidR="00F258E7" w:rsidRDefault="00F258E7" w:rsidP="00CC77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05E" w:rsidRDefault="00BB40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708" w:rsidRDefault="00CC7708" w:rsidP="00CC7708">
    <w:pPr>
      <w:pBdr>
        <w:bottom w:val="single" w:sz="6" w:space="4" w:color="000000" w:themeColor="text1"/>
      </w:pBdr>
      <w:tabs>
        <w:tab w:val="center" w:pos="4536"/>
        <w:tab w:val="right" w:pos="10490"/>
      </w:tabs>
      <w:overflowPunct w:val="0"/>
      <w:autoSpaceDE w:val="0"/>
      <w:autoSpaceDN w:val="0"/>
      <w:adjustRightInd w:val="0"/>
      <w:spacing w:after="240"/>
      <w:textAlignment w:val="baseline"/>
    </w:pPr>
    <w:r w:rsidRPr="00B9282E">
      <w:rPr>
        <w:rFonts w:cstheme="minorHAnsi"/>
        <w:color w:val="000000" w:themeColor="text1"/>
        <w:sz w:val="24"/>
      </w:rPr>
      <w:t>WGW</w:t>
    </w:r>
    <w:r>
      <w:rPr>
        <w:rFonts w:cstheme="minorHAnsi"/>
        <w:color w:val="000000" w:themeColor="text1"/>
        <w:sz w:val="24"/>
      </w:rPr>
      <w:t>: Beschaffungsziele &amp; Sourcing-Strategien (BPE 6)</w:t>
    </w:r>
    <w:r>
      <w:rPr>
        <w:rFonts w:cstheme="minorHAnsi"/>
        <w:color w:val="000000" w:themeColor="text1"/>
        <w:sz w:val="24"/>
      </w:rPr>
      <w:tab/>
    </w:r>
    <w:r w:rsidRPr="00B9282E">
      <w:rPr>
        <w:rFonts w:cstheme="minorHAnsi"/>
        <w:color w:val="000000" w:themeColor="text1"/>
        <w:sz w:val="24"/>
      </w:rPr>
      <w:t>VBWL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05E" w:rsidRDefault="00BB405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129"/>
    <w:rsid w:val="000A0CF4"/>
    <w:rsid w:val="001C21C9"/>
    <w:rsid w:val="002077BC"/>
    <w:rsid w:val="00340D2E"/>
    <w:rsid w:val="00446E74"/>
    <w:rsid w:val="00493988"/>
    <w:rsid w:val="005536A5"/>
    <w:rsid w:val="00596129"/>
    <w:rsid w:val="007610C0"/>
    <w:rsid w:val="008E4AEE"/>
    <w:rsid w:val="00B9282E"/>
    <w:rsid w:val="00BB405E"/>
    <w:rsid w:val="00CC7708"/>
    <w:rsid w:val="00E472F6"/>
    <w:rsid w:val="00E83F69"/>
    <w:rsid w:val="00F258E7"/>
    <w:rsid w:val="00F712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7B549524"/>
  <w15:chartTrackingRefBased/>
  <w15:docId w15:val="{DBC0792C-1BA8-4A3D-8B54-C793866AC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6129"/>
    <w:pPr>
      <w:spacing w:line="276" w:lineRule="auto"/>
    </w:pPr>
    <w:rPr>
      <w:rFonts w:ascii="Candara" w:eastAsia="Times New Roman" w:hAnsi="Candara"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C770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C7708"/>
    <w:rPr>
      <w:rFonts w:ascii="Candara" w:eastAsia="Times New Roman" w:hAnsi="Candara" w:cs="Times New Roman"/>
      <w:szCs w:val="24"/>
      <w:lang w:eastAsia="de-DE"/>
    </w:rPr>
  </w:style>
  <w:style w:type="paragraph" w:styleId="Fuzeile">
    <w:name w:val="footer"/>
    <w:basedOn w:val="Standard"/>
    <w:link w:val="FuzeileZchn"/>
    <w:uiPriority w:val="99"/>
    <w:unhideWhenUsed/>
    <w:rsid w:val="00CC770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C7708"/>
    <w:rPr>
      <w:rFonts w:ascii="Candara" w:eastAsia="Times New Roman" w:hAnsi="Candara"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895957">
      <w:bodyDiv w:val="1"/>
      <w:marLeft w:val="0"/>
      <w:marRight w:val="0"/>
      <w:marTop w:val="0"/>
      <w:marBottom w:val="0"/>
      <w:divBdr>
        <w:top w:val="none" w:sz="0" w:space="0" w:color="auto"/>
        <w:left w:val="none" w:sz="0" w:space="0" w:color="auto"/>
        <w:bottom w:val="none" w:sz="0" w:space="0" w:color="auto"/>
        <w:right w:val="none" w:sz="0" w:space="0" w:color="auto"/>
      </w:divBdr>
    </w:div>
    <w:div w:id="109363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package" Target="embeddings/Microsoft_Visio-Zeichnung.vsdx"/><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package" Target="embeddings/Microsoft_Visio-Zeichnung1.vsdx"/><Relationship Id="rId22"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AA3694-997E-43FD-9459-5520A1317678}">
  <ds:schemaRefs>
    <ds:schemaRef ds:uri="http://schemas.microsoft.com/sharepoint/v3/contenttype/forms"/>
  </ds:schemaRefs>
</ds:datastoreItem>
</file>

<file path=customXml/itemProps2.xml><?xml version="1.0" encoding="utf-8"?>
<ds:datastoreItem xmlns:ds="http://schemas.openxmlformats.org/officeDocument/2006/customXml" ds:itemID="{CD50C8C4-2B03-4FC7-93F1-9182091E2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60DE4-9CC6-4A38-9E62-75F3044D85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652</Words>
  <Characters>4505</Characters>
  <Application>Microsoft Office Word</Application>
  <DocSecurity>0</DocSecurity>
  <Lines>62</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Volz</dc:creator>
  <cp:keywords/>
  <dc:description/>
  <cp:lastModifiedBy>txtbro_ strauss</cp:lastModifiedBy>
  <cp:revision>11</cp:revision>
  <dcterms:created xsi:type="dcterms:W3CDTF">2020-03-30T20:55:00Z</dcterms:created>
  <dcterms:modified xsi:type="dcterms:W3CDTF">2021-04-27T17:11:00Z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