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D83" w:rsidRDefault="00E62933" w:rsidP="00273DF6">
      <w:pPr>
        <w:spacing w:line="240" w:lineRule="auto"/>
        <w:rPr>
          <w:rFonts w:asciiTheme="minorHAnsi" w:hAnsiTheme="minorHAnsi" w:cstheme="minorHAnsi"/>
        </w:rPr>
      </w:pPr>
      <w:r>
        <w:rPr>
          <w:noProof/>
        </w:rPr>
        <w:drawing>
          <wp:anchor distT="0" distB="0" distL="114300" distR="114300" simplePos="0" relativeHeight="251666432" behindDoc="0" locked="0" layoutInCell="1" allowOverlap="1" wp14:anchorId="38E7BD57" wp14:editId="2D5784A7">
            <wp:simplePos x="0" y="0"/>
            <wp:positionH relativeFrom="column">
              <wp:posOffset>561315</wp:posOffset>
            </wp:positionH>
            <wp:positionV relativeFrom="paragraph">
              <wp:posOffset>107</wp:posOffset>
            </wp:positionV>
            <wp:extent cx="461645" cy="469900"/>
            <wp:effectExtent l="0" t="0" r="0" b="6350"/>
            <wp:wrapSquare wrapText="bothSides"/>
            <wp:docPr id="50" name="Bild 1" descr="Info, Icon, Button, Web, Hilfe, Blau, Meldung"/>
            <wp:cNvGraphicFramePr/>
            <a:graphic xmlns:a="http://schemas.openxmlformats.org/drawingml/2006/main">
              <a:graphicData uri="http://schemas.openxmlformats.org/drawingml/2006/picture">
                <pic:pic xmlns:pic="http://schemas.openxmlformats.org/drawingml/2006/picture">
                  <pic:nvPicPr>
                    <pic:cNvPr id="50" name="Bild 1" descr="Info, Icon, Button, Web, Hilfe, Blau, Meldun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1645" cy="469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4D83">
        <w:rPr>
          <w:rFonts w:asciiTheme="minorHAnsi" w:hAnsiTheme="minorHAnsi" w:cstheme="minorHAnsi"/>
          <w:b/>
          <w:noProof/>
          <w:sz w:val="32"/>
        </w:rPr>
        <w:drawing>
          <wp:anchor distT="0" distB="0" distL="114300" distR="114300" simplePos="0" relativeHeight="251663360" behindDoc="0" locked="0" layoutInCell="1" allowOverlap="1">
            <wp:simplePos x="0" y="0"/>
            <wp:positionH relativeFrom="column">
              <wp:posOffset>4949190</wp:posOffset>
            </wp:positionH>
            <wp:positionV relativeFrom="paragraph">
              <wp:posOffset>610</wp:posOffset>
            </wp:positionV>
            <wp:extent cx="1527175" cy="524510"/>
            <wp:effectExtent l="0" t="0" r="0" b="889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r="3295" b="25782"/>
                    <a:stretch/>
                  </pic:blipFill>
                  <pic:spPr bwMode="auto">
                    <a:xfrm>
                      <a:off x="0" y="0"/>
                      <a:ext cx="1527175" cy="5245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51479">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102D15E4" wp14:editId="2CAD8753">
                <wp:simplePos x="0" y="0"/>
                <wp:positionH relativeFrom="column">
                  <wp:posOffset>2540</wp:posOffset>
                </wp:positionH>
                <wp:positionV relativeFrom="paragraph">
                  <wp:posOffset>-71397</wp:posOffset>
                </wp:positionV>
                <wp:extent cx="6536055" cy="560724"/>
                <wp:effectExtent l="0" t="0" r="17145" b="10795"/>
                <wp:wrapNone/>
                <wp:docPr id="19" name="Textfeld 19"/>
                <wp:cNvGraphicFramePr/>
                <a:graphic xmlns:a="http://schemas.openxmlformats.org/drawingml/2006/main">
                  <a:graphicData uri="http://schemas.microsoft.com/office/word/2010/wordprocessingShape">
                    <wps:wsp>
                      <wps:cNvSpPr txBox="1"/>
                      <wps:spPr>
                        <a:xfrm>
                          <a:off x="0" y="0"/>
                          <a:ext cx="6536055" cy="560724"/>
                        </a:xfrm>
                        <a:prstGeom prst="rect">
                          <a:avLst/>
                        </a:prstGeom>
                        <a:solidFill>
                          <a:schemeClr val="accent6">
                            <a:lumMod val="60000"/>
                            <a:lumOff val="40000"/>
                          </a:schemeClr>
                        </a:solidFill>
                        <a:ln w="6350">
                          <a:solidFill>
                            <a:prstClr val="black"/>
                          </a:solidFill>
                        </a:ln>
                      </wps:spPr>
                      <wps:txbx>
                        <w:txbxContent>
                          <w:p w:rsidR="00014D83" w:rsidRPr="00E62933" w:rsidRDefault="00014D83" w:rsidP="00E62933">
                            <w:pPr>
                              <w:jc w:val="center"/>
                              <w:rPr>
                                <w:rFonts w:asciiTheme="minorHAnsi" w:hAnsiTheme="minorHAnsi" w:cstheme="minorHAnsi"/>
                                <w:b/>
                                <w:sz w:val="26"/>
                                <w:szCs w:val="26"/>
                              </w:rPr>
                            </w:pPr>
                            <w:r w:rsidRPr="00E62933">
                              <w:rPr>
                                <w:rFonts w:asciiTheme="minorHAnsi" w:hAnsiTheme="minorHAnsi" w:cstheme="minorHAnsi"/>
                                <w:b/>
                                <w:sz w:val="26"/>
                                <w:szCs w:val="26"/>
                              </w:rPr>
                              <w:t>Informationstext:</w:t>
                            </w:r>
                          </w:p>
                          <w:p w:rsidR="00014D83" w:rsidRPr="00E62933" w:rsidRDefault="00014D83" w:rsidP="00E62933">
                            <w:pPr>
                              <w:jc w:val="center"/>
                              <w:rPr>
                                <w:rFonts w:asciiTheme="minorHAnsi" w:hAnsiTheme="minorHAnsi" w:cstheme="minorHAnsi"/>
                                <w:b/>
                                <w:sz w:val="26"/>
                                <w:szCs w:val="26"/>
                              </w:rPr>
                            </w:pPr>
                            <w:r w:rsidRPr="00E62933">
                              <w:rPr>
                                <w:rFonts w:asciiTheme="minorHAnsi" w:hAnsiTheme="minorHAnsi" w:cstheme="minorHAnsi"/>
                                <w:b/>
                                <w:sz w:val="26"/>
                                <w:szCs w:val="26"/>
                              </w:rPr>
                              <w:t>Sourcing-Strategien nach der Lieferantenanzahl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2D15E4" id="_x0000_t202" coordsize="21600,21600" o:spt="202" path="m,l,21600r21600,l21600,xe">
                <v:stroke joinstyle="miter"/>
                <v:path gradientshapeok="t" o:connecttype="rect"/>
              </v:shapetype>
              <v:shape id="Textfeld 19" o:spid="_x0000_s1026" type="#_x0000_t202" style="position:absolute;margin-left:.2pt;margin-top:-5.6pt;width:514.65pt;height:4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" fillcolor="#a8d08d [1945]" strokeweight=".5pt">
                <v:textbox>
                  <w:txbxContent>
                    <w:p w:rsidR="00014D83" w:rsidRPr="00E62933" w:rsidRDefault="00014D83" w:rsidP="00E62933">
                      <w:pPr>
                        <w:jc w:val="center"/>
                        <w:rPr>
                          <w:rFonts w:asciiTheme="minorHAnsi" w:hAnsiTheme="minorHAnsi" w:cstheme="minorHAnsi"/>
                          <w:b/>
                          <w:sz w:val="26"/>
                          <w:szCs w:val="26"/>
                        </w:rPr>
                      </w:pPr>
                      <w:r w:rsidRPr="00E62933">
                        <w:rPr>
                          <w:rFonts w:asciiTheme="minorHAnsi" w:hAnsiTheme="minorHAnsi" w:cstheme="minorHAnsi"/>
                          <w:b/>
                          <w:sz w:val="26"/>
                          <w:szCs w:val="26"/>
                        </w:rPr>
                        <w:t>Informationstext:</w:t>
                      </w:r>
                    </w:p>
                    <w:p w:rsidR="00014D83" w:rsidRPr="00E62933" w:rsidRDefault="00014D83" w:rsidP="00E62933">
                      <w:pPr>
                        <w:jc w:val="center"/>
                        <w:rPr>
                          <w:rFonts w:asciiTheme="minorHAnsi" w:hAnsiTheme="minorHAnsi" w:cstheme="minorHAnsi"/>
                          <w:b/>
                          <w:sz w:val="26"/>
                          <w:szCs w:val="26"/>
                        </w:rPr>
                      </w:pPr>
                      <w:r w:rsidRPr="00E62933">
                        <w:rPr>
                          <w:rFonts w:asciiTheme="minorHAnsi" w:hAnsiTheme="minorHAnsi" w:cstheme="minorHAnsi"/>
                          <w:b/>
                          <w:sz w:val="26"/>
                          <w:szCs w:val="26"/>
                        </w:rPr>
                        <w:t>Sourcing-Strategien nach der Lieferantenanzahl</w:t>
                      </w:r>
                    </w:p>
                  </w:txbxContent>
                </v:textbox>
              </v:shape>
            </w:pict>
          </mc:Fallback>
        </mc:AlternateContent>
      </w:r>
    </w:p>
    <w:p w:rsidR="00014D83" w:rsidRDefault="00014D83" w:rsidP="00273DF6">
      <w:pPr>
        <w:spacing w:line="240" w:lineRule="auto"/>
        <w:rPr>
          <w:rFonts w:asciiTheme="minorHAnsi" w:hAnsiTheme="minorHAnsi" w:cstheme="minorHAnsi"/>
        </w:rPr>
      </w:pPr>
    </w:p>
    <w:p w:rsidR="00014D83" w:rsidRPr="00551479" w:rsidRDefault="00014D83" w:rsidP="00273DF6">
      <w:pPr>
        <w:spacing w:line="240" w:lineRule="auto"/>
        <w:rPr>
          <w:rFonts w:asciiTheme="minorHAnsi" w:hAnsiTheme="minorHAnsi" w:cstheme="minorHAnsi"/>
        </w:rPr>
      </w:pPr>
    </w:p>
    <w:p w:rsidR="00273DF6" w:rsidRDefault="00273DF6" w:rsidP="00273DF6">
      <w:pPr>
        <w:tabs>
          <w:tab w:val="left" w:pos="3040"/>
        </w:tabs>
        <w:spacing w:line="240" w:lineRule="auto"/>
        <w:rPr>
          <w:rFonts w:asciiTheme="minorHAnsi" w:hAnsiTheme="minorHAnsi" w:cstheme="minorHAnsi"/>
        </w:rPr>
      </w:pPr>
    </w:p>
    <w:p w:rsidR="00014D83" w:rsidRPr="00551479" w:rsidRDefault="00014D83" w:rsidP="00273DF6">
      <w:pPr>
        <w:tabs>
          <w:tab w:val="left" w:pos="3040"/>
        </w:tabs>
        <w:spacing w:line="240" w:lineRule="auto"/>
        <w:rPr>
          <w:rFonts w:asciiTheme="minorHAnsi" w:hAnsiTheme="minorHAnsi" w:cstheme="minorHAnsi"/>
        </w:rPr>
      </w:pPr>
      <w:r w:rsidRPr="00551479">
        <w:rPr>
          <w:rFonts w:asciiTheme="minorHAnsi" w:hAnsiTheme="minorHAnsi" w:cstheme="minorHAnsi"/>
        </w:rPr>
        <w:t>Im Bereich der Beschaffung stehen Industrie und Handel in einem vielfältigen Span</w:t>
      </w:r>
      <w:r w:rsidR="00C025A7">
        <w:rPr>
          <w:rFonts w:asciiTheme="minorHAnsi" w:hAnsiTheme="minorHAnsi" w:cstheme="minorHAnsi"/>
        </w:rPr>
        <w:t>n</w:t>
      </w:r>
      <w:r w:rsidRPr="00551479">
        <w:rPr>
          <w:rFonts w:asciiTheme="minorHAnsi" w:hAnsiTheme="minorHAnsi" w:cstheme="minorHAnsi"/>
        </w:rPr>
        <w:t xml:space="preserve">ungsfeld. Häufig bedeutet die Lieferantenauswahl einen Spagat zwischen den differenzierenden Unternehmenszielen und den damit verbundenen Zielbeziehungen der Beschaffung. Ob Synergieeffekte zwischen einzelnen Beschaffungszielen genutzt oder unter Umständen Zielkonflikte innerhalb </w:t>
      </w:r>
      <w:r>
        <w:rPr>
          <w:rFonts w:asciiTheme="minorHAnsi" w:hAnsiTheme="minorHAnsi" w:cstheme="minorHAnsi"/>
        </w:rPr>
        <w:t xml:space="preserve">der </w:t>
      </w:r>
      <w:r w:rsidRPr="00551479">
        <w:rPr>
          <w:rFonts w:asciiTheme="minorHAnsi" w:hAnsiTheme="minorHAnsi" w:cstheme="minorHAnsi"/>
        </w:rPr>
        <w:t xml:space="preserve">Beschaffung verstärkt werden, hängt unter anderem von der Entscheidung über die richtige Sourcing-Strategie ab. </w:t>
      </w:r>
    </w:p>
    <w:p w:rsidR="00014D83" w:rsidRPr="00551479" w:rsidRDefault="00014D83" w:rsidP="00273DF6">
      <w:pPr>
        <w:tabs>
          <w:tab w:val="left" w:pos="3040"/>
        </w:tabs>
        <w:spacing w:line="240" w:lineRule="auto"/>
        <w:rPr>
          <w:rFonts w:asciiTheme="minorHAnsi" w:hAnsiTheme="minorHAnsi" w:cstheme="minorHAnsi"/>
        </w:rPr>
      </w:pPr>
      <w:r w:rsidRPr="00551479">
        <w:rPr>
          <w:rFonts w:asciiTheme="minorHAnsi" w:hAnsiTheme="minorHAnsi" w:cstheme="minorHAnsi"/>
        </w:rPr>
        <w:t xml:space="preserve">Aus diesen Grund sollen im Folgenden die </w:t>
      </w:r>
      <w:r w:rsidRPr="00FA0F68">
        <w:rPr>
          <w:rFonts w:asciiTheme="minorHAnsi" w:hAnsiTheme="minorHAnsi" w:cstheme="minorHAnsi"/>
          <w:b/>
        </w:rPr>
        <w:t>Sourcing-Strategien nach der Lieferantenanzahl</w:t>
      </w:r>
      <w:r w:rsidRPr="00551479">
        <w:rPr>
          <w:rFonts w:asciiTheme="minorHAnsi" w:hAnsiTheme="minorHAnsi" w:cstheme="minorHAnsi"/>
        </w:rPr>
        <w:t xml:space="preserve"> näher betrachtet werden. </w:t>
      </w:r>
    </w:p>
    <w:p w:rsidR="00014D83" w:rsidRDefault="00014D83" w:rsidP="00273DF6">
      <w:pPr>
        <w:spacing w:line="240" w:lineRule="auto"/>
        <w:rPr>
          <w:rFonts w:asciiTheme="minorHAnsi" w:hAnsiTheme="minorHAnsi" w:cstheme="minorHAnsi"/>
        </w:rPr>
      </w:pPr>
    </w:p>
    <w:p w:rsidR="00273DF6" w:rsidRPr="00551479" w:rsidRDefault="00273DF6" w:rsidP="00273DF6">
      <w:pPr>
        <w:spacing w:line="240" w:lineRule="auto"/>
        <w:rPr>
          <w:rFonts w:asciiTheme="minorHAnsi" w:hAnsiTheme="minorHAnsi" w:cstheme="minorHAnsi"/>
        </w:rPr>
      </w:pPr>
    </w:p>
    <w:p w:rsidR="00014D83" w:rsidRDefault="00014D83" w:rsidP="00273DF6">
      <w:pPr>
        <w:spacing w:line="240" w:lineRule="auto"/>
        <w:rPr>
          <w:rFonts w:asciiTheme="minorHAnsi" w:hAnsiTheme="minorHAnsi" w:cstheme="minorHAnsi"/>
          <w:b/>
          <w:sz w:val="24"/>
        </w:rPr>
      </w:pPr>
      <w:r w:rsidRPr="00551479">
        <w:rPr>
          <w:rFonts w:asciiTheme="minorHAnsi" w:hAnsiTheme="minorHAnsi" w:cstheme="minorHAnsi"/>
          <w:b/>
          <w:sz w:val="24"/>
        </w:rPr>
        <w:t>Single Sourcing</w:t>
      </w:r>
    </w:p>
    <w:p w:rsidR="00273DF6" w:rsidRPr="00551479" w:rsidRDefault="00273DF6" w:rsidP="00273DF6">
      <w:pPr>
        <w:spacing w:line="240" w:lineRule="auto"/>
        <w:rPr>
          <w:rFonts w:asciiTheme="minorHAnsi" w:hAnsiTheme="minorHAnsi" w:cstheme="minorHAnsi"/>
          <w:b/>
          <w:sz w:val="24"/>
        </w:rPr>
      </w:pPr>
    </w:p>
    <w:p w:rsidR="00014D83" w:rsidRPr="00551479" w:rsidRDefault="00014D83" w:rsidP="00273DF6">
      <w:pPr>
        <w:spacing w:line="240" w:lineRule="auto"/>
        <w:jc w:val="both"/>
        <w:rPr>
          <w:rFonts w:asciiTheme="minorHAnsi" w:hAnsiTheme="minorHAnsi" w:cstheme="minorHAnsi"/>
        </w:rPr>
      </w:pPr>
      <w:r w:rsidRPr="00551479">
        <w:rPr>
          <w:rFonts w:asciiTheme="minorHAnsi" w:hAnsiTheme="minorHAnsi" w:cstheme="minorHAnsi"/>
          <w:b/>
          <w:noProof/>
          <w:sz w:val="24"/>
        </w:rPr>
        <w:drawing>
          <wp:anchor distT="0" distB="0" distL="114300" distR="114300" simplePos="0" relativeHeight="251660288" behindDoc="0" locked="0" layoutInCell="1" allowOverlap="1" wp14:anchorId="182D372C" wp14:editId="19AA596B">
            <wp:simplePos x="0" y="0"/>
            <wp:positionH relativeFrom="column">
              <wp:posOffset>4133252</wp:posOffset>
            </wp:positionH>
            <wp:positionV relativeFrom="paragraph">
              <wp:posOffset>15240</wp:posOffset>
            </wp:positionV>
            <wp:extent cx="2407285" cy="1060450"/>
            <wp:effectExtent l="0" t="0" r="0" b="6350"/>
            <wp:wrapSquare wrapText="bothSides"/>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407285" cy="1060450"/>
                    </a:xfrm>
                    <a:prstGeom prst="rect">
                      <a:avLst/>
                    </a:prstGeom>
                  </pic:spPr>
                </pic:pic>
              </a:graphicData>
            </a:graphic>
            <wp14:sizeRelH relativeFrom="page">
              <wp14:pctWidth>0</wp14:pctWidth>
            </wp14:sizeRelH>
            <wp14:sizeRelV relativeFrom="page">
              <wp14:pctHeight>0</wp14:pctHeight>
            </wp14:sizeRelV>
          </wp:anchor>
        </w:drawing>
      </w:r>
      <w:r w:rsidRPr="00551479">
        <w:rPr>
          <w:rFonts w:asciiTheme="minorHAnsi" w:hAnsiTheme="minorHAnsi" w:cstheme="minorHAnsi"/>
        </w:rPr>
        <w:t xml:space="preserve">Entscheidet sich das </w:t>
      </w:r>
      <w:r w:rsidR="00F92A3E">
        <w:rPr>
          <w:rFonts w:asciiTheme="minorHAnsi" w:hAnsiTheme="minorHAnsi" w:cstheme="minorHAnsi"/>
        </w:rPr>
        <w:t>Unternehmen,</w:t>
      </w:r>
      <w:r w:rsidR="00CD7EC6">
        <w:rPr>
          <w:rFonts w:asciiTheme="minorHAnsi" w:hAnsiTheme="minorHAnsi" w:cstheme="minorHAnsi"/>
        </w:rPr>
        <w:t xml:space="preserve"> </w:t>
      </w:r>
      <w:r w:rsidR="00205961">
        <w:rPr>
          <w:rFonts w:asciiTheme="minorHAnsi" w:hAnsiTheme="minorHAnsi" w:cstheme="minorHAnsi"/>
        </w:rPr>
        <w:t>bestimmte</w:t>
      </w:r>
      <w:r w:rsidR="00CD7EC6">
        <w:rPr>
          <w:rFonts w:asciiTheme="minorHAnsi" w:hAnsiTheme="minorHAnsi" w:cstheme="minorHAnsi"/>
        </w:rPr>
        <w:t xml:space="preserve"> </w:t>
      </w:r>
      <w:r w:rsidRPr="00551479">
        <w:rPr>
          <w:rFonts w:asciiTheme="minorHAnsi" w:hAnsiTheme="minorHAnsi" w:cstheme="minorHAnsi"/>
        </w:rPr>
        <w:t xml:space="preserve">Güter </w:t>
      </w:r>
      <w:r w:rsidR="00205961">
        <w:rPr>
          <w:rFonts w:asciiTheme="minorHAnsi" w:hAnsiTheme="minorHAnsi" w:cstheme="minorHAnsi"/>
        </w:rPr>
        <w:t>bei einem</w:t>
      </w:r>
      <w:r w:rsidRPr="00551479">
        <w:rPr>
          <w:rFonts w:asciiTheme="minorHAnsi" w:hAnsiTheme="minorHAnsi" w:cstheme="minorHAnsi"/>
        </w:rPr>
        <w:t xml:space="preserve"> einzigen Lieferanten</w:t>
      </w:r>
      <w:r w:rsidR="00205961">
        <w:rPr>
          <w:rFonts w:asciiTheme="minorHAnsi" w:hAnsiTheme="minorHAnsi" w:cstheme="minorHAnsi"/>
        </w:rPr>
        <w:t xml:space="preserve"> zu beschaffen</w:t>
      </w:r>
      <w:r w:rsidRPr="00551479">
        <w:rPr>
          <w:rFonts w:asciiTheme="minorHAnsi" w:hAnsiTheme="minorHAnsi" w:cstheme="minorHAnsi"/>
        </w:rPr>
        <w:t>,</w:t>
      </w:r>
      <w:r w:rsidR="00205961">
        <w:rPr>
          <w:rFonts w:asciiTheme="minorHAnsi" w:hAnsiTheme="minorHAnsi" w:cstheme="minorHAnsi"/>
        </w:rPr>
        <w:t xml:space="preserve"> so nennt man diese S</w:t>
      </w:r>
      <w:r w:rsidRPr="00551479">
        <w:rPr>
          <w:rFonts w:asciiTheme="minorHAnsi" w:hAnsiTheme="minorHAnsi" w:cstheme="minorHAnsi"/>
        </w:rPr>
        <w:t xml:space="preserve">trategie </w:t>
      </w:r>
      <w:r w:rsidRPr="00551479">
        <w:rPr>
          <w:rFonts w:asciiTheme="minorHAnsi" w:hAnsiTheme="minorHAnsi" w:cstheme="minorHAnsi"/>
          <w:b/>
        </w:rPr>
        <w:t>Single Sourcing</w:t>
      </w:r>
      <w:r w:rsidRPr="00551479">
        <w:rPr>
          <w:rFonts w:asciiTheme="minorHAnsi" w:hAnsiTheme="minorHAnsi" w:cstheme="minorHAnsi"/>
        </w:rPr>
        <w:t xml:space="preserve">. Dabei handelt es sich immer um ein und denselben Lieferanten, bei dem </w:t>
      </w:r>
      <w:r w:rsidR="00205961">
        <w:rPr>
          <w:rFonts w:asciiTheme="minorHAnsi" w:hAnsiTheme="minorHAnsi" w:cstheme="minorHAnsi"/>
        </w:rPr>
        <w:t>bestimmte Güter</w:t>
      </w:r>
      <w:r w:rsidRPr="00551479">
        <w:rPr>
          <w:rFonts w:asciiTheme="minorHAnsi" w:hAnsiTheme="minorHAnsi" w:cstheme="minorHAnsi"/>
        </w:rPr>
        <w:t xml:space="preserve"> </w:t>
      </w:r>
      <w:r w:rsidR="00205961">
        <w:rPr>
          <w:rFonts w:asciiTheme="minorHAnsi" w:hAnsiTheme="minorHAnsi" w:cstheme="minorHAnsi"/>
        </w:rPr>
        <w:t>eingekauft</w:t>
      </w:r>
      <w:r w:rsidRPr="00551479">
        <w:rPr>
          <w:rFonts w:asciiTheme="minorHAnsi" w:hAnsiTheme="minorHAnsi" w:cstheme="minorHAnsi"/>
        </w:rPr>
        <w:t xml:space="preserve"> werden. Dadurch entsteh</w:t>
      </w:r>
      <w:r>
        <w:rPr>
          <w:rFonts w:asciiTheme="minorHAnsi" w:hAnsiTheme="minorHAnsi" w:cstheme="minorHAnsi"/>
        </w:rPr>
        <w:t xml:space="preserve">t eine langfristige </w:t>
      </w:r>
      <w:r w:rsidRPr="00551479">
        <w:rPr>
          <w:rFonts w:asciiTheme="minorHAnsi" w:hAnsiTheme="minorHAnsi" w:cstheme="minorHAnsi"/>
        </w:rPr>
        <w:t xml:space="preserve">Geschäftsbeziehung, die unkomplizierte Bestellungen möglich machen kann. Als weiterer </w:t>
      </w:r>
      <w:r w:rsidRPr="00551479">
        <w:rPr>
          <w:rFonts w:asciiTheme="minorHAnsi" w:hAnsiTheme="minorHAnsi" w:cstheme="minorHAnsi"/>
          <w:b/>
        </w:rPr>
        <w:t>Vorteil</w:t>
      </w:r>
      <w:r w:rsidRPr="00551479">
        <w:rPr>
          <w:rFonts w:asciiTheme="minorHAnsi" w:hAnsiTheme="minorHAnsi" w:cstheme="minorHAnsi"/>
        </w:rPr>
        <w:t xml:space="preserve"> kann bei der Abnahme von großen Mengen die Chance auf Mengenrabatt in den Vertragsverhandlungen besser eingebracht werden. Dies hat günstigere Einkaufspreise für die Güter zur Folge. Des Weiteren erübrigt sich die Lieferantensuche bei jeder Bestellung. Die Lieferungen können beispielsweise über ein Abrufsystem </w:t>
      </w:r>
      <w:r w:rsidRPr="00FB11D6">
        <w:rPr>
          <w:rFonts w:asciiTheme="minorHAnsi" w:hAnsiTheme="minorHAnsi" w:cstheme="minorHAnsi"/>
        </w:rPr>
        <w:t xml:space="preserve">automatisiert werden und so in der richtigen Anzahl am richtigen Tag bei dem Unternehmen angeliefert werden. </w:t>
      </w:r>
      <w:r w:rsidR="00A92121" w:rsidRPr="00FB11D6">
        <w:rPr>
          <w:rFonts w:asciiTheme="minorHAnsi" w:hAnsiTheme="minorHAnsi" w:cstheme="minorHAnsi"/>
        </w:rPr>
        <w:t xml:space="preserve">Als Folge sinkt der Beschaffungsaufwand beim </w:t>
      </w:r>
      <w:r w:rsidR="00A92121" w:rsidRPr="00F92A3E">
        <w:rPr>
          <w:rFonts w:asciiTheme="minorHAnsi" w:hAnsiTheme="minorHAnsi" w:cstheme="minorHAnsi"/>
        </w:rPr>
        <w:t>Single</w:t>
      </w:r>
      <w:r w:rsidR="00A92121" w:rsidRPr="00FB11D6">
        <w:rPr>
          <w:rFonts w:asciiTheme="minorHAnsi" w:hAnsiTheme="minorHAnsi" w:cstheme="minorHAnsi"/>
        </w:rPr>
        <w:t xml:space="preserve"> Sourcing. </w:t>
      </w:r>
      <w:r w:rsidRPr="00FB11D6">
        <w:rPr>
          <w:rFonts w:asciiTheme="minorHAnsi" w:hAnsiTheme="minorHAnsi" w:cstheme="minorHAnsi"/>
        </w:rPr>
        <w:t xml:space="preserve">Aber das </w:t>
      </w:r>
      <w:r w:rsidRPr="00F92A3E">
        <w:rPr>
          <w:rFonts w:asciiTheme="minorHAnsi" w:hAnsiTheme="minorHAnsi" w:cstheme="minorHAnsi"/>
        </w:rPr>
        <w:t>Single</w:t>
      </w:r>
      <w:r w:rsidRPr="00FB11D6">
        <w:rPr>
          <w:rFonts w:asciiTheme="minorHAnsi" w:hAnsiTheme="minorHAnsi" w:cstheme="minorHAnsi"/>
        </w:rPr>
        <w:t xml:space="preserve"> Sourcing bleibt nicht ohne </w:t>
      </w:r>
      <w:r w:rsidRPr="00FB11D6">
        <w:rPr>
          <w:rFonts w:asciiTheme="minorHAnsi" w:hAnsiTheme="minorHAnsi" w:cstheme="minorHAnsi"/>
          <w:b/>
          <w:bCs/>
        </w:rPr>
        <w:t>Nachteile</w:t>
      </w:r>
      <w:r w:rsidRPr="00FB11D6">
        <w:rPr>
          <w:rFonts w:asciiTheme="minorHAnsi" w:hAnsiTheme="minorHAnsi" w:cstheme="minorHAnsi"/>
        </w:rPr>
        <w:t>. Sollte der einzige Lieferant der Güter Liefer</w:t>
      </w:r>
      <w:r w:rsidR="00A92121" w:rsidRPr="00FB11D6">
        <w:rPr>
          <w:rFonts w:asciiTheme="minorHAnsi" w:hAnsiTheme="minorHAnsi" w:cstheme="minorHAnsi"/>
        </w:rPr>
        <w:t>schwierigkeiten aufweisen</w:t>
      </w:r>
      <w:r w:rsidRPr="00FB11D6">
        <w:rPr>
          <w:rFonts w:asciiTheme="minorHAnsi" w:hAnsiTheme="minorHAnsi" w:cstheme="minorHAnsi"/>
        </w:rPr>
        <w:t xml:space="preserve">, </w:t>
      </w:r>
      <w:r w:rsidR="00A92121" w:rsidRPr="00FB11D6">
        <w:rPr>
          <w:rFonts w:asciiTheme="minorHAnsi" w:hAnsiTheme="minorHAnsi" w:cstheme="minorHAnsi"/>
        </w:rPr>
        <w:t>bietet sich dem</w:t>
      </w:r>
      <w:r w:rsidRPr="00FB11D6">
        <w:rPr>
          <w:rFonts w:asciiTheme="minorHAnsi" w:hAnsiTheme="minorHAnsi" w:cstheme="minorHAnsi"/>
        </w:rPr>
        <w:t xml:space="preserve"> Unternehmen keine </w:t>
      </w:r>
      <w:r w:rsidR="00A92121" w:rsidRPr="00FB11D6">
        <w:rPr>
          <w:rFonts w:asciiTheme="minorHAnsi" w:hAnsiTheme="minorHAnsi" w:cstheme="minorHAnsi"/>
        </w:rPr>
        <w:t>Option</w:t>
      </w:r>
      <w:r w:rsidRPr="00FB11D6">
        <w:rPr>
          <w:rFonts w:asciiTheme="minorHAnsi" w:hAnsiTheme="minorHAnsi" w:cstheme="minorHAnsi"/>
        </w:rPr>
        <w:t xml:space="preserve">, schnell auf einen anderen Lieferanten </w:t>
      </w:r>
      <w:r w:rsidR="00A92121" w:rsidRPr="00FB11D6">
        <w:rPr>
          <w:rFonts w:asciiTheme="minorHAnsi" w:hAnsiTheme="minorHAnsi" w:cstheme="minorHAnsi"/>
        </w:rPr>
        <w:t>auszuweichen</w:t>
      </w:r>
      <w:r w:rsidRPr="00FB11D6">
        <w:rPr>
          <w:rFonts w:asciiTheme="minorHAnsi" w:hAnsiTheme="minorHAnsi" w:cstheme="minorHAnsi"/>
        </w:rPr>
        <w:t xml:space="preserve">. Es droht der Stopp der eigenen Produktion oder des Absatzes. Möglicherweise </w:t>
      </w:r>
      <w:r w:rsidRPr="00F92A3E">
        <w:rPr>
          <w:rFonts w:asciiTheme="minorHAnsi" w:hAnsiTheme="minorHAnsi" w:cstheme="minorHAnsi"/>
        </w:rPr>
        <w:t>ist der einzige Lieferant</w:t>
      </w:r>
      <w:r w:rsidR="00F92A3E" w:rsidRPr="00F92A3E">
        <w:rPr>
          <w:rFonts w:asciiTheme="minorHAnsi" w:hAnsiTheme="minorHAnsi" w:cstheme="minorHAnsi"/>
        </w:rPr>
        <w:t>,</w:t>
      </w:r>
      <w:r w:rsidRPr="00F92A3E">
        <w:rPr>
          <w:rFonts w:asciiTheme="minorHAnsi" w:hAnsiTheme="minorHAnsi" w:cstheme="minorHAnsi"/>
        </w:rPr>
        <w:t xml:space="preserve"> mit dem das Unternehmen zusammenarbeitet</w:t>
      </w:r>
      <w:r w:rsidRPr="00FB11D6">
        <w:rPr>
          <w:rFonts w:asciiTheme="minorHAnsi" w:hAnsiTheme="minorHAnsi" w:cstheme="minorHAnsi"/>
        </w:rPr>
        <w:t xml:space="preserve"> </w:t>
      </w:r>
      <w:r w:rsidR="000142B9" w:rsidRPr="00FB11D6">
        <w:rPr>
          <w:rFonts w:asciiTheme="minorHAnsi" w:hAnsiTheme="minorHAnsi" w:cstheme="minorHAnsi"/>
        </w:rPr>
        <w:t>nicht der</w:t>
      </w:r>
      <w:r w:rsidRPr="00FB11D6">
        <w:rPr>
          <w:rFonts w:asciiTheme="minorHAnsi" w:hAnsiTheme="minorHAnsi" w:cstheme="minorHAnsi"/>
        </w:rPr>
        <w:t xml:space="preserve"> günstigste Lieferant. Damit könnte </w:t>
      </w:r>
      <w:r w:rsidR="00F92A3E">
        <w:rPr>
          <w:rFonts w:asciiTheme="minorHAnsi" w:hAnsiTheme="minorHAnsi" w:cstheme="minorHAnsi"/>
        </w:rPr>
        <w:t>aufseiten</w:t>
      </w:r>
      <w:r w:rsidRPr="00FB11D6">
        <w:rPr>
          <w:rFonts w:asciiTheme="minorHAnsi" w:hAnsiTheme="minorHAnsi" w:cstheme="minorHAnsi"/>
        </w:rPr>
        <w:t xml:space="preserve"> des Unternehmens zu viel Geld im Einkauf ausgegeben werden. Da eine Vertragsbindung</w:t>
      </w:r>
      <w:r w:rsidRPr="00551479">
        <w:rPr>
          <w:rFonts w:asciiTheme="minorHAnsi" w:hAnsiTheme="minorHAnsi" w:cstheme="minorHAnsi"/>
        </w:rPr>
        <w:t xml:space="preserve"> mit den Lieferanten über einen längeren Zeitraum geht, können bessere Angebote nicht wahrgenommen werden. </w:t>
      </w:r>
    </w:p>
    <w:p w:rsidR="00014D83" w:rsidRDefault="00014D83" w:rsidP="00273DF6">
      <w:pPr>
        <w:spacing w:line="240" w:lineRule="auto"/>
        <w:rPr>
          <w:rFonts w:asciiTheme="minorHAnsi" w:hAnsiTheme="minorHAnsi" w:cstheme="minorHAnsi"/>
        </w:rPr>
      </w:pPr>
    </w:p>
    <w:p w:rsidR="00E62933" w:rsidRDefault="00E62933" w:rsidP="00273DF6">
      <w:pPr>
        <w:spacing w:line="240" w:lineRule="auto"/>
        <w:rPr>
          <w:rFonts w:asciiTheme="minorHAnsi" w:hAnsiTheme="minorHAnsi" w:cstheme="minorHAnsi"/>
        </w:rPr>
      </w:pPr>
    </w:p>
    <w:p w:rsidR="00273DF6" w:rsidRPr="00551479" w:rsidRDefault="00273DF6" w:rsidP="00273DF6">
      <w:pPr>
        <w:spacing w:line="240" w:lineRule="auto"/>
        <w:rPr>
          <w:rFonts w:asciiTheme="minorHAnsi" w:hAnsiTheme="minorHAnsi" w:cstheme="minorHAnsi"/>
        </w:rPr>
      </w:pPr>
    </w:p>
    <w:p w:rsidR="00014D83" w:rsidRDefault="00014D83" w:rsidP="00273DF6">
      <w:pPr>
        <w:spacing w:line="240" w:lineRule="auto"/>
        <w:rPr>
          <w:rFonts w:asciiTheme="minorHAnsi" w:hAnsiTheme="minorHAnsi" w:cstheme="minorHAnsi"/>
          <w:b/>
          <w:sz w:val="24"/>
        </w:rPr>
      </w:pPr>
      <w:r w:rsidRPr="00551479">
        <w:rPr>
          <w:rFonts w:asciiTheme="minorHAnsi" w:hAnsiTheme="minorHAnsi" w:cstheme="minorHAnsi"/>
          <w:b/>
          <w:sz w:val="24"/>
        </w:rPr>
        <w:t xml:space="preserve">Double </w:t>
      </w:r>
      <w:r w:rsidRPr="00F92A3E">
        <w:rPr>
          <w:rFonts w:asciiTheme="minorHAnsi" w:hAnsiTheme="minorHAnsi" w:cstheme="minorHAnsi"/>
          <w:b/>
          <w:sz w:val="24"/>
        </w:rPr>
        <w:t>Sourcing</w:t>
      </w:r>
    </w:p>
    <w:p w:rsidR="00273DF6" w:rsidRPr="00551479" w:rsidRDefault="00273DF6" w:rsidP="00273DF6">
      <w:pPr>
        <w:spacing w:line="240" w:lineRule="auto"/>
        <w:rPr>
          <w:rFonts w:asciiTheme="minorHAnsi" w:hAnsiTheme="minorHAnsi" w:cstheme="minorHAnsi"/>
          <w:b/>
          <w:sz w:val="24"/>
        </w:rPr>
      </w:pPr>
    </w:p>
    <w:p w:rsidR="00E62933" w:rsidRDefault="00014D83" w:rsidP="00273DF6">
      <w:pPr>
        <w:spacing w:line="240" w:lineRule="auto"/>
        <w:jc w:val="both"/>
        <w:rPr>
          <w:rFonts w:asciiTheme="minorHAnsi" w:hAnsiTheme="minorHAnsi" w:cstheme="minorHAnsi"/>
        </w:rPr>
        <w:sectPr w:rsidR="00E62933" w:rsidSect="00E62933">
          <w:headerReference w:type="even" r:id="rId12"/>
          <w:headerReference w:type="default" r:id="rId13"/>
          <w:footerReference w:type="even" r:id="rId14"/>
          <w:footerReference w:type="default" r:id="rId15"/>
          <w:headerReference w:type="first" r:id="rId16"/>
          <w:footerReference w:type="first" r:id="rId17"/>
          <w:pgSz w:w="11906" w:h="16838" w:code="9"/>
          <w:pgMar w:top="454" w:right="794" w:bottom="454" w:left="794" w:header="709" w:footer="454" w:gutter="0"/>
          <w:cols w:space="708"/>
          <w:docGrid w:linePitch="360"/>
        </w:sectPr>
      </w:pPr>
      <w:r w:rsidRPr="00551479">
        <w:rPr>
          <w:rFonts w:asciiTheme="minorHAnsi" w:hAnsiTheme="minorHAnsi" w:cstheme="minorHAnsi"/>
          <w:noProof/>
        </w:rPr>
        <w:drawing>
          <wp:anchor distT="0" distB="0" distL="114300" distR="114300" simplePos="0" relativeHeight="251661312" behindDoc="0" locked="0" layoutInCell="1" allowOverlap="1" wp14:anchorId="37352DD2" wp14:editId="0E2BA3DD">
            <wp:simplePos x="0" y="0"/>
            <wp:positionH relativeFrom="column">
              <wp:posOffset>0</wp:posOffset>
            </wp:positionH>
            <wp:positionV relativeFrom="paragraph">
              <wp:posOffset>83185</wp:posOffset>
            </wp:positionV>
            <wp:extent cx="2025650" cy="1473835"/>
            <wp:effectExtent l="0" t="0" r="0" b="0"/>
            <wp:wrapSquare wrapText="bothSides"/>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2025650" cy="1473835"/>
                    </a:xfrm>
                    <a:prstGeom prst="rect">
                      <a:avLst/>
                    </a:prstGeom>
                  </pic:spPr>
                </pic:pic>
              </a:graphicData>
            </a:graphic>
            <wp14:sizeRelH relativeFrom="page">
              <wp14:pctWidth>0</wp14:pctWidth>
            </wp14:sizeRelH>
            <wp14:sizeRelV relativeFrom="page">
              <wp14:pctHeight>0</wp14:pctHeight>
            </wp14:sizeRelV>
          </wp:anchor>
        </w:drawing>
      </w:r>
      <w:r w:rsidRPr="00551479">
        <w:rPr>
          <w:rFonts w:asciiTheme="minorHAnsi" w:hAnsiTheme="minorHAnsi" w:cstheme="minorHAnsi"/>
        </w:rPr>
        <w:t xml:space="preserve">Um gerade einen Teil der Nachteile des </w:t>
      </w:r>
      <w:r w:rsidRPr="00F92A3E">
        <w:rPr>
          <w:rFonts w:asciiTheme="minorHAnsi" w:hAnsiTheme="minorHAnsi" w:cstheme="minorHAnsi"/>
        </w:rPr>
        <w:t>Single</w:t>
      </w:r>
      <w:r w:rsidRPr="00551479">
        <w:rPr>
          <w:rFonts w:asciiTheme="minorHAnsi" w:hAnsiTheme="minorHAnsi" w:cstheme="minorHAnsi"/>
        </w:rPr>
        <w:t xml:space="preserve"> Sourcing</w:t>
      </w:r>
      <w:bookmarkStart w:id="0" w:name="_GoBack"/>
      <w:bookmarkEnd w:id="0"/>
      <w:r w:rsidRPr="00551479">
        <w:rPr>
          <w:rFonts w:asciiTheme="minorHAnsi" w:hAnsiTheme="minorHAnsi" w:cstheme="minorHAnsi"/>
        </w:rPr>
        <w:t xml:space="preserve"> zu umgehen, entscheiden sich Unternehmen teilweise dafür</w:t>
      </w:r>
      <w:r w:rsidR="00CD7EC6">
        <w:rPr>
          <w:rFonts w:asciiTheme="minorHAnsi" w:hAnsiTheme="minorHAnsi" w:cstheme="minorHAnsi"/>
        </w:rPr>
        <w:t>,</w:t>
      </w:r>
      <w:r w:rsidRPr="00551479">
        <w:rPr>
          <w:rFonts w:asciiTheme="minorHAnsi" w:hAnsiTheme="minorHAnsi" w:cstheme="minorHAnsi"/>
        </w:rPr>
        <w:t xml:space="preserve"> ei</w:t>
      </w:r>
      <w:r w:rsidR="00CD7EC6">
        <w:rPr>
          <w:rFonts w:asciiTheme="minorHAnsi" w:hAnsiTheme="minorHAnsi" w:cstheme="minorHAnsi"/>
        </w:rPr>
        <w:t>nen weiteren Lieferanten für bestimmte Güter</w:t>
      </w:r>
      <w:r w:rsidRPr="00551479">
        <w:rPr>
          <w:rFonts w:asciiTheme="minorHAnsi" w:hAnsiTheme="minorHAnsi" w:cstheme="minorHAnsi"/>
        </w:rPr>
        <w:t xml:space="preserve"> aufzunehmen. Eine Beschaffung bei zwei Hauptlieferanten wird als Double Sourcing bezeichnet. Diese Entscheidung bringt einige weitere </w:t>
      </w:r>
      <w:r w:rsidRPr="00551479">
        <w:rPr>
          <w:rFonts w:asciiTheme="minorHAnsi" w:hAnsiTheme="minorHAnsi" w:cstheme="minorHAnsi"/>
          <w:b/>
        </w:rPr>
        <w:t>Vorteile</w:t>
      </w:r>
      <w:r w:rsidRPr="00551479">
        <w:rPr>
          <w:rFonts w:asciiTheme="minorHAnsi" w:hAnsiTheme="minorHAnsi" w:cstheme="minorHAnsi"/>
        </w:rPr>
        <w:t xml:space="preserve"> </w:t>
      </w:r>
      <w:r>
        <w:rPr>
          <w:rFonts w:asciiTheme="minorHAnsi" w:hAnsiTheme="minorHAnsi" w:cstheme="minorHAnsi"/>
        </w:rPr>
        <w:t xml:space="preserve">gegenüber dem </w:t>
      </w:r>
      <w:r w:rsidRPr="00F92A3E">
        <w:rPr>
          <w:rFonts w:asciiTheme="minorHAnsi" w:hAnsiTheme="minorHAnsi" w:cstheme="minorHAnsi"/>
        </w:rPr>
        <w:t>Single</w:t>
      </w:r>
      <w:r>
        <w:rPr>
          <w:rFonts w:asciiTheme="minorHAnsi" w:hAnsiTheme="minorHAnsi" w:cstheme="minorHAnsi"/>
        </w:rPr>
        <w:t xml:space="preserve"> Sourcing </w:t>
      </w:r>
      <w:r w:rsidRPr="00551479">
        <w:rPr>
          <w:rFonts w:asciiTheme="minorHAnsi" w:hAnsiTheme="minorHAnsi" w:cstheme="minorHAnsi"/>
        </w:rPr>
        <w:t xml:space="preserve">für das Unternehmen mit sich. Dadurch kann bei Lieferengpässen auf einen anderen Lieferanten ausgewichen werden. Mit beiden kann eine enge Geschäftsbeziehung entstehen und das Unternehmen kann zusätzliche Aufträge annehmen, ohne einen Lieferanten zu überlasten. Weiterhin besteht die Möglichkeit von Mengenrabatten und einer eventuellen Vorzugsbehandlung durch eine enge Bindung zu den Lieferanten. Auch bei zwei Lieferanten hält sich der Bestellaufwand sehr gering, entfallen doch beispielsweise Angebotsvergleiche und eine aufwendige Lieferantensuche. </w:t>
      </w:r>
      <w:r w:rsidRPr="00551479">
        <w:rPr>
          <w:rFonts w:asciiTheme="minorHAnsi" w:hAnsiTheme="minorHAnsi" w:cstheme="minorHAnsi"/>
          <w:b/>
        </w:rPr>
        <w:t>Nachteilig</w:t>
      </w:r>
      <w:r w:rsidRPr="00551479">
        <w:rPr>
          <w:rFonts w:asciiTheme="minorHAnsi" w:hAnsiTheme="minorHAnsi" w:cstheme="minorHAnsi"/>
        </w:rPr>
        <w:t xml:space="preserve"> kann es für das Unternehmen werden, wenn beide Lieferanten ihre Preise erhöhen oder aktuelle Trends bei den nachgefragten Gütern verschlafen werden. Auch besteht bei lediglich zwei Lieferanten nach wie vor die Gefahr der Abhängigkeit mit ihren damit verbundenen unternehmerischen Risiken.</w:t>
      </w:r>
    </w:p>
    <w:p w:rsidR="00014D83" w:rsidRDefault="00014D83" w:rsidP="00273DF6">
      <w:pPr>
        <w:spacing w:line="240" w:lineRule="auto"/>
        <w:rPr>
          <w:rFonts w:asciiTheme="minorHAnsi" w:hAnsiTheme="minorHAnsi" w:cstheme="minorHAnsi"/>
          <w:b/>
          <w:sz w:val="24"/>
        </w:rPr>
      </w:pPr>
      <w:r w:rsidRPr="00551479">
        <w:rPr>
          <w:rFonts w:asciiTheme="minorHAnsi" w:hAnsiTheme="minorHAnsi" w:cstheme="minorHAnsi"/>
          <w:b/>
          <w:sz w:val="24"/>
        </w:rPr>
        <w:lastRenderedPageBreak/>
        <w:t>Multiple Sourcing</w:t>
      </w:r>
    </w:p>
    <w:p w:rsidR="00273DF6" w:rsidRPr="00551479" w:rsidRDefault="00273DF6" w:rsidP="00273DF6">
      <w:pPr>
        <w:spacing w:line="240" w:lineRule="auto"/>
        <w:rPr>
          <w:rFonts w:asciiTheme="minorHAnsi" w:hAnsiTheme="minorHAnsi" w:cstheme="minorHAnsi"/>
          <w:b/>
          <w:sz w:val="24"/>
        </w:rPr>
      </w:pPr>
    </w:p>
    <w:p w:rsidR="00F71228" w:rsidRDefault="00E20A65" w:rsidP="00273DF6">
      <w:pPr>
        <w:spacing w:line="240" w:lineRule="auto"/>
        <w:ind w:right="-426"/>
        <w:jc w:val="both"/>
      </w:pPr>
      <w:r>
        <w:rPr>
          <w:i/>
          <w:iCs/>
          <w:noProof/>
          <w:sz w:val="16"/>
          <w:szCs w:val="21"/>
        </w:rPr>
        <mc:AlternateContent>
          <mc:Choice Requires="wps">
            <w:drawing>
              <wp:anchor distT="0" distB="0" distL="114300" distR="114300" simplePos="0" relativeHeight="251668480" behindDoc="0" locked="0" layoutInCell="1" allowOverlap="1" wp14:anchorId="038DA706" wp14:editId="6C4D343E">
                <wp:simplePos x="0" y="0"/>
                <wp:positionH relativeFrom="column">
                  <wp:posOffset>2860675</wp:posOffset>
                </wp:positionH>
                <wp:positionV relativeFrom="paragraph">
                  <wp:posOffset>8519160</wp:posOffset>
                </wp:positionV>
                <wp:extent cx="2924269" cy="235390"/>
                <wp:effectExtent l="0" t="0" r="28575" b="12700"/>
                <wp:wrapNone/>
                <wp:docPr id="3" name="Textfeld 3"/>
                <wp:cNvGraphicFramePr/>
                <a:graphic xmlns:a="http://schemas.openxmlformats.org/drawingml/2006/main">
                  <a:graphicData uri="http://schemas.microsoft.com/office/word/2010/wordprocessingShape">
                    <wps:wsp>
                      <wps:cNvSpPr txBox="1"/>
                      <wps:spPr>
                        <a:xfrm>
                          <a:off x="0" y="0"/>
                          <a:ext cx="2924269" cy="235390"/>
                        </a:xfrm>
                        <a:prstGeom prst="rect">
                          <a:avLst/>
                        </a:prstGeom>
                        <a:solidFill>
                          <a:schemeClr val="lt1"/>
                        </a:solidFill>
                        <a:ln w="6350">
                          <a:solidFill>
                            <a:schemeClr val="bg1"/>
                          </a:solidFill>
                        </a:ln>
                      </wps:spPr>
                      <wps:txbx>
                        <w:txbxContent>
                          <w:p w:rsidR="00E20A65" w:rsidRDefault="00E20A65" w:rsidP="00E20A65">
                            <w:r>
                              <w:rPr>
                                <w:i/>
                                <w:iCs/>
                                <w:sz w:val="16"/>
                                <w:szCs w:val="21"/>
                              </w:rPr>
                              <w:t xml:space="preserve">Bilder: </w:t>
                            </w:r>
                            <w:r w:rsidRPr="00767F11">
                              <w:rPr>
                                <w:i/>
                                <w:iCs/>
                                <w:sz w:val="16"/>
                                <w:szCs w:val="21"/>
                              </w:rPr>
                              <w:t xml:space="preserve">Nutzung mit Genehmigung von Microsoft, Microsoft </w:t>
                            </w:r>
                            <w:r w:rsidRPr="00F92A3E">
                              <w:rPr>
                                <w:i/>
                                <w:iCs/>
                                <w:sz w:val="16"/>
                                <w:szCs w:val="21"/>
                              </w:rPr>
                              <w:t>Visio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8DA706" id="_x0000_t202" coordsize="21600,21600" o:spt="202" path="m,l,21600r21600,l21600,xe">
                <v:stroke joinstyle="miter"/>
                <v:path gradientshapeok="t" o:connecttype="rect"/>
              </v:shapetype>
              <v:shape id="Textfeld 3" o:spid="_x0000_s1027" type="#_x0000_t202" style="position:absolute;left:0;text-align:left;margin-left:225.25pt;margin-top:670.8pt;width:230.25pt;height:18.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" fillcolor="white [3201]" strokecolor="white [3212]" strokeweight=".5pt">
                <v:textbox>
                  <w:txbxContent>
                    <w:p w:rsidR="00E20A65" w:rsidRDefault="00E20A65" w:rsidP="00E20A65">
                      <w:r>
                        <w:rPr>
                          <w:i/>
                          <w:iCs/>
                          <w:sz w:val="16"/>
                          <w:szCs w:val="21"/>
                        </w:rPr>
                        <w:t xml:space="preserve">Bilder: </w:t>
                      </w:r>
                      <w:r w:rsidRPr="00767F11">
                        <w:rPr>
                          <w:i/>
                          <w:iCs/>
                          <w:sz w:val="16"/>
                          <w:szCs w:val="21"/>
                        </w:rPr>
                        <w:t xml:space="preserve">Nutzung mit Genehmigung von Microsoft, Microsoft </w:t>
                      </w:r>
                      <w:r w:rsidRPr="00F92A3E">
                        <w:rPr>
                          <w:i/>
                          <w:iCs/>
                          <w:sz w:val="16"/>
                          <w:szCs w:val="21"/>
                        </w:rPr>
                        <w:t>Visio</w:t>
                      </w:r>
                    </w:p>
                  </w:txbxContent>
                </v:textbox>
              </v:shape>
            </w:pict>
          </mc:Fallback>
        </mc:AlternateContent>
      </w:r>
      <w:r w:rsidR="00E62933">
        <w:rPr>
          <w:noProof/>
        </w:rPr>
        <w:drawing>
          <wp:anchor distT="0" distB="0" distL="114300" distR="114300" simplePos="0" relativeHeight="251664384" behindDoc="0" locked="0" layoutInCell="1" allowOverlap="1">
            <wp:simplePos x="0" y="0"/>
            <wp:positionH relativeFrom="column">
              <wp:posOffset>3399790</wp:posOffset>
            </wp:positionH>
            <wp:positionV relativeFrom="paragraph">
              <wp:posOffset>37465</wp:posOffset>
            </wp:positionV>
            <wp:extent cx="2525395" cy="1886585"/>
            <wp:effectExtent l="0" t="0" r="825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525395" cy="1886585"/>
                    </a:xfrm>
                    <a:prstGeom prst="rect">
                      <a:avLst/>
                    </a:prstGeom>
                  </pic:spPr>
                </pic:pic>
              </a:graphicData>
            </a:graphic>
            <wp14:sizeRelH relativeFrom="page">
              <wp14:pctWidth>0</wp14:pctWidth>
            </wp14:sizeRelH>
            <wp14:sizeRelV relativeFrom="page">
              <wp14:pctHeight>0</wp14:pctHeight>
            </wp14:sizeRelV>
          </wp:anchor>
        </w:drawing>
      </w:r>
      <w:r w:rsidR="00014D83" w:rsidRPr="00551479">
        <w:rPr>
          <w:rFonts w:asciiTheme="minorHAnsi" w:hAnsiTheme="minorHAnsi" w:cstheme="minorHAnsi"/>
        </w:rPr>
        <w:t xml:space="preserve">Um die Abhängigkeiten von ein oder zwei Lieferanten weiter zu reduzieren, können Unternehmen auf das sogenannte </w:t>
      </w:r>
      <w:r w:rsidR="00014D83" w:rsidRPr="00551479">
        <w:rPr>
          <w:rFonts w:asciiTheme="minorHAnsi" w:hAnsiTheme="minorHAnsi" w:cstheme="minorHAnsi"/>
          <w:b/>
        </w:rPr>
        <w:t>Multiple Sourcing</w:t>
      </w:r>
      <w:r w:rsidR="00014D83" w:rsidRPr="00551479">
        <w:rPr>
          <w:rFonts w:asciiTheme="minorHAnsi" w:hAnsiTheme="minorHAnsi" w:cstheme="minorHAnsi"/>
        </w:rPr>
        <w:t xml:space="preserve"> setzen. Darunter ist die Beschaffung </w:t>
      </w:r>
      <w:r w:rsidR="00CD7EC6">
        <w:rPr>
          <w:rFonts w:asciiTheme="minorHAnsi" w:hAnsiTheme="minorHAnsi" w:cstheme="minorHAnsi"/>
        </w:rPr>
        <w:t>bestimmter Güter</w:t>
      </w:r>
      <w:r w:rsidR="00014D83" w:rsidRPr="00551479">
        <w:rPr>
          <w:rFonts w:asciiTheme="minorHAnsi" w:hAnsiTheme="minorHAnsi" w:cstheme="minorHAnsi"/>
        </w:rPr>
        <w:t xml:space="preserve"> bei mehreren Lieferanten zu verstehen. Neben der Unabhängigkeit hat das Unternehmen mit dieser Strategie einige weitere </w:t>
      </w:r>
      <w:r w:rsidR="00014D83" w:rsidRPr="00FB11D6">
        <w:rPr>
          <w:rFonts w:asciiTheme="minorHAnsi" w:hAnsiTheme="minorHAnsi" w:cstheme="minorHAnsi"/>
          <w:b/>
        </w:rPr>
        <w:t>Vorteile</w:t>
      </w:r>
      <w:r w:rsidR="00014D83" w:rsidRPr="00FB11D6">
        <w:rPr>
          <w:rFonts w:asciiTheme="minorHAnsi" w:hAnsiTheme="minorHAnsi" w:cstheme="minorHAnsi"/>
        </w:rPr>
        <w:t xml:space="preserve"> auf seiner Seite. </w:t>
      </w:r>
      <w:r w:rsidR="0002659D" w:rsidRPr="00FB11D6">
        <w:rPr>
          <w:rFonts w:asciiTheme="minorHAnsi" w:hAnsiTheme="minorHAnsi" w:cstheme="minorHAnsi"/>
        </w:rPr>
        <w:t>Eine größere Liefersicherheit kann durch die Streuung der Bestellung</w:t>
      </w:r>
      <w:r w:rsidR="00FB11D6" w:rsidRPr="00FB11D6">
        <w:rPr>
          <w:rFonts w:asciiTheme="minorHAnsi" w:hAnsiTheme="minorHAnsi" w:cstheme="minorHAnsi"/>
        </w:rPr>
        <w:t>en</w:t>
      </w:r>
      <w:r w:rsidR="0002659D" w:rsidRPr="00FB11D6">
        <w:rPr>
          <w:rFonts w:asciiTheme="minorHAnsi" w:hAnsiTheme="minorHAnsi" w:cstheme="minorHAnsi"/>
        </w:rPr>
        <w:t xml:space="preserve"> erzielt werden </w:t>
      </w:r>
      <w:r w:rsidR="00014D83" w:rsidRPr="00FB11D6">
        <w:rPr>
          <w:rFonts w:asciiTheme="minorHAnsi" w:hAnsiTheme="minorHAnsi" w:cstheme="minorHAnsi"/>
        </w:rPr>
        <w:t>– bei einem Lieferengpass kann</w:t>
      </w:r>
      <w:r w:rsidR="00FB11D6" w:rsidRPr="00FB11D6">
        <w:rPr>
          <w:rFonts w:asciiTheme="minorHAnsi" w:hAnsiTheme="minorHAnsi" w:cstheme="minorHAnsi"/>
        </w:rPr>
        <w:t xml:space="preserve"> so</w:t>
      </w:r>
      <w:r w:rsidR="00014D83" w:rsidRPr="00FB11D6">
        <w:rPr>
          <w:rFonts w:asciiTheme="minorHAnsi" w:hAnsiTheme="minorHAnsi" w:cstheme="minorHAnsi"/>
        </w:rPr>
        <w:t xml:space="preserve"> auf einen anderen Lieferanten zurückgegriffen werden. Des Weiteren ist das Unternehmen nun preisflexibler: Der Wettbewerb zwischen den Lieferanten steigt und die Bestellung kann nun bei den kostengünstigsten Lieferanten aufgegeben werden. Als Folge können die Einkaufskosten weiter gesenkt werden. Jedoch erfordert die Verwaltung mehrerer Lieferanten</w:t>
      </w:r>
      <w:r w:rsidR="00FD7623" w:rsidRPr="00FB11D6">
        <w:rPr>
          <w:rFonts w:asciiTheme="minorHAnsi" w:hAnsiTheme="minorHAnsi" w:cstheme="minorHAnsi"/>
        </w:rPr>
        <w:t xml:space="preserve"> einen deutlich höheren Aufwand. Dabei ist der</w:t>
      </w:r>
      <w:r w:rsidR="0002659D" w:rsidRPr="00FB11D6">
        <w:rPr>
          <w:rFonts w:asciiTheme="minorHAnsi" w:hAnsiTheme="minorHAnsi" w:cstheme="minorHAnsi"/>
        </w:rPr>
        <w:t xml:space="preserve"> regelmäßige Preisabgleich </w:t>
      </w:r>
      <w:r w:rsidR="00FD7623" w:rsidRPr="00FB11D6">
        <w:rPr>
          <w:rFonts w:asciiTheme="minorHAnsi" w:hAnsiTheme="minorHAnsi" w:cstheme="minorHAnsi"/>
        </w:rPr>
        <w:t xml:space="preserve">der Lieferanten nur eine weitere Tätigkeit des Einkaufs. </w:t>
      </w:r>
      <w:r w:rsidR="00014D83" w:rsidRPr="00FB11D6">
        <w:rPr>
          <w:rFonts w:asciiTheme="minorHAnsi" w:hAnsiTheme="minorHAnsi" w:cstheme="minorHAnsi"/>
        </w:rPr>
        <w:t>Auch für die Verhandlungsmacht gegenüber Lieferanten wäre die Ausgangslage suboptimal. Auf beispielsweise Mengenrabatte müsste verzichtet werden, da bei mehreren Lieferanten die Abnahmemengen meist kleiner und unregelmäßiger ausfallen würden. Dies könnte</w:t>
      </w:r>
      <w:r w:rsidR="00014D83" w:rsidRPr="00551479">
        <w:rPr>
          <w:rFonts w:asciiTheme="minorHAnsi" w:hAnsiTheme="minorHAnsi" w:cstheme="minorHAnsi"/>
        </w:rPr>
        <w:t xml:space="preserve"> sich ebenso </w:t>
      </w:r>
      <w:r w:rsidR="00014D83" w:rsidRPr="00551479">
        <w:rPr>
          <w:rFonts w:asciiTheme="minorHAnsi" w:hAnsiTheme="minorHAnsi" w:cstheme="minorHAnsi"/>
          <w:b/>
        </w:rPr>
        <w:t>nachteilig</w:t>
      </w:r>
      <w:r w:rsidR="00E62933">
        <w:rPr>
          <w:rFonts w:asciiTheme="minorHAnsi" w:hAnsiTheme="minorHAnsi" w:cstheme="minorHAnsi"/>
        </w:rPr>
        <w:t xml:space="preserve"> auf die Kosten auswirken.</w:t>
      </w:r>
      <w:r w:rsidRPr="00E20A65">
        <w:rPr>
          <w:i/>
          <w:iCs/>
          <w:noProof/>
          <w:sz w:val="16"/>
          <w:szCs w:val="21"/>
        </w:rPr>
        <w:t xml:space="preserve"> </w:t>
      </w:r>
    </w:p>
    <w:sectPr w:rsidR="00F71228" w:rsidSect="00E62933">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4DD3" w:rsidRDefault="004E4DD3" w:rsidP="00E62933">
      <w:pPr>
        <w:spacing w:line="240" w:lineRule="auto"/>
      </w:pPr>
      <w:r>
        <w:separator/>
      </w:r>
    </w:p>
  </w:endnote>
  <w:endnote w:type="continuationSeparator" w:id="0">
    <w:p w:rsidR="004E4DD3" w:rsidRDefault="004E4DD3" w:rsidP="00E629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A3E" w:rsidRDefault="00F92A3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933" w:rsidRPr="003D7FDB" w:rsidRDefault="00E62933" w:rsidP="00E62933">
    <w:pPr>
      <w:pStyle w:val="Fuzeile"/>
      <w:pBdr>
        <w:top w:val="single" w:sz="4" w:space="1" w:color="auto"/>
      </w:pBdr>
      <w:tabs>
        <w:tab w:val="left" w:pos="2763"/>
      </w:tabs>
      <w:jc w:val="center"/>
      <w:rPr>
        <w:sz w:val="18"/>
      </w:rPr>
    </w:pPr>
    <w:r>
      <w:rPr>
        <w:sz w:val="18"/>
      </w:rPr>
      <w:t>April 2020</w:t>
    </w:r>
    <w:r>
      <w:rPr>
        <w:sz w:val="18"/>
      </w:rPr>
      <w:tab/>
    </w:r>
    <w:r>
      <w:rPr>
        <w:sz w:val="18"/>
      </w:rPr>
      <w:tab/>
    </w:r>
    <w:sdt>
      <w:sdtPr>
        <w:rPr>
          <w:sz w:val="18"/>
        </w:rPr>
        <w:id w:val="-58794797"/>
        <w:docPartObj>
          <w:docPartGallery w:val="Page Numbers (Bottom of Page)"/>
          <w:docPartUnique/>
        </w:docPartObj>
      </w:sdtPr>
      <w:sdtEndPr/>
      <w:sdtContent>
        <w:r>
          <w:rPr>
            <w:sz w:val="18"/>
          </w:rPr>
          <w:fldChar w:fldCharType="begin"/>
        </w:r>
        <w:r>
          <w:rPr>
            <w:sz w:val="18"/>
          </w:rPr>
          <w:instrText>PAGE   \* MERGEFORMAT</w:instrText>
        </w:r>
        <w:r>
          <w:rPr>
            <w:sz w:val="18"/>
          </w:rPr>
          <w:fldChar w:fldCharType="separate"/>
        </w:r>
        <w:r w:rsidR="003F2F18">
          <w:rPr>
            <w:noProof/>
            <w:sz w:val="18"/>
          </w:rPr>
          <w:t>1</w:t>
        </w:r>
        <w:r>
          <w:rPr>
            <w:sz w:val="18"/>
          </w:rPr>
          <w:fldChar w:fldCharType="end"/>
        </w:r>
        <w:r>
          <w:rPr>
            <w:sz w:val="18"/>
          </w:rPr>
          <w:tab/>
          <w:t>2_7_b_QRC_Infotext_Lieferantenanzahl</w:t>
        </w:r>
      </w:sdtContent>
    </w:sdt>
  </w:p>
  <w:p w:rsidR="00E62933" w:rsidRDefault="00E6293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A3E" w:rsidRDefault="00F92A3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4DD3" w:rsidRDefault="004E4DD3" w:rsidP="00E62933">
      <w:pPr>
        <w:spacing w:line="240" w:lineRule="auto"/>
      </w:pPr>
      <w:r>
        <w:separator/>
      </w:r>
    </w:p>
  </w:footnote>
  <w:footnote w:type="continuationSeparator" w:id="0">
    <w:p w:rsidR="004E4DD3" w:rsidRDefault="004E4DD3" w:rsidP="00E6293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A3E" w:rsidRDefault="00F92A3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933" w:rsidRDefault="00E62933" w:rsidP="00E62933">
    <w:pPr>
      <w:pBdr>
        <w:bottom w:val="single" w:sz="6" w:space="4" w:color="000000" w:themeColor="text1"/>
      </w:pBdr>
      <w:tabs>
        <w:tab w:val="center" w:pos="4536"/>
        <w:tab w:val="right" w:pos="10490"/>
      </w:tabs>
      <w:overflowPunct w:val="0"/>
      <w:autoSpaceDE w:val="0"/>
      <w:autoSpaceDN w:val="0"/>
      <w:adjustRightInd w:val="0"/>
      <w:spacing w:after="240"/>
      <w:textAlignment w:val="baseline"/>
    </w:pPr>
    <w:r w:rsidRPr="00F92A3E">
      <w:rPr>
        <w:rFonts w:cstheme="minorHAnsi"/>
        <w:color w:val="000000" w:themeColor="text1"/>
        <w:sz w:val="24"/>
      </w:rPr>
      <w:t>WGW</w:t>
    </w:r>
    <w:r>
      <w:rPr>
        <w:rFonts w:cstheme="minorHAnsi"/>
        <w:color w:val="000000" w:themeColor="text1"/>
        <w:sz w:val="24"/>
      </w:rPr>
      <w:t>: Beschaffungsziele &amp; Sourcing-Strategien (BPE 6)</w:t>
    </w:r>
    <w:r>
      <w:rPr>
        <w:rFonts w:cstheme="minorHAnsi"/>
        <w:color w:val="000000" w:themeColor="text1"/>
        <w:sz w:val="24"/>
      </w:rPr>
      <w:tab/>
    </w:r>
    <w:r w:rsidRPr="00F92A3E">
      <w:rPr>
        <w:rFonts w:cstheme="minorHAnsi"/>
        <w:color w:val="000000" w:themeColor="text1"/>
        <w:sz w:val="24"/>
      </w:rPr>
      <w:t>VBWL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A3E" w:rsidRDefault="00F92A3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D83"/>
    <w:rsid w:val="000142B9"/>
    <w:rsid w:val="00014D83"/>
    <w:rsid w:val="0002659D"/>
    <w:rsid w:val="001C2A71"/>
    <w:rsid w:val="00205961"/>
    <w:rsid w:val="00273DF6"/>
    <w:rsid w:val="003F2F18"/>
    <w:rsid w:val="004E4DD3"/>
    <w:rsid w:val="007C5415"/>
    <w:rsid w:val="00A92121"/>
    <w:rsid w:val="00C025A7"/>
    <w:rsid w:val="00CD7EC6"/>
    <w:rsid w:val="00DE09CF"/>
    <w:rsid w:val="00E20A65"/>
    <w:rsid w:val="00E35A33"/>
    <w:rsid w:val="00E62933"/>
    <w:rsid w:val="00EE7883"/>
    <w:rsid w:val="00EF4C98"/>
    <w:rsid w:val="00F71228"/>
    <w:rsid w:val="00F92A3E"/>
    <w:rsid w:val="00FB11D6"/>
    <w:rsid w:val="00FD76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9FFA66-AACE-49A0-B52F-F3D89DA1B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14D83"/>
    <w:pPr>
      <w:spacing w:line="276" w:lineRule="auto"/>
    </w:pPr>
    <w:rPr>
      <w:rFonts w:ascii="Candara" w:eastAsia="Times New Roman" w:hAnsi="Candara"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293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E62933"/>
    <w:rPr>
      <w:rFonts w:ascii="Candara" w:eastAsia="Times New Roman" w:hAnsi="Candara" w:cs="Times New Roman"/>
      <w:szCs w:val="24"/>
      <w:lang w:eastAsia="de-DE"/>
    </w:rPr>
  </w:style>
  <w:style w:type="paragraph" w:styleId="Fuzeile">
    <w:name w:val="footer"/>
    <w:basedOn w:val="Standard"/>
    <w:link w:val="FuzeileZchn"/>
    <w:uiPriority w:val="99"/>
    <w:unhideWhenUsed/>
    <w:rsid w:val="00E62933"/>
    <w:pPr>
      <w:tabs>
        <w:tab w:val="center" w:pos="4536"/>
        <w:tab w:val="right" w:pos="9072"/>
      </w:tabs>
      <w:spacing w:line="240" w:lineRule="auto"/>
    </w:pPr>
  </w:style>
  <w:style w:type="character" w:customStyle="1" w:styleId="FuzeileZchn">
    <w:name w:val="Fußzeile Zchn"/>
    <w:basedOn w:val="Absatz-Standardschriftart"/>
    <w:link w:val="Fuzeile"/>
    <w:uiPriority w:val="99"/>
    <w:rsid w:val="00E62933"/>
    <w:rPr>
      <w:rFonts w:ascii="Candara" w:eastAsia="Times New Roman" w:hAnsi="Candara"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5.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B2830A739FA194184E26CBE2DEC022C" ma:contentTypeVersion="" ma:contentTypeDescription="Ein neues Dokument erstellen." ma:contentTypeScope="" ma:versionID="3d4a65edfb735a3e88cd33807e53f7e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F42399-8FE7-44B8-A4C3-5F03F645C4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BA5D83-645B-40DC-A862-49A3A1269B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00DE1B-D1C2-4E78-AB06-FD98E64AD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623</Words>
  <Characters>3932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Volz</dc:creator>
  <cp:keywords/>
  <dc:description/>
  <cp:lastModifiedBy>txtbro_ strauss</cp:lastModifiedBy>
  <cp:revision>10</cp:revision>
  <dcterms:created xsi:type="dcterms:W3CDTF">2020-03-30T20:44:00Z</dcterms:created>
  <dcterms:modified xsi:type="dcterms:W3CDTF">2021-04-27T17:14:00Z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0x0101003B2830A739FA194184E26CBE2DEC022C</vt:lpwstr>
  </property>
</Properties>
</file>