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2BC0C74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C0C74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BC0C79A" wp14:editId="2BC0C79B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C0C744" w14:textId="77777777" w:rsidR="00133774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2BC0C745" w14:textId="77777777" w:rsidR="00DC22D9" w:rsidRDefault="00133774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Schülerinnen und Schüler </w:t>
            </w:r>
            <w:r w:rsidR="00DC22D9">
              <w:rPr>
                <w:rFonts w:ascii="Arial" w:hAnsi="Arial" w:cs="Arial"/>
                <w:szCs w:val="20"/>
              </w:rPr>
              <w:t>lernen die einzigartige „Street Art“-Kultur in Melbourne kennen, schulen ihr Textverständnis und vertiefen im Anschluss die Bildbeschreibung anhand ausgewählter „Street Art“-Kunstwerke.</w:t>
            </w:r>
          </w:p>
          <w:p w14:paraId="2BC0C746" w14:textId="745A5E2B" w:rsidR="007B3D20" w:rsidRPr="00DF3E96" w:rsidRDefault="00DC22D9" w:rsidP="00DC22D9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Dann </w:t>
            </w:r>
            <w:r w:rsidR="00682D0F">
              <w:rPr>
                <w:rFonts w:ascii="Arial" w:hAnsi="Arial" w:cs="Arial"/>
                <w:szCs w:val="20"/>
              </w:rPr>
              <w:t xml:space="preserve">wenden </w:t>
            </w:r>
            <w:r>
              <w:rPr>
                <w:rFonts w:ascii="Arial" w:hAnsi="Arial" w:cs="Arial"/>
                <w:szCs w:val="20"/>
              </w:rPr>
              <w:t xml:space="preserve">sie </w:t>
            </w:r>
            <w:r w:rsidR="00682D0F">
              <w:rPr>
                <w:rFonts w:ascii="Arial" w:hAnsi="Arial" w:cs="Arial"/>
                <w:szCs w:val="20"/>
              </w:rPr>
              <w:t xml:space="preserve">ihr Vorwissen zu gefährlichen australischen Tieren an, indem sie zunächst in Partnerarbeit ein Quiz lösen. </w:t>
            </w:r>
            <w:r>
              <w:rPr>
                <w:rFonts w:ascii="Arial" w:hAnsi="Arial" w:cs="Arial"/>
                <w:szCs w:val="20"/>
              </w:rPr>
              <w:t>Sie erarbeiten anschließend</w:t>
            </w:r>
            <w:r w:rsidR="00682D0F">
              <w:rPr>
                <w:rFonts w:ascii="Arial" w:hAnsi="Arial" w:cs="Arial"/>
                <w:szCs w:val="20"/>
              </w:rPr>
              <w:t xml:space="preserve"> den Zusammenhang zwischen dem Klimawandel und Schlange</w:t>
            </w:r>
            <w:r>
              <w:rPr>
                <w:rFonts w:ascii="Arial" w:hAnsi="Arial" w:cs="Arial"/>
                <w:szCs w:val="20"/>
              </w:rPr>
              <w:t>n in australischen Toiletten und erstellen</w:t>
            </w:r>
            <w:r w:rsidR="00682D0F">
              <w:rPr>
                <w:rFonts w:ascii="Arial" w:hAnsi="Arial" w:cs="Arial"/>
                <w:szCs w:val="20"/>
              </w:rPr>
              <w:t xml:space="preserve"> eigenständig in Gruppen Flyer zu australischen Tieren ihrer Wahl.</w:t>
            </w:r>
          </w:p>
        </w:tc>
      </w:tr>
      <w:tr w:rsidR="007B3D20" w:rsidRPr="00B608C2" w14:paraId="2BC0C74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0C74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BC0C74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BC0C75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C0C74B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BC0C79C" wp14:editId="2BC0C79D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C0C74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2BC0C74D" w14:textId="77777777" w:rsidR="007B3D20" w:rsidRDefault="00682D0F" w:rsidP="0013377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2BFS, 1. Schuljahr, Englisch</w:t>
            </w:r>
          </w:p>
          <w:p w14:paraId="2BC0C74E" w14:textId="77777777" w:rsidR="00682D0F" w:rsidRDefault="00682D0F" w:rsidP="00133774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2BC0C74F" w14:textId="77777777" w:rsidR="00682D0F" w:rsidRDefault="00682D0F" w:rsidP="0013377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Bildungsplan zweijährige Berufsfachschule</w:t>
            </w:r>
          </w:p>
          <w:p w14:paraId="2BC0C750" w14:textId="77777777" w:rsidR="00682D0F" w:rsidRDefault="00682D0F" w:rsidP="0013377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BPE 1.1: Facetten einer englischsprachigen Großstadt: Sehenswürdigkeiten, Lebensgefühl, Entfaltungsmöglichkeiten</w:t>
            </w:r>
          </w:p>
          <w:p w14:paraId="2BC0C751" w14:textId="77777777" w:rsidR="00682D0F" w:rsidRDefault="00682D0F" w:rsidP="0013377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BPE 2.1: Gemeinsamkeiten und Unterschiede zur eigenen Kultur am Beispiel des Umgangs mit landestypischen Tieren</w:t>
            </w:r>
          </w:p>
          <w:p w14:paraId="2BC0C752" w14:textId="77777777" w:rsidR="00682D0F" w:rsidRDefault="00682D0F" w:rsidP="0013377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BPE 3.2: Lesever</w:t>
            </w:r>
            <w:r w:rsidR="00DA6885">
              <w:rPr>
                <w:rFonts w:ascii="Arial" w:hAnsi="Arial" w:cs="Arial"/>
                <w:szCs w:val="20"/>
              </w:rPr>
              <w:t>stehen</w:t>
            </w:r>
          </w:p>
          <w:p w14:paraId="2BC0C753" w14:textId="77777777" w:rsidR="00DC22D9" w:rsidRDefault="00DC22D9" w:rsidP="0013377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BPE 3.4: Sprechen – zusammenhängendes monologisches Sprechen</w:t>
            </w:r>
          </w:p>
          <w:p w14:paraId="2BC0C754" w14:textId="77777777" w:rsidR="00682D0F" w:rsidRPr="00133774" w:rsidRDefault="00682D0F" w:rsidP="0013377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BPE 4.1: Nutzung digitaler Medien zur Informationsverarbeitung</w:t>
            </w:r>
          </w:p>
        </w:tc>
      </w:tr>
      <w:tr w:rsidR="007B3D20" w:rsidRPr="00B608C2" w14:paraId="2BC0C75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0C75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BC0C757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BC0C75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C0C75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BC0C79E" wp14:editId="2BC0C79F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C0C75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14:paraId="2BC0C75B" w14:textId="77777777" w:rsidR="007B3D20" w:rsidRDefault="00DA688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Da die Unterrichtseinheit am Ende des ersten Schuljahres stattfindet, sollten die Schülerinnen und Schüler im Umgang mit unterschiedlichen Textsorten geschult sein und über Strategien zum Textverständnis verfügen.</w:t>
            </w:r>
          </w:p>
          <w:p w14:paraId="2BC0C75C" w14:textId="25CFFCE4" w:rsidR="00DA6885" w:rsidRPr="00DF3E96" w:rsidRDefault="00DA688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Auch sollten Grundkenntnisse zur </w:t>
            </w:r>
            <w:proofErr w:type="spellStart"/>
            <w:r>
              <w:rPr>
                <w:rFonts w:ascii="Arial" w:hAnsi="Arial" w:cs="Arial"/>
                <w:szCs w:val="20"/>
              </w:rPr>
              <w:t>Tabletnutzung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vorhanden sein, z.</w:t>
            </w:r>
            <w:r w:rsidR="002C7AC1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 xml:space="preserve">B. Ordnerstruktur. Es </w:t>
            </w:r>
            <w:r w:rsidR="00E9296B">
              <w:rPr>
                <w:rFonts w:ascii="Arial" w:hAnsi="Arial" w:cs="Arial"/>
                <w:szCs w:val="20"/>
              </w:rPr>
              <w:t>ist</w:t>
            </w:r>
            <w:r>
              <w:rPr>
                <w:rFonts w:ascii="Arial" w:hAnsi="Arial" w:cs="Arial"/>
                <w:szCs w:val="20"/>
              </w:rPr>
              <w:t xml:space="preserve"> hilfreich, wenn die Schülerinnen und Schüler im Laufe des Schuljahres bereits mit den verwendeten Apps </w:t>
            </w:r>
            <w:r w:rsidR="00E9296B">
              <w:rPr>
                <w:rFonts w:ascii="Arial" w:hAnsi="Arial" w:cs="Arial"/>
                <w:szCs w:val="20"/>
              </w:rPr>
              <w:t>vertraut gemacht werden.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7B3D20" w:rsidRPr="00B608C2" w14:paraId="2BC0C76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0C75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BC0C75F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BC0C76C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C0C76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BC0C7A0" wp14:editId="2BC0C7A1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2BC0C76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2BC0C763" w14:textId="77777777" w:rsidR="007B3D20" w:rsidRDefault="00DC22D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Einzel-, Partner- und Gruppenarbeit, insgesamt 2</w:t>
            </w:r>
            <w:r w:rsidR="00DA6885">
              <w:rPr>
                <w:rFonts w:ascii="Arial" w:hAnsi="Arial" w:cs="Arial"/>
                <w:szCs w:val="20"/>
              </w:rPr>
              <w:t xml:space="preserve"> DS</w:t>
            </w:r>
            <w:r>
              <w:rPr>
                <w:rFonts w:ascii="Arial" w:hAnsi="Arial" w:cs="Arial"/>
                <w:szCs w:val="20"/>
              </w:rPr>
              <w:t xml:space="preserve"> (oder 4 ES)</w:t>
            </w:r>
            <w:r w:rsidR="00DA6885">
              <w:rPr>
                <w:rFonts w:ascii="Arial" w:hAnsi="Arial" w:cs="Arial"/>
                <w:szCs w:val="20"/>
              </w:rPr>
              <w:t>:</w:t>
            </w:r>
          </w:p>
          <w:p w14:paraId="2BC0C764" w14:textId="77777777" w:rsidR="00DC22D9" w:rsidRDefault="00DC22D9" w:rsidP="00DC22D9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2BC0C765" w14:textId="77777777" w:rsidR="00DC22D9" w:rsidRDefault="00DC22D9" w:rsidP="00DC22D9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 DS:</w:t>
            </w:r>
          </w:p>
          <w:p w14:paraId="2BC0C766" w14:textId="77777777" w:rsidR="00DC22D9" w:rsidRDefault="00DC22D9" w:rsidP="00DC22D9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</w:t>
            </w:r>
            <w:proofErr w:type="spellStart"/>
            <w:r>
              <w:rPr>
                <w:rFonts w:ascii="Arial" w:hAnsi="Arial" w:cs="Arial"/>
                <w:szCs w:val="20"/>
              </w:rPr>
              <w:t>SuS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erarbeiten sich Wissen zur Street Art Szene Melbournes. Dieses Wissen wird durch die eigenständige Beschreibung eines Kunstwerkes aus dieser Szene vertieft, hierbei wird die Bildbeschreibung erneut trainiert.</w:t>
            </w:r>
          </w:p>
          <w:p w14:paraId="2BC0C767" w14:textId="1AF757A8" w:rsidR="00DC22D9" w:rsidRDefault="00DC22D9" w:rsidP="00DC22D9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Zur Vorbereitung könnte die Lehrkraft eine Vorlage für eine Bildbeschreibung mit Hilfe einer bereits eingeführten App, die zur Erstellung eines entsprechenden Audiofiles (z.</w:t>
            </w:r>
            <w:r w:rsidR="002C7AC1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B. Sprachmemos) vorbereiten und den Schülerinnen und Schülern als Beispiel bereitstellen.</w:t>
            </w:r>
          </w:p>
          <w:p w14:paraId="2BC0C768" w14:textId="77777777" w:rsidR="00DC22D9" w:rsidRDefault="00DC22D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2BC0C769" w14:textId="77777777" w:rsidR="00DA6885" w:rsidRDefault="00DC22D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2.</w:t>
            </w:r>
            <w:r w:rsidR="00DA6885">
              <w:rPr>
                <w:rFonts w:ascii="Arial" w:hAnsi="Arial" w:cs="Arial"/>
                <w:szCs w:val="20"/>
              </w:rPr>
              <w:t xml:space="preserve"> DS: </w:t>
            </w:r>
          </w:p>
          <w:p w14:paraId="2BC0C76A" w14:textId="77777777" w:rsidR="00DA6885" w:rsidRDefault="00DA688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</w:t>
            </w:r>
            <w:proofErr w:type="spellStart"/>
            <w:r>
              <w:rPr>
                <w:rFonts w:ascii="Arial" w:hAnsi="Arial" w:cs="Arial"/>
                <w:szCs w:val="20"/>
              </w:rPr>
              <w:t>SuS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lernen verschiedene landestypische Tiere kennen und erarbeiten den Zusammenhang zwischen Klimawandel und dem Auffinden von Schlangen in Toiletten australischer Haushalte. Das Wissen über die Tierwelt Australiens wird in einer Online-Recherche vertieft.</w:t>
            </w:r>
          </w:p>
          <w:p w14:paraId="2BC0C76B" w14:textId="5CA69850" w:rsidR="00DC22D9" w:rsidRPr="00DF3E96" w:rsidRDefault="00DA6885" w:rsidP="00445EFF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Zur Vorbereitung könnte die Lehrkraft</w:t>
            </w:r>
            <w:r w:rsidR="00445EFF">
              <w:rPr>
                <w:rFonts w:ascii="Arial" w:hAnsi="Arial" w:cs="Arial"/>
                <w:szCs w:val="20"/>
              </w:rPr>
              <w:t xml:space="preserve"> den Schülerinnen und Schülern</w:t>
            </w:r>
            <w:r>
              <w:rPr>
                <w:rFonts w:ascii="Arial" w:hAnsi="Arial" w:cs="Arial"/>
                <w:szCs w:val="20"/>
              </w:rPr>
              <w:t xml:space="preserve"> eine Vorlage für einen Flyer in einer bereits eingeführten App, die zur Erstellung eines Flyers (z.</w:t>
            </w:r>
            <w:r w:rsidR="002C7AC1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B. Pages)</w:t>
            </w:r>
            <w:r w:rsidR="00445EFF">
              <w:rPr>
                <w:rFonts w:ascii="Arial" w:hAnsi="Arial" w:cs="Arial"/>
                <w:szCs w:val="20"/>
              </w:rPr>
              <w:t xml:space="preserve"> dient, bereitstellen.</w:t>
            </w:r>
          </w:p>
        </w:tc>
      </w:tr>
      <w:tr w:rsidR="007B3D20" w:rsidRPr="00B608C2" w14:paraId="2BC0C77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0C76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BC0C76E" w14:textId="77777777" w:rsidR="00DC22D9" w:rsidRDefault="00DC22D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2BC0C76F" w14:textId="77777777" w:rsidR="00DC22D9" w:rsidRDefault="00DC22D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2BC0C770" w14:textId="77777777" w:rsidR="00DC22D9" w:rsidRPr="00DF3E96" w:rsidRDefault="00DC22D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BC0C77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C0C77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BC0C7A2" wp14:editId="2BC0C7A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C0C773" w14:textId="77777777" w:rsidR="00DC22D9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2BC0C774" w14:textId="2EBC2B8D" w:rsidR="00DC22D9" w:rsidRPr="00DC22D9" w:rsidRDefault="00DC22D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App zum Erstellen eines Audiofiles (z.</w:t>
            </w:r>
            <w:r w:rsidR="002C7AC1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B. Sprachmemos)</w:t>
            </w:r>
          </w:p>
          <w:p w14:paraId="2BC0C775" w14:textId="03DF8190" w:rsidR="007B3D20" w:rsidRPr="00DF3E96" w:rsidRDefault="00133774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Tablet, learningapps.org, App zum Erstellen eines Flyers (z.</w:t>
            </w:r>
            <w:r w:rsidR="002C7AC1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B. Notes)</w:t>
            </w:r>
          </w:p>
        </w:tc>
      </w:tr>
      <w:tr w:rsidR="007B3D20" w:rsidRPr="00B608C2" w14:paraId="2BC0C77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0C77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C0C778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BC0C77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C0C77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BC0C7A4" wp14:editId="2BC0C7A5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C77B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2BC0C77C" w14:textId="77777777" w:rsidR="007B3D20" w:rsidRPr="00DF3E96" w:rsidRDefault="00DC22D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Tablets, Projektionsmöglichkeit, </w:t>
            </w:r>
            <w:proofErr w:type="spellStart"/>
            <w:r>
              <w:rPr>
                <w:rFonts w:ascii="Arial" w:hAnsi="Arial" w:cs="Arial"/>
                <w:szCs w:val="20"/>
              </w:rPr>
              <w:t>Schulcloud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mit Speicherort</w:t>
            </w:r>
          </w:p>
        </w:tc>
      </w:tr>
      <w:tr w:rsidR="007B3D20" w:rsidRPr="00B608C2" w14:paraId="2BC0C78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0C77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C0C77F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BC0C78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C0C78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BC0C7A6" wp14:editId="2BC0C7A7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C782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2BC0C783" w14:textId="77777777" w:rsidR="00133774" w:rsidRPr="00133774" w:rsidRDefault="00DA688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Ergebnisse und Produkte der Schülerinnen und Schüler sollten auf der verwendeten Schulplattform oder -</w:t>
            </w:r>
            <w:proofErr w:type="spellStart"/>
            <w:r>
              <w:rPr>
                <w:rFonts w:ascii="Arial" w:hAnsi="Arial" w:cs="Arial"/>
                <w:szCs w:val="20"/>
              </w:rPr>
              <w:t>cloud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gespeich</w:t>
            </w:r>
            <w:r w:rsidR="008154DC">
              <w:rPr>
                <w:rFonts w:ascii="Arial" w:hAnsi="Arial" w:cs="Arial"/>
                <w:szCs w:val="20"/>
              </w:rPr>
              <w:t>ert werden. So stehen</w:t>
            </w:r>
            <w:r>
              <w:rPr>
                <w:rFonts w:ascii="Arial" w:hAnsi="Arial" w:cs="Arial"/>
                <w:szCs w:val="20"/>
              </w:rPr>
              <w:t xml:space="preserve"> sie für eine Ergebnisbesprechung </w:t>
            </w:r>
            <w:r w:rsidR="008154DC">
              <w:rPr>
                <w:rFonts w:ascii="Arial" w:hAnsi="Arial" w:cs="Arial"/>
                <w:szCs w:val="20"/>
              </w:rPr>
              <w:t xml:space="preserve">im Plenum </w:t>
            </w:r>
            <w:r>
              <w:rPr>
                <w:rFonts w:ascii="Arial" w:hAnsi="Arial" w:cs="Arial"/>
                <w:szCs w:val="20"/>
              </w:rPr>
              <w:t>od</w:t>
            </w:r>
            <w:r w:rsidR="008154DC">
              <w:rPr>
                <w:rFonts w:ascii="Arial" w:hAnsi="Arial" w:cs="Arial"/>
                <w:szCs w:val="20"/>
              </w:rPr>
              <w:t>er andere Arten der Sicherung zur Verfügung.</w:t>
            </w:r>
          </w:p>
        </w:tc>
      </w:tr>
      <w:tr w:rsidR="007B3D20" w:rsidRPr="00B608C2" w14:paraId="2BC0C78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0C78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C0C78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BC0C79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C0C78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BC0C7A8" wp14:editId="2BC0C7A9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C789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2BC0C78A" w14:textId="77777777" w:rsidR="00DC22D9" w:rsidRDefault="00DC22D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Hinweis zur Erstellung der Audiofiles in der 1. DS: </w:t>
            </w:r>
          </w:p>
          <w:p w14:paraId="2BC0C78B" w14:textId="1E9D4B9C" w:rsidR="00DC22D9" w:rsidRDefault="00DC22D9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>Hier muss die Lehrkraft verstärkt auf die Zeit achten. Ratsam sind an dieser Stelle gelegentliche Hinweise auf die Zeit (z.</w:t>
            </w:r>
            <w:r w:rsidR="002C7AC1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B. 15min zum Erstellen der Notizen, 15min zum Einsprechen).</w:t>
            </w:r>
          </w:p>
          <w:p w14:paraId="2BC0C78C" w14:textId="77777777" w:rsidR="00DC22D9" w:rsidRDefault="00DC22D9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  <w:p w14:paraId="2BC0C78D" w14:textId="77777777" w:rsidR="00DC22D9" w:rsidRDefault="00133774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Hinweis zum </w:t>
            </w:r>
            <w:proofErr w:type="spellStart"/>
            <w:r>
              <w:rPr>
                <w:rFonts w:ascii="Arial" w:hAnsi="Arial" w:cs="Arial"/>
                <w:szCs w:val="20"/>
              </w:rPr>
              <w:t>Milling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0"/>
              </w:rPr>
              <w:t>around</w:t>
            </w:r>
            <w:proofErr w:type="spellEnd"/>
            <w:r w:rsidR="00DC22D9">
              <w:rPr>
                <w:rFonts w:ascii="Arial" w:hAnsi="Arial" w:cs="Arial"/>
                <w:szCs w:val="20"/>
              </w:rPr>
              <w:t xml:space="preserve"> in der 2. DS:</w:t>
            </w:r>
          </w:p>
          <w:p w14:paraId="2BC0C78E" w14:textId="77777777" w:rsidR="007B3D20" w:rsidRDefault="00133774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Diese Methode kann selbstverständlich durch jede andere kommunikative</w:t>
            </w:r>
            <w:r w:rsidR="00DA6885">
              <w:rPr>
                <w:rFonts w:ascii="Arial" w:hAnsi="Arial" w:cs="Arial"/>
                <w:szCs w:val="20"/>
              </w:rPr>
              <w:t xml:space="preserve"> bzw. sprachaktivierende</w:t>
            </w:r>
            <w:r>
              <w:rPr>
                <w:rFonts w:ascii="Arial" w:hAnsi="Arial" w:cs="Arial"/>
                <w:szCs w:val="20"/>
              </w:rPr>
              <w:t xml:space="preserve"> Methode zur Gruppenfindung ersetzt werden.</w:t>
            </w:r>
          </w:p>
          <w:p w14:paraId="2BC0C78F" w14:textId="77777777" w:rsidR="00133774" w:rsidRPr="00DF3E96" w:rsidRDefault="00133774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Sollten die </w:t>
            </w:r>
            <w:proofErr w:type="spellStart"/>
            <w:r>
              <w:rPr>
                <w:rFonts w:ascii="Arial" w:hAnsi="Arial" w:cs="Arial"/>
                <w:szCs w:val="20"/>
              </w:rPr>
              <w:t>SuS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längere Zeit benötigen, um sich in Gruppen zu finden, sollte die Lehrkraft in den Prozess eingreifen, um das Prozedere zu beschleunigen.</w:t>
            </w:r>
          </w:p>
        </w:tc>
      </w:tr>
      <w:tr w:rsidR="007B3D20" w:rsidRPr="00B608C2" w14:paraId="2BC0C79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0C79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C0C79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BC0C79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C0C79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BC0C7AA" wp14:editId="2BC0C7AB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C795" w14:textId="77777777" w:rsidR="00DC22D9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2BC0C796" w14:textId="77777777" w:rsidR="007B3D20" w:rsidRPr="00DC22D9" w:rsidRDefault="00DC22D9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Alle </w:t>
            </w:r>
            <w:r w:rsidR="00133774">
              <w:rPr>
                <w:rFonts w:ascii="Arial" w:hAnsi="Arial" w:cs="Arial"/>
                <w:szCs w:val="20"/>
              </w:rPr>
              <w:t>Stunde</w:t>
            </w:r>
            <w:r>
              <w:rPr>
                <w:rFonts w:ascii="Arial" w:hAnsi="Arial" w:cs="Arial"/>
                <w:szCs w:val="20"/>
              </w:rPr>
              <w:t>n</w:t>
            </w:r>
            <w:r w:rsidR="00133774">
              <w:rPr>
                <w:rFonts w:ascii="Arial" w:hAnsi="Arial" w:cs="Arial"/>
                <w:szCs w:val="20"/>
              </w:rPr>
              <w:t xml:space="preserve"> wurde</w:t>
            </w:r>
            <w:r w:rsidR="00124EC0">
              <w:rPr>
                <w:rFonts w:ascii="Arial" w:hAnsi="Arial" w:cs="Arial"/>
                <w:szCs w:val="20"/>
              </w:rPr>
              <w:t>n</w:t>
            </w:r>
            <w:r w:rsidR="00133774">
              <w:rPr>
                <w:rFonts w:ascii="Arial" w:hAnsi="Arial" w:cs="Arial"/>
                <w:szCs w:val="20"/>
              </w:rPr>
              <w:t xml:space="preserve"> als Doppelstunde</w:t>
            </w:r>
            <w:r>
              <w:rPr>
                <w:rFonts w:ascii="Arial" w:hAnsi="Arial" w:cs="Arial"/>
                <w:szCs w:val="20"/>
              </w:rPr>
              <w:t>n</w:t>
            </w:r>
            <w:r w:rsidR="00133774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geplant, sind</w:t>
            </w:r>
            <w:r w:rsidR="00133774">
              <w:rPr>
                <w:rFonts w:ascii="Arial" w:hAnsi="Arial" w:cs="Arial"/>
                <w:szCs w:val="20"/>
              </w:rPr>
              <w:t xml:space="preserve"> aber </w:t>
            </w:r>
            <w:r>
              <w:rPr>
                <w:rFonts w:ascii="Arial" w:hAnsi="Arial" w:cs="Arial"/>
                <w:szCs w:val="20"/>
              </w:rPr>
              <w:t>jew</w:t>
            </w:r>
            <w:r w:rsidR="00445EFF">
              <w:rPr>
                <w:rFonts w:ascii="Arial" w:hAnsi="Arial" w:cs="Arial"/>
                <w:szCs w:val="20"/>
              </w:rPr>
              <w:t>e</w:t>
            </w:r>
            <w:r>
              <w:rPr>
                <w:rFonts w:ascii="Arial" w:hAnsi="Arial" w:cs="Arial"/>
                <w:szCs w:val="20"/>
              </w:rPr>
              <w:t xml:space="preserve">ils </w:t>
            </w:r>
            <w:r w:rsidR="00133774">
              <w:rPr>
                <w:rFonts w:ascii="Arial" w:hAnsi="Arial" w:cs="Arial"/>
                <w:szCs w:val="20"/>
              </w:rPr>
              <w:t>in der Mitte teilbar. So kann die Lehrkraft nach der Ergebnissicherung der ersten Hälfte die Stunde als Einzelstunde abschließen und das Warm-up für die zweite Hälfte der Doppelstunde als Einführung für eine zweite Einzelstunde nutzen.</w:t>
            </w:r>
          </w:p>
        </w:tc>
      </w:tr>
    </w:tbl>
    <w:p w14:paraId="2BC0C798" w14:textId="77777777" w:rsidR="000C3EA5" w:rsidRDefault="000C3EA5">
      <w:pPr>
        <w:rPr>
          <w:rFonts w:cs="Arial"/>
        </w:rPr>
      </w:pPr>
    </w:p>
    <w:p w14:paraId="2BC0C799" w14:textId="77777777"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91156" w14:textId="77777777" w:rsidR="002C39EE" w:rsidRDefault="002C39EE" w:rsidP="001676EC">
      <w:r>
        <w:separator/>
      </w:r>
    </w:p>
  </w:endnote>
  <w:endnote w:type="continuationSeparator" w:id="0">
    <w:p w14:paraId="4A55949B" w14:textId="77777777" w:rsidR="002C39EE" w:rsidRDefault="002C39E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0C7B6" w14:textId="77777777" w:rsidR="00370114" w:rsidRDefault="003701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0C7B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BC0C7C4" wp14:editId="2BC0C7C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C0C7D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C7AC1" w:rsidRPr="002C7AC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C0C7C4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BC0C7D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C7AC1" w:rsidRPr="002C7AC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BC0C7C6" wp14:editId="2BC0C7C7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BC0C7C8" wp14:editId="2BC0C7C9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BC0C7CA" wp14:editId="2BC0C7C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BC0C7D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BC0C7D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C0C7CA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BC0C7D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BC0C7D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0C7C1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BC0C7CE" wp14:editId="2BC0C7C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C0C7D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C7AC1" w:rsidRPr="002C7AC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C0C7CE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BC0C7D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C7AC1" w:rsidRPr="002C7AC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BC0C7D0" wp14:editId="2BC0C7D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BC0C7D2" wp14:editId="2BC0C7D3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BC0C7D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BC0C7D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C0C7D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2BC0C7D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BC0C7DB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BC0C7D4" wp14:editId="2BC0C7D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FF415" w14:textId="77777777" w:rsidR="002C39EE" w:rsidRDefault="002C39EE" w:rsidP="001676EC">
      <w:r>
        <w:separator/>
      </w:r>
    </w:p>
  </w:footnote>
  <w:footnote w:type="continuationSeparator" w:id="0">
    <w:p w14:paraId="47C5EA4A" w14:textId="77777777" w:rsidR="002C39EE" w:rsidRDefault="002C39E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0C7B0" w14:textId="77777777" w:rsidR="00370114" w:rsidRDefault="003701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2BC0C7B3" w14:textId="77777777" w:rsidTr="00EF3642">
      <w:trPr>
        <w:trHeight w:val="300"/>
      </w:trPr>
      <w:tc>
        <w:tcPr>
          <w:tcW w:w="1425" w:type="dxa"/>
        </w:tcPr>
        <w:p w14:paraId="2BC0C7B1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2BC0C7B2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2BC0C7B4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C0C7C2" wp14:editId="2BC0C7C3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C0C7B5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0C7B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BC0C7CC" wp14:editId="2BC0C7CD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C0C7B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2BC0C7BC" w14:textId="77777777" w:rsidTr="00EF3642">
      <w:trPr>
        <w:trHeight w:val="300"/>
      </w:trPr>
      <w:tc>
        <w:tcPr>
          <w:tcW w:w="1537" w:type="dxa"/>
        </w:tcPr>
        <w:p w14:paraId="2BC0C7BA" w14:textId="77777777" w:rsidR="001676EC" w:rsidRPr="00DF3E96" w:rsidRDefault="001676EC" w:rsidP="00DF3E96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370114">
            <w:rPr>
              <w:rFonts w:cs="Arial"/>
              <w:color w:val="FFFFFF" w:themeColor="background1"/>
              <w:sz w:val="22"/>
            </w:rPr>
            <w:t>opic</w:t>
          </w:r>
        </w:p>
      </w:tc>
      <w:tc>
        <w:tcPr>
          <w:tcW w:w="6560" w:type="dxa"/>
        </w:tcPr>
        <w:p w14:paraId="2BC0C7BB" w14:textId="77777777" w:rsidR="001676EC" w:rsidRPr="00DF3E96" w:rsidRDefault="00DC22D9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Colin in Melbourne</w:t>
          </w:r>
        </w:p>
      </w:tc>
    </w:tr>
    <w:tr w:rsidR="001676EC" w:rsidRPr="00DF3E96" w14:paraId="2BC0C7BF" w14:textId="77777777" w:rsidTr="00EF3642">
      <w:trPr>
        <w:trHeight w:val="300"/>
      </w:trPr>
      <w:tc>
        <w:tcPr>
          <w:tcW w:w="1537" w:type="dxa"/>
        </w:tcPr>
        <w:p w14:paraId="2BC0C7BD" w14:textId="77777777" w:rsidR="001676EC" w:rsidRPr="00DF3E96" w:rsidRDefault="00370114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Unit</w:t>
          </w:r>
        </w:p>
      </w:tc>
      <w:tc>
        <w:tcPr>
          <w:tcW w:w="6560" w:type="dxa"/>
        </w:tcPr>
        <w:p w14:paraId="2BC0C7BE" w14:textId="77777777" w:rsidR="001676EC" w:rsidRPr="00DF3E96" w:rsidRDefault="00133774" w:rsidP="001676EC">
          <w:pPr>
            <w:rPr>
              <w:rFonts w:cs="Arial"/>
              <w:color w:val="FFFFFF" w:themeColor="background1"/>
              <w:sz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</w:rPr>
            <w:t>Colin’s</w:t>
          </w:r>
          <w:proofErr w:type="spellEnd"/>
          <w:r>
            <w:rPr>
              <w:rFonts w:cs="Arial"/>
              <w:color w:val="FFFFFF" w:themeColor="background1"/>
              <w:sz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</w:rPr>
            <w:t>adventures</w:t>
          </w:r>
          <w:proofErr w:type="spellEnd"/>
          <w:r>
            <w:rPr>
              <w:rFonts w:cs="Arial"/>
              <w:color w:val="FFFFFF" w:themeColor="background1"/>
              <w:sz w:val="22"/>
            </w:rPr>
            <w:t xml:space="preserve"> in Australia</w:t>
          </w:r>
        </w:p>
      </w:tc>
    </w:tr>
  </w:tbl>
  <w:p w14:paraId="2BC0C7C0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B3AFB"/>
    <w:multiLevelType w:val="hybridMultilevel"/>
    <w:tmpl w:val="019E45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6437C"/>
    <w:multiLevelType w:val="hybridMultilevel"/>
    <w:tmpl w:val="2C4CDFB2"/>
    <w:lvl w:ilvl="0" w:tplc="8BC2FBD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24EC0"/>
    <w:rsid w:val="00133774"/>
    <w:rsid w:val="001676EC"/>
    <w:rsid w:val="001D40A5"/>
    <w:rsid w:val="001F3FC7"/>
    <w:rsid w:val="002444B1"/>
    <w:rsid w:val="002C39EE"/>
    <w:rsid w:val="002C7AC1"/>
    <w:rsid w:val="002E3BE5"/>
    <w:rsid w:val="0034121B"/>
    <w:rsid w:val="00370114"/>
    <w:rsid w:val="00445EFF"/>
    <w:rsid w:val="00682D0F"/>
    <w:rsid w:val="007662AD"/>
    <w:rsid w:val="007B3D20"/>
    <w:rsid w:val="008154DC"/>
    <w:rsid w:val="00827355"/>
    <w:rsid w:val="008D0C5A"/>
    <w:rsid w:val="00B27E3D"/>
    <w:rsid w:val="00B608C2"/>
    <w:rsid w:val="00C756FE"/>
    <w:rsid w:val="00CE2A1A"/>
    <w:rsid w:val="00DA6885"/>
    <w:rsid w:val="00DC22D9"/>
    <w:rsid w:val="00DF3E96"/>
    <w:rsid w:val="00E9296B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0C743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A0EE80-7DF2-4C23-9328-C89DC0D5D8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2</cp:revision>
  <dcterms:created xsi:type="dcterms:W3CDTF">2021-05-31T14:34:00Z</dcterms:created>
  <dcterms:modified xsi:type="dcterms:W3CDTF">2021-05-31T14:34:00Z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