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3346A" w14:textId="77777777" w:rsidR="000C3EA5" w:rsidRDefault="000C3EA5">
      <w:pPr>
        <w:rPr>
          <w:rFonts w:cs="Arial"/>
        </w:rPr>
      </w:pPr>
    </w:p>
    <w:p w14:paraId="2D6E7EC8" w14:textId="77777777" w:rsidR="001676EC" w:rsidRDefault="001676EC">
      <w:pPr>
        <w:rPr>
          <w:rFonts w:cs="Arial"/>
        </w:rPr>
      </w:pPr>
    </w:p>
    <w:p w14:paraId="030281F2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tbl>
      <w:tblPr>
        <w:tblW w:w="11058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9312"/>
      </w:tblGrid>
      <w:tr w:rsidR="00827355" w:rsidRPr="00236307" w14:paraId="1083259D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3FD8BD" w14:textId="570BEF93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FF2B849" wp14:editId="1D94B937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6A8A81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Kurzbeschreibung:</w:t>
            </w:r>
          </w:p>
          <w:p w14:paraId="3050380D" w14:textId="0156561E" w:rsidR="005F427F" w:rsidRPr="00236307" w:rsidRDefault="00F862CD" w:rsidP="008C74BC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5F427F">
              <w:rPr>
                <w:rFonts w:ascii="Arial" w:hAnsi="Arial" w:cs="Arial"/>
              </w:rPr>
              <w:t>Schüler</w:t>
            </w:r>
            <w:r w:rsidR="008C74BC">
              <w:rPr>
                <w:rFonts w:ascii="Arial" w:hAnsi="Arial" w:cs="Arial"/>
              </w:rPr>
              <w:t xml:space="preserve">innen und Schüler erweitern ihre </w:t>
            </w:r>
            <w:r w:rsidR="008007D6">
              <w:rPr>
                <w:rFonts w:ascii="Arial" w:hAnsi="Arial" w:cs="Arial"/>
              </w:rPr>
              <w:t>Deutungskompetenz</w:t>
            </w:r>
            <w:r w:rsidR="008C74BC">
              <w:rPr>
                <w:rFonts w:ascii="Arial" w:hAnsi="Arial" w:cs="Arial"/>
              </w:rPr>
              <w:t xml:space="preserve">, indem </w:t>
            </w:r>
            <w:r w:rsidR="008007D6">
              <w:rPr>
                <w:rFonts w:ascii="Arial" w:hAnsi="Arial" w:cs="Arial"/>
              </w:rPr>
              <w:t>s</w:t>
            </w:r>
            <w:r w:rsidR="008C74BC">
              <w:rPr>
                <w:rFonts w:ascii="Arial" w:hAnsi="Arial" w:cs="Arial"/>
              </w:rPr>
              <w:t>ie</w:t>
            </w:r>
            <w:r w:rsidR="008007D6">
              <w:rPr>
                <w:rFonts w:ascii="Arial" w:hAnsi="Arial" w:cs="Arial"/>
              </w:rPr>
              <w:t xml:space="preserve"> Detailaussagen zum Text auf ihren Wahrheitsgehalt prüfen und ihre Erkenntnisse an konkreten Textstellen festmachen. Im Anschluss widmen sie sich einer näheren Betrachtung des Richters</w:t>
            </w:r>
            <w:r w:rsidR="006879AC">
              <w:rPr>
                <w:rFonts w:ascii="Arial" w:hAnsi="Arial" w:cs="Arial"/>
              </w:rPr>
              <w:t>. Konkret</w:t>
            </w:r>
            <w:r w:rsidR="008007D6">
              <w:rPr>
                <w:rFonts w:ascii="Arial" w:hAnsi="Arial" w:cs="Arial"/>
              </w:rPr>
              <w:t xml:space="preserve"> </w:t>
            </w:r>
            <w:r w:rsidR="006879AC">
              <w:rPr>
                <w:rFonts w:ascii="Arial" w:hAnsi="Arial" w:cs="Arial"/>
              </w:rPr>
              <w:t xml:space="preserve">ordnen </w:t>
            </w:r>
            <w:r w:rsidR="008007D6">
              <w:rPr>
                <w:rFonts w:ascii="Arial" w:hAnsi="Arial" w:cs="Arial"/>
              </w:rPr>
              <w:t>sie verschiedenen Fragen zur Person des Richters zunächst plausible Antworten zu und im Anschluss daran</w:t>
            </w:r>
            <w:r w:rsidR="006879AC">
              <w:rPr>
                <w:rFonts w:ascii="Arial" w:hAnsi="Arial" w:cs="Arial"/>
              </w:rPr>
              <w:t xml:space="preserve"> suchen sie</w:t>
            </w:r>
            <w:r w:rsidR="008007D6">
              <w:rPr>
                <w:rFonts w:ascii="Arial" w:hAnsi="Arial" w:cs="Arial"/>
              </w:rPr>
              <w:t xml:space="preserve"> konkrete Textbelege. Die gewonnen</w:t>
            </w:r>
            <w:r w:rsidR="00E8756F">
              <w:rPr>
                <w:rFonts w:ascii="Arial" w:hAnsi="Arial" w:cs="Arial"/>
              </w:rPr>
              <w:t>en</w:t>
            </w:r>
            <w:r w:rsidR="008007D6">
              <w:rPr>
                <w:rFonts w:ascii="Arial" w:hAnsi="Arial" w:cs="Arial"/>
              </w:rPr>
              <w:t xml:space="preserve"> Erkenntnisse nutzen sie, um </w:t>
            </w:r>
            <w:proofErr w:type="spellStart"/>
            <w:r w:rsidR="008007D6">
              <w:rPr>
                <w:rFonts w:ascii="Arial" w:hAnsi="Arial" w:cs="Arial"/>
              </w:rPr>
              <w:t>kriterienorientiert</w:t>
            </w:r>
            <w:proofErr w:type="spellEnd"/>
            <w:r w:rsidR="008007D6">
              <w:rPr>
                <w:rFonts w:ascii="Arial" w:hAnsi="Arial" w:cs="Arial"/>
              </w:rPr>
              <w:t xml:space="preserve"> ein Foto zu erstellen, welches die </w:t>
            </w:r>
            <w:r w:rsidR="00E8756F">
              <w:rPr>
                <w:rFonts w:ascii="Arial" w:hAnsi="Arial" w:cs="Arial"/>
              </w:rPr>
              <w:t>Figur</w:t>
            </w:r>
            <w:r w:rsidR="008007D6">
              <w:rPr>
                <w:rFonts w:ascii="Arial" w:hAnsi="Arial" w:cs="Arial"/>
              </w:rPr>
              <w:t xml:space="preserve"> des Richters in der Kalendergeschichte darstellen soll. </w:t>
            </w:r>
            <w:r w:rsidR="00E8756F">
              <w:rPr>
                <w:rFonts w:ascii="Arial" w:hAnsi="Arial" w:cs="Arial"/>
              </w:rPr>
              <w:t>Im Anschluss daran kommentieren sie</w:t>
            </w:r>
            <w:r w:rsidR="008007D6">
              <w:rPr>
                <w:rFonts w:ascii="Arial" w:hAnsi="Arial" w:cs="Arial"/>
              </w:rPr>
              <w:t xml:space="preserve"> die Arbeitsergebnisse einer begrenzten Anzahl anderer Lernende</w:t>
            </w:r>
            <w:r w:rsidR="00E8756F">
              <w:rPr>
                <w:rFonts w:ascii="Arial" w:hAnsi="Arial" w:cs="Arial"/>
              </w:rPr>
              <w:t>n</w:t>
            </w:r>
            <w:r w:rsidR="008007D6">
              <w:rPr>
                <w:rFonts w:ascii="Arial" w:hAnsi="Arial" w:cs="Arial"/>
              </w:rPr>
              <w:t xml:space="preserve">. </w:t>
            </w:r>
          </w:p>
        </w:tc>
      </w:tr>
      <w:tr w:rsidR="00827355" w:rsidRPr="00236307" w14:paraId="2E29D54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6B82D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E145C6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870D7FC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6DF6E" w14:textId="1EF8CE70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1458E8" wp14:editId="09A39B4B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91C78" w14:textId="48615892" w:rsidR="00F862CD" w:rsidRPr="00176805" w:rsidRDefault="00827355" w:rsidP="00176805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176805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  <w:r w:rsidR="006879AC">
              <w:rPr>
                <w:rFonts w:ascii="Arial" w:hAnsi="Arial" w:cs="Arial"/>
                <w:b/>
                <w:szCs w:val="22"/>
              </w:rPr>
              <w:t xml:space="preserve"> </w:t>
            </w:r>
            <w:r w:rsidR="008928AA" w:rsidRPr="00176805">
              <w:rPr>
                <w:rFonts w:ascii="Arial" w:hAnsi="Arial" w:cs="Arial"/>
                <w:b/>
                <w:szCs w:val="22"/>
              </w:rPr>
              <w:t>2BFS</w:t>
            </w:r>
          </w:p>
          <w:p w14:paraId="30FBA81C" w14:textId="2DEE4EBE" w:rsidR="008007D6" w:rsidRPr="00176805" w:rsidRDefault="00E613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Schülerinnen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vertiefen ihre Lese-, Textverstehens- und Analysekompetenz im Umgang mit literarischen Texten</w:t>
            </w:r>
            <w:r w:rsidR="00E875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56F" w:rsidRPr="00176805">
              <w:rPr>
                <w:rFonts w:ascii="Arial" w:hAnsi="Arial" w:cs="Arial"/>
                <w:sz w:val="22"/>
                <w:szCs w:val="22"/>
              </w:rPr>
              <w:t>(BPE 6</w:t>
            </w:r>
            <w:r w:rsidR="00E8756F">
              <w:rPr>
                <w:rFonts w:ascii="Arial" w:hAnsi="Arial" w:cs="Arial"/>
                <w:sz w:val="22"/>
                <w:szCs w:val="22"/>
              </w:rPr>
              <w:t>)</w:t>
            </w:r>
            <w:r w:rsidRPr="0017680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FD61225" w14:textId="10FBC4E3" w:rsidR="00F862CD" w:rsidRDefault="00F862CD" w:rsidP="00176805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176805">
              <w:rPr>
                <w:rFonts w:ascii="Arial" w:hAnsi="Arial" w:cs="Arial"/>
                <w:szCs w:val="22"/>
              </w:rPr>
              <w:t xml:space="preserve">Sie verwenden hierbei Strategien der Texterschließung (BPE 1.1) und berücksichtigen einzelne Strukturmerkmale (BPE 1.2). </w:t>
            </w:r>
          </w:p>
          <w:p w14:paraId="2011DDA5" w14:textId="6BBBD6E1" w:rsidR="008928AA" w:rsidRPr="00176805" w:rsidRDefault="008007D6" w:rsidP="006879AC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Die Schülerinnen und Schüler nutzen handlungs- und produktionsorientierte Methoden, um literarische Texte zu interpretieren</w:t>
            </w:r>
            <w:r w:rsidR="00E8756F">
              <w:rPr>
                <w:rFonts w:ascii="Arial" w:hAnsi="Arial" w:cs="Arial"/>
                <w:szCs w:val="22"/>
              </w:rPr>
              <w:t xml:space="preserve"> (BPE 6.2)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827355" w:rsidRPr="00236307" w14:paraId="12A1BE88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ABE9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90F14E7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68C6BB" w14:textId="77777777" w:rsidTr="006879AC">
        <w:trPr>
          <w:trHeight w:val="626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172E5D" w14:textId="7BEB7437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2D66CE7" wp14:editId="471C8467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A8026" w14:textId="2A89CD79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Vorwissen | </w:t>
            </w:r>
            <w:r w:rsidR="00291805">
              <w:rPr>
                <w:rFonts w:ascii="Arial" w:hAnsi="Arial" w:cs="Arial"/>
                <w:b/>
              </w:rPr>
              <w:t>Fähigkeiten</w:t>
            </w:r>
            <w:r w:rsidRPr="00236307">
              <w:rPr>
                <w:rFonts w:ascii="Arial" w:hAnsi="Arial" w:cs="Arial"/>
                <w:b/>
              </w:rPr>
              <w:t>:</w:t>
            </w:r>
          </w:p>
          <w:p w14:paraId="60F30DE4" w14:textId="78D0D033" w:rsidR="008928AA" w:rsidRPr="00F862CD" w:rsidRDefault="008953C2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F862CD">
              <w:rPr>
                <w:rFonts w:ascii="Arial" w:hAnsi="Arial" w:cs="Arial"/>
              </w:rPr>
              <w:t xml:space="preserve">Umgang mit </w:t>
            </w:r>
            <w:r w:rsidR="00DB7F2B" w:rsidRPr="00F862CD">
              <w:rPr>
                <w:rFonts w:ascii="Arial" w:hAnsi="Arial" w:cs="Arial"/>
              </w:rPr>
              <w:t xml:space="preserve">digitalen Pinnwänden </w:t>
            </w:r>
            <w:r w:rsidRPr="00F862CD">
              <w:rPr>
                <w:rFonts w:ascii="Arial" w:hAnsi="Arial" w:cs="Arial"/>
              </w:rPr>
              <w:t>wie z.</w:t>
            </w:r>
            <w:r w:rsidR="00E8756F">
              <w:rPr>
                <w:rFonts w:ascii="Arial" w:hAnsi="Arial" w:cs="Arial"/>
              </w:rPr>
              <w:t xml:space="preserve"> </w:t>
            </w:r>
            <w:r w:rsidRPr="00F862CD">
              <w:rPr>
                <w:rFonts w:ascii="Arial" w:hAnsi="Arial" w:cs="Arial"/>
              </w:rPr>
              <w:t xml:space="preserve">B. </w:t>
            </w:r>
            <w:proofErr w:type="spellStart"/>
            <w:r w:rsidRPr="00F862CD">
              <w:rPr>
                <w:rFonts w:ascii="Arial" w:hAnsi="Arial" w:cs="Arial"/>
              </w:rPr>
              <w:t>Padlet</w:t>
            </w:r>
            <w:proofErr w:type="spellEnd"/>
            <w:r w:rsidRPr="00F862CD">
              <w:rPr>
                <w:rFonts w:ascii="Arial" w:hAnsi="Arial" w:cs="Arial"/>
              </w:rPr>
              <w:t xml:space="preserve">, </w:t>
            </w:r>
            <w:r w:rsidR="006879AC">
              <w:rPr>
                <w:rFonts w:ascii="Arial" w:hAnsi="Arial" w:cs="Arial"/>
              </w:rPr>
              <w:t>usw.</w:t>
            </w:r>
          </w:p>
        </w:tc>
      </w:tr>
      <w:tr w:rsidR="00827355" w:rsidRPr="00236307" w14:paraId="1669707A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CEB25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53F5C3E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95D1EB2" w14:textId="77777777" w:rsidTr="00827355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0CBFF3" w14:textId="35E11113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658E7D6" wp14:editId="6BC2BFBA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</w:tcBorders>
            <w:shd w:val="clear" w:color="auto" w:fill="auto"/>
          </w:tcPr>
          <w:p w14:paraId="122CBFFF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Organisationsform; Zeitplan | Ablauf:</w:t>
            </w:r>
          </w:p>
          <w:p w14:paraId="59CE50A2" w14:textId="77777777" w:rsidR="008928AA" w:rsidRPr="00E8756F" w:rsidRDefault="008705B5" w:rsidP="003A5C33">
            <w:pPr>
              <w:pStyle w:val="TabellerechteSpalte"/>
              <w:rPr>
                <w:rFonts w:ascii="Arial" w:hAnsi="Arial" w:cs="Arial"/>
                <w:bCs/>
              </w:rPr>
            </w:pPr>
            <w:r w:rsidRPr="00E8756F">
              <w:rPr>
                <w:rFonts w:ascii="Arial" w:hAnsi="Arial" w:cs="Arial"/>
                <w:bCs/>
              </w:rPr>
              <w:t xml:space="preserve">Einzelarbeit, </w:t>
            </w:r>
            <w:r w:rsidR="00F862CD" w:rsidRPr="00E8756F">
              <w:rPr>
                <w:rFonts w:ascii="Arial" w:hAnsi="Arial" w:cs="Arial"/>
                <w:bCs/>
              </w:rPr>
              <w:t>Partnerarbeit</w:t>
            </w:r>
            <w:r w:rsidR="008928AA" w:rsidRPr="00E8756F">
              <w:rPr>
                <w:rFonts w:ascii="Arial" w:hAnsi="Arial" w:cs="Arial"/>
                <w:bCs/>
              </w:rPr>
              <w:t xml:space="preserve">, </w:t>
            </w:r>
            <w:r w:rsidRPr="00E8756F">
              <w:rPr>
                <w:rFonts w:ascii="Arial" w:hAnsi="Arial" w:cs="Arial"/>
                <w:bCs/>
              </w:rPr>
              <w:t>Plenum</w:t>
            </w:r>
          </w:p>
          <w:p w14:paraId="004DF282" w14:textId="2AC4612F" w:rsidR="008705B5" w:rsidRPr="00F64172" w:rsidRDefault="00EC1C08" w:rsidP="003A5C33">
            <w:pPr>
              <w:pStyle w:val="TabellerechteSpalte"/>
              <w:rPr>
                <w:rFonts w:ascii="Arial" w:hAnsi="Arial" w:cs="Arial"/>
                <w:bCs/>
              </w:rPr>
            </w:pPr>
            <w:r w:rsidRPr="00E8756F">
              <w:rPr>
                <w:rFonts w:ascii="Arial" w:hAnsi="Arial" w:cs="Arial"/>
                <w:bCs/>
              </w:rPr>
              <w:t>2</w:t>
            </w:r>
            <w:r w:rsidR="008C74BC" w:rsidRPr="00E8756F">
              <w:rPr>
                <w:rFonts w:ascii="Arial" w:hAnsi="Arial" w:cs="Arial"/>
                <w:bCs/>
              </w:rPr>
              <w:t xml:space="preserve"> </w:t>
            </w:r>
            <w:r w:rsidR="008705B5" w:rsidRPr="00E8756F">
              <w:rPr>
                <w:rFonts w:ascii="Arial" w:hAnsi="Arial" w:cs="Arial"/>
                <w:bCs/>
              </w:rPr>
              <w:t>UE</w:t>
            </w:r>
            <w:r w:rsidR="0042538D" w:rsidRPr="00E8756F">
              <w:rPr>
                <w:rFonts w:ascii="Arial" w:hAnsi="Arial" w:cs="Arial"/>
                <w:bCs/>
              </w:rPr>
              <w:t xml:space="preserve"> zu je 45 </w:t>
            </w:r>
            <w:r w:rsidR="00291805" w:rsidRPr="00E8756F">
              <w:rPr>
                <w:rFonts w:ascii="Arial" w:hAnsi="Arial" w:cs="Arial"/>
                <w:bCs/>
              </w:rPr>
              <w:t>Minuten</w:t>
            </w:r>
            <w:r w:rsidR="0042538D" w:rsidRPr="00E8756F">
              <w:rPr>
                <w:rFonts w:ascii="Arial" w:hAnsi="Arial" w:cs="Arial"/>
                <w:bCs/>
              </w:rPr>
              <w:t xml:space="preserve"> (je nach Stundentafel variabel modifizierbar)</w:t>
            </w:r>
          </w:p>
        </w:tc>
      </w:tr>
      <w:tr w:rsidR="00827355" w:rsidRPr="00236307" w14:paraId="56A84E8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F78B9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1376FBD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08CAF80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89E2E" w14:textId="31D567F3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01A35A" wp14:editId="50E497E0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391318" w14:textId="77777777" w:rsidR="008928AA" w:rsidRPr="008928AA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8928AA">
              <w:rPr>
                <w:rFonts w:ascii="Arial" w:hAnsi="Arial" w:cs="Arial"/>
                <w:b/>
              </w:rPr>
              <w:t>Verwendete Hard- und Software, weitere Medien:</w:t>
            </w:r>
          </w:p>
          <w:p w14:paraId="2E9E4507" w14:textId="49228956" w:rsidR="00827355" w:rsidRPr="00623846" w:rsidRDefault="00A724B1" w:rsidP="00A724B1">
            <w:pPr>
              <w:pStyle w:val="Tabellenstil1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digitales Endgerät (z. B. Tablet mit Stift, PC)</w:t>
            </w:r>
            <w:r w:rsidR="00E8756F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</w:t>
            </w: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ausgestattet mi</w:t>
            </w:r>
            <w:r w:rsidR="006101B3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 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Textverarbeitungssoftware oder Notizbuch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GoodNotes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, OneNote o. Ä.), App, die eine digitale Pinnwand zur Verfügung stellt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Padlet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Trello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o. </w:t>
            </w:r>
            <w:r w:rsidR="006879A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Ä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.),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Beamer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zur Präsentation </w:t>
            </w:r>
          </w:p>
        </w:tc>
      </w:tr>
      <w:tr w:rsidR="00827355" w:rsidRPr="00236307" w14:paraId="2EDD727E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B1B1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BDBD5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C08D54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E05D9" w14:textId="5D760DBF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4FA4C27" wp14:editId="61483FFE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008A" w14:textId="531FFDD5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Technische Angaben, benötigte Werkzeuge und </w:t>
            </w:r>
            <w:r w:rsidRPr="00AE28B0">
              <w:rPr>
                <w:rFonts w:ascii="Arial" w:hAnsi="Arial" w:cs="Arial"/>
                <w:b/>
                <w:u w:val="single"/>
              </w:rPr>
              <w:t>Materialien</w:t>
            </w:r>
            <w:r w:rsidR="00E8756F">
              <w:rPr>
                <w:rFonts w:ascii="Arial" w:hAnsi="Arial" w:cs="Arial"/>
                <w:b/>
              </w:rPr>
              <w:t>:</w:t>
            </w:r>
          </w:p>
          <w:p w14:paraId="57289C81" w14:textId="68A2020E" w:rsidR="00AE28B0" w:rsidRPr="00623846" w:rsidRDefault="00F862CD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Link zu </w:t>
            </w:r>
            <w:proofErr w:type="spellStart"/>
            <w:r w:rsidR="00291805">
              <w:rPr>
                <w:rFonts w:ascii="Arial" w:hAnsi="Arial" w:cs="Arial"/>
                <w:bCs/>
                <w:szCs w:val="22"/>
              </w:rPr>
              <w:t>L</w:t>
            </w:r>
            <w:r>
              <w:rPr>
                <w:rFonts w:ascii="Arial" w:hAnsi="Arial" w:cs="Arial"/>
                <w:bCs/>
                <w:szCs w:val="22"/>
              </w:rPr>
              <w:t>earningApps</w:t>
            </w:r>
            <w:proofErr w:type="spellEnd"/>
            <w:r w:rsidR="008007D6">
              <w:rPr>
                <w:rFonts w:ascii="Arial" w:hAnsi="Arial" w:cs="Arial"/>
                <w:bCs/>
                <w:szCs w:val="22"/>
              </w:rPr>
              <w:t xml:space="preserve">, </w:t>
            </w:r>
            <w:proofErr w:type="spellStart"/>
            <w:r w:rsidR="008007D6">
              <w:rPr>
                <w:rFonts w:ascii="Arial" w:hAnsi="Arial" w:cs="Arial"/>
                <w:bCs/>
                <w:szCs w:val="22"/>
              </w:rPr>
              <w:t>ZUM</w:t>
            </w:r>
            <w:r w:rsidR="009B2918">
              <w:rPr>
                <w:rFonts w:ascii="Arial" w:hAnsi="Arial" w:cs="Arial"/>
                <w:bCs/>
                <w:szCs w:val="22"/>
              </w:rPr>
              <w:t>P</w:t>
            </w:r>
            <w:r w:rsidR="008007D6">
              <w:rPr>
                <w:rFonts w:ascii="Arial" w:hAnsi="Arial" w:cs="Arial"/>
                <w:bCs/>
                <w:szCs w:val="22"/>
              </w:rPr>
              <w:t>ad</w:t>
            </w:r>
            <w:proofErr w:type="spellEnd"/>
            <w:r w:rsidR="0042538D">
              <w:rPr>
                <w:rFonts w:ascii="Arial" w:hAnsi="Arial" w:cs="Arial"/>
                <w:bCs/>
                <w:szCs w:val="22"/>
              </w:rPr>
              <w:t xml:space="preserve"> und </w:t>
            </w:r>
            <w:proofErr w:type="spellStart"/>
            <w:r w:rsidR="0042538D">
              <w:rPr>
                <w:rFonts w:ascii="Arial" w:hAnsi="Arial" w:cs="Arial"/>
                <w:bCs/>
                <w:szCs w:val="22"/>
              </w:rPr>
              <w:t>Padlet</w:t>
            </w:r>
            <w:proofErr w:type="spellEnd"/>
            <w:r w:rsidR="008007D6">
              <w:rPr>
                <w:rFonts w:ascii="Arial" w:hAnsi="Arial" w:cs="Arial"/>
                <w:bCs/>
                <w:szCs w:val="22"/>
              </w:rPr>
              <w:t xml:space="preserve">, </w:t>
            </w:r>
            <w:r w:rsidR="00E8756F" w:rsidRPr="009F5554">
              <w:rPr>
                <w:rFonts w:ascii="Arial" w:hAnsi="Arial" w:cs="Arial"/>
                <w:bCs/>
                <w:color w:val="C00000"/>
                <w:szCs w:val="22"/>
              </w:rPr>
              <w:t xml:space="preserve">02-7-8-3_AM01_Der kluge </w:t>
            </w:r>
            <w:proofErr w:type="spellStart"/>
            <w:r w:rsidR="00E8756F" w:rsidRPr="009F5554">
              <w:rPr>
                <w:rFonts w:ascii="Arial" w:hAnsi="Arial" w:cs="Arial"/>
                <w:bCs/>
                <w:color w:val="C00000"/>
                <w:szCs w:val="22"/>
              </w:rPr>
              <w:t>Richter_Deutung</w:t>
            </w:r>
            <w:proofErr w:type="spellEnd"/>
          </w:p>
        </w:tc>
      </w:tr>
      <w:tr w:rsidR="00827355" w:rsidRPr="00236307" w14:paraId="021B9285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C0661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D6013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345FE0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D0B515" w14:textId="2F2BA77D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8C53EC0" wp14:editId="02052B83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CC62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Ergebnissicherung: </w:t>
            </w:r>
          </w:p>
          <w:p w14:paraId="3C10AFC8" w14:textId="35061539" w:rsidR="008928AA" w:rsidRPr="00623846" w:rsidRDefault="008928AA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623846">
              <w:rPr>
                <w:rFonts w:ascii="Arial" w:hAnsi="Arial" w:cs="Arial"/>
                <w:bCs/>
                <w:szCs w:val="22"/>
              </w:rPr>
              <w:t xml:space="preserve">Die Ergebnissicherung erfolgt </w:t>
            </w:r>
            <w:r w:rsidR="00F862CD">
              <w:rPr>
                <w:rFonts w:ascii="Arial" w:hAnsi="Arial" w:cs="Arial"/>
                <w:bCs/>
                <w:szCs w:val="22"/>
              </w:rPr>
              <w:t>in Form mündlicher Lernzielkontrollen, zwischen den einzelnen Arbeitsphasen durch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 schriftliche</w:t>
            </w:r>
            <w:r w:rsidR="00F862CD">
              <w:rPr>
                <w:rFonts w:ascii="Arial" w:hAnsi="Arial" w:cs="Arial"/>
                <w:bCs/>
                <w:szCs w:val="22"/>
              </w:rPr>
              <w:t xml:space="preserve"> Fixierung auf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 </w:t>
            </w:r>
            <w:r w:rsidR="00E8756F" w:rsidRPr="006879AC">
              <w:rPr>
                <w:rFonts w:ascii="Arial" w:hAnsi="Arial" w:cs="Arial"/>
                <w:bCs/>
                <w:color w:val="C00000"/>
                <w:szCs w:val="22"/>
              </w:rPr>
              <w:t>0</w:t>
            </w:r>
            <w:r w:rsidR="00E8756F" w:rsidRPr="009F5554">
              <w:rPr>
                <w:rFonts w:ascii="Arial" w:hAnsi="Arial" w:cs="Arial"/>
                <w:bCs/>
                <w:color w:val="C00000"/>
                <w:szCs w:val="22"/>
              </w:rPr>
              <w:t xml:space="preserve">2-7-8-3_AM01_Der kluge </w:t>
            </w:r>
            <w:proofErr w:type="spellStart"/>
            <w:r w:rsidR="00E8756F" w:rsidRPr="009F5554">
              <w:rPr>
                <w:rFonts w:ascii="Arial" w:hAnsi="Arial" w:cs="Arial"/>
                <w:bCs/>
                <w:color w:val="C00000"/>
                <w:szCs w:val="22"/>
              </w:rPr>
              <w:t>Richter_Deutu</w:t>
            </w:r>
            <w:r w:rsidR="00E8756F" w:rsidRPr="009B2918">
              <w:rPr>
                <w:rFonts w:ascii="Arial" w:hAnsi="Arial" w:cs="Arial"/>
                <w:bCs/>
                <w:color w:val="C00000"/>
                <w:szCs w:val="22"/>
              </w:rPr>
              <w:t>ng</w:t>
            </w:r>
            <w:proofErr w:type="spellEnd"/>
            <w:r w:rsidR="00E8756F">
              <w:rPr>
                <w:rFonts w:ascii="Arial" w:hAnsi="Arial" w:cs="Arial"/>
                <w:bCs/>
                <w:szCs w:val="22"/>
              </w:rPr>
              <w:t xml:space="preserve"> </w:t>
            </w:r>
            <w:r w:rsidR="00F862CD">
              <w:rPr>
                <w:rFonts w:ascii="Arial" w:hAnsi="Arial" w:cs="Arial"/>
                <w:bCs/>
                <w:szCs w:val="22"/>
              </w:rPr>
              <w:t xml:space="preserve">sowie </w:t>
            </w:r>
            <w:r w:rsidR="00E8756F">
              <w:rPr>
                <w:rFonts w:ascii="Arial" w:hAnsi="Arial" w:cs="Arial"/>
                <w:bCs/>
                <w:szCs w:val="22"/>
              </w:rPr>
              <w:t>mit Hilfe einer</w:t>
            </w:r>
            <w:r w:rsidR="00F862CD">
              <w:rPr>
                <w:rFonts w:ascii="Arial" w:hAnsi="Arial" w:cs="Arial"/>
                <w:bCs/>
                <w:szCs w:val="22"/>
              </w:rPr>
              <w:t xml:space="preserve"> digitalen Pinnwand.</w:t>
            </w:r>
          </w:p>
        </w:tc>
      </w:tr>
      <w:tr w:rsidR="00827355" w:rsidRPr="00236307" w14:paraId="6DCFEFD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EF482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06FAC9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0709C2B0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22BC8" w14:textId="401746E6" w:rsidR="00827355" w:rsidRPr="00236307" w:rsidRDefault="00DF0CEB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7B7C0" wp14:editId="3B21248E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758A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Resümee | Hinweise: </w:t>
            </w:r>
          </w:p>
          <w:p w14:paraId="20981FD4" w14:textId="3959301B" w:rsidR="001F51CD" w:rsidRPr="00623846" w:rsidRDefault="008007D6" w:rsidP="008C74BC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Die Lernenden werden an die Charakterisierung von Figuren herangeführt, vor allem in Form einer näheren Betrachtung des Richters. Sukzessive erleben die Schülerinnen und Schüler, dass interpretative Aussagen zum Ganzen oder</w:t>
            </w:r>
            <w:r w:rsidR="00E8756F">
              <w:rPr>
                <w:rFonts w:ascii="Arial" w:hAnsi="Arial" w:cs="Arial"/>
                <w:bCs/>
                <w:szCs w:val="22"/>
              </w:rPr>
              <w:t xml:space="preserve"> zu</w:t>
            </w:r>
            <w:r>
              <w:rPr>
                <w:rFonts w:ascii="Arial" w:hAnsi="Arial" w:cs="Arial"/>
                <w:bCs/>
                <w:szCs w:val="22"/>
              </w:rPr>
              <w:t xml:space="preserve"> Teilen des Texts konkret </w:t>
            </w:r>
            <w:r w:rsidR="00E8756F">
              <w:rPr>
                <w:rFonts w:ascii="Arial" w:hAnsi="Arial" w:cs="Arial"/>
                <w:bCs/>
                <w:szCs w:val="22"/>
              </w:rPr>
              <w:t>in diesem</w:t>
            </w:r>
            <w:r>
              <w:rPr>
                <w:rFonts w:ascii="Arial" w:hAnsi="Arial" w:cs="Arial"/>
                <w:bCs/>
                <w:szCs w:val="22"/>
              </w:rPr>
              <w:t xml:space="preserve"> verortet werden müssen.</w:t>
            </w:r>
          </w:p>
        </w:tc>
      </w:tr>
    </w:tbl>
    <w:p w14:paraId="5FBFC484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AF4E2" w14:textId="77777777" w:rsidR="00E129E8" w:rsidRDefault="00E129E8" w:rsidP="001676EC">
      <w:r>
        <w:separator/>
      </w:r>
    </w:p>
  </w:endnote>
  <w:endnote w:type="continuationSeparator" w:id="0">
    <w:p w14:paraId="65762CC7" w14:textId="77777777" w:rsidR="00E129E8" w:rsidRDefault="00E129E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4EB2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C729BDF" wp14:editId="33D299C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6C3D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729B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3046C3D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161F9A7" wp14:editId="16B3426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2EE0" wp14:editId="0C9E2FD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9D9396" wp14:editId="5733A47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87E0FB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72CC95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D939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87E0FB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72CC954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399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9ADBE6A" wp14:editId="496EDA8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BB87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ADBE6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BB87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CC3183B" wp14:editId="2385747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0C0D5" wp14:editId="5082848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711F5D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710807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D0C0D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0711F5D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710807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A23A82E" wp14:editId="04F7C4D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F0BBE" w14:textId="77777777" w:rsidR="00E129E8" w:rsidRDefault="00E129E8" w:rsidP="001676EC">
      <w:r>
        <w:separator/>
      </w:r>
    </w:p>
  </w:footnote>
  <w:footnote w:type="continuationSeparator" w:id="0">
    <w:p w14:paraId="4B84B943" w14:textId="77777777" w:rsidR="00E129E8" w:rsidRDefault="00E129E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81"/>
      <w:gridCol w:w="7278"/>
    </w:tblGrid>
    <w:tr w:rsidR="001676EC" w:rsidRPr="00435C55" w14:paraId="0A6A21A3" w14:textId="77777777" w:rsidTr="00E61305">
      <w:trPr>
        <w:trHeight w:val="311"/>
      </w:trPr>
      <w:tc>
        <w:tcPr>
          <w:tcW w:w="1581" w:type="dxa"/>
        </w:tcPr>
        <w:p w14:paraId="0BC2C857" w14:textId="10D30FC6" w:rsidR="001676EC" w:rsidRPr="00E61305" w:rsidRDefault="00E61305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 w:rsidRPr="00E61305">
            <w:rPr>
              <w:rFonts w:cs="Arial"/>
              <w:color w:val="FFFFFF" w:themeColor="background1"/>
              <w:sz w:val="18"/>
              <w:szCs w:val="18"/>
            </w:rPr>
            <w:t>Der kluge</w:t>
          </w:r>
          <w:r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Pr="00E61305">
            <w:rPr>
              <w:rFonts w:cs="Arial"/>
              <w:color w:val="FFFFFF" w:themeColor="background1"/>
              <w:sz w:val="18"/>
              <w:szCs w:val="18"/>
            </w:rPr>
            <w:t>Richter</w:t>
          </w:r>
          <w:r w:rsidR="001676EC" w:rsidRPr="00E61305"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7278" w:type="dxa"/>
        </w:tcPr>
        <w:p w14:paraId="4A8C7B7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49918A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06D789A" wp14:editId="62B8892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5449A4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FA1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339C4FE" wp14:editId="0A473AF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9CA44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120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60"/>
      <w:gridCol w:w="6560"/>
    </w:tblGrid>
    <w:tr w:rsidR="001676EC" w14:paraId="720A28AC" w14:textId="77777777" w:rsidTr="00740091">
      <w:trPr>
        <w:trHeight w:val="300"/>
      </w:trPr>
      <w:tc>
        <w:tcPr>
          <w:tcW w:w="4560" w:type="dxa"/>
        </w:tcPr>
        <w:p w14:paraId="4DEC8D7B" w14:textId="77777777" w:rsidR="006879AC" w:rsidRDefault="005F25F2" w:rsidP="005F25F2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Kalendergeschichten</w:t>
          </w:r>
        </w:p>
        <w:p w14:paraId="08576841" w14:textId="0FB226F1" w:rsidR="001676EC" w:rsidRPr="006879AC" w:rsidRDefault="00740091" w:rsidP="005F25F2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Der kluge Richter</w:t>
          </w:r>
          <w:r w:rsidR="006879AC">
            <w:rPr>
              <w:rFonts w:cs="Arial"/>
              <w:color w:val="FFFFFF" w:themeColor="background1"/>
              <w:sz w:val="20"/>
            </w:rPr>
            <w:t xml:space="preserve"> – </w:t>
          </w:r>
          <w:r w:rsidR="005F25F2">
            <w:rPr>
              <w:rFonts w:cs="Arial"/>
              <w:color w:val="FFFFFF" w:themeColor="background1"/>
              <w:sz w:val="20"/>
            </w:rPr>
            <w:t>Deutung</w:t>
          </w:r>
        </w:p>
      </w:tc>
      <w:tc>
        <w:tcPr>
          <w:tcW w:w="6560" w:type="dxa"/>
        </w:tcPr>
        <w:p w14:paraId="1C473006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2CC5FD4" w14:textId="77777777" w:rsidTr="00740091">
      <w:trPr>
        <w:trHeight w:val="300"/>
      </w:trPr>
      <w:tc>
        <w:tcPr>
          <w:tcW w:w="4560" w:type="dxa"/>
        </w:tcPr>
        <w:p w14:paraId="0AC74E2A" w14:textId="77777777" w:rsidR="001676EC" w:rsidRDefault="001676EC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1B0E6884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585139E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073A"/>
    <w:rsid w:val="000421E8"/>
    <w:rsid w:val="000C3EA5"/>
    <w:rsid w:val="000C7CC9"/>
    <w:rsid w:val="000E38D7"/>
    <w:rsid w:val="001676EC"/>
    <w:rsid w:val="0017065F"/>
    <w:rsid w:val="00176805"/>
    <w:rsid w:val="00192A3C"/>
    <w:rsid w:val="001B21CA"/>
    <w:rsid w:val="001C3231"/>
    <w:rsid w:val="001F51CD"/>
    <w:rsid w:val="002444B1"/>
    <w:rsid w:val="00291805"/>
    <w:rsid w:val="002B598C"/>
    <w:rsid w:val="002E3BE5"/>
    <w:rsid w:val="003251DF"/>
    <w:rsid w:val="003E3901"/>
    <w:rsid w:val="00407151"/>
    <w:rsid w:val="0042538D"/>
    <w:rsid w:val="005F25F2"/>
    <w:rsid w:val="005F427F"/>
    <w:rsid w:val="006101B3"/>
    <w:rsid w:val="00623846"/>
    <w:rsid w:val="006879AC"/>
    <w:rsid w:val="006F61F5"/>
    <w:rsid w:val="00703895"/>
    <w:rsid w:val="00740091"/>
    <w:rsid w:val="008007D6"/>
    <w:rsid w:val="00827355"/>
    <w:rsid w:val="008705B5"/>
    <w:rsid w:val="008928AA"/>
    <w:rsid w:val="008953C2"/>
    <w:rsid w:val="008C74BC"/>
    <w:rsid w:val="00904310"/>
    <w:rsid w:val="00953159"/>
    <w:rsid w:val="009B2918"/>
    <w:rsid w:val="009C16AF"/>
    <w:rsid w:val="009F5554"/>
    <w:rsid w:val="00A724B1"/>
    <w:rsid w:val="00AE28B0"/>
    <w:rsid w:val="00B10A17"/>
    <w:rsid w:val="00B832BE"/>
    <w:rsid w:val="00C87D43"/>
    <w:rsid w:val="00CC470D"/>
    <w:rsid w:val="00CD1450"/>
    <w:rsid w:val="00D73F6A"/>
    <w:rsid w:val="00DB7F2B"/>
    <w:rsid w:val="00DF0CEB"/>
    <w:rsid w:val="00E129E8"/>
    <w:rsid w:val="00E229FD"/>
    <w:rsid w:val="00E61305"/>
    <w:rsid w:val="00E802CB"/>
    <w:rsid w:val="00E8756F"/>
    <w:rsid w:val="00EC1C08"/>
    <w:rsid w:val="00EE7F77"/>
    <w:rsid w:val="00F6250B"/>
    <w:rsid w:val="00F64172"/>
    <w:rsid w:val="00F833D8"/>
    <w:rsid w:val="00F862CD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D76DE1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32B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customStyle="1" w:styleId="Tabellenstil1">
    <w:name w:val="Tabellenstil 1"/>
    <w:rsid w:val="00A72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unhideWhenUsed/>
    <w:rsid w:val="00F862CD"/>
    <w:pPr>
      <w:spacing w:before="100" w:beforeAutospacing="1" w:after="100" w:afterAutospacing="1"/>
    </w:pPr>
    <w:rPr>
      <w:rFonts w:ascii="Times New Roman" w:hAnsi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55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55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5554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55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5554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7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4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0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2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9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8DFDED-880E-47FC-AA3D-D8050A90FA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1AE37-AE5B-4823-933A-157E1935B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172104-2A73-4431-A239-D90201FE5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16</cp:revision>
  <dcterms:created xsi:type="dcterms:W3CDTF">2021-02-01T11:37:00Z</dcterms:created>
  <dcterms:modified xsi:type="dcterms:W3CDTF">2021-05-16T19:12:00Z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