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10BC9F8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C3120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69CD192" wp14:editId="392091B3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96B76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710610BA" w14:textId="77777777" w:rsidR="007B3D20" w:rsidRPr="00DF3E96" w:rsidRDefault="007A50E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Der Begriff der Wahrscheinlichkeit wird über </w:t>
            </w:r>
            <w:r w:rsidR="006B396F">
              <w:rPr>
                <w:rFonts w:ascii="Arial" w:hAnsi="Arial" w:cs="Arial"/>
                <w:szCs w:val="20"/>
              </w:rPr>
              <w:t>die Diskussion einer</w:t>
            </w:r>
            <w:r w:rsidR="00982223">
              <w:rPr>
                <w:rFonts w:ascii="Arial" w:hAnsi="Arial" w:cs="Arial"/>
                <w:szCs w:val="20"/>
              </w:rPr>
              <w:t xml:space="preserve"> </w:t>
            </w:r>
            <w:r w:rsidR="005A2F32">
              <w:rPr>
                <w:rFonts w:ascii="Arial" w:hAnsi="Arial" w:cs="Arial"/>
                <w:szCs w:val="20"/>
              </w:rPr>
              <w:t>möglichen</w:t>
            </w:r>
            <w:r w:rsidR="006B396F">
              <w:rPr>
                <w:rFonts w:ascii="Arial" w:hAnsi="Arial" w:cs="Arial"/>
                <w:szCs w:val="20"/>
              </w:rPr>
              <w:t xml:space="preserve"> </w:t>
            </w:r>
            <w:r w:rsidR="005A2F32">
              <w:rPr>
                <w:rFonts w:ascii="Arial" w:hAnsi="Arial" w:cs="Arial"/>
                <w:szCs w:val="20"/>
              </w:rPr>
              <w:t>Alltagsv</w:t>
            </w:r>
            <w:r>
              <w:rPr>
                <w:rFonts w:ascii="Arial" w:hAnsi="Arial" w:cs="Arial"/>
                <w:szCs w:val="20"/>
              </w:rPr>
              <w:t xml:space="preserve">erwendung in den Mathematikunterricht eingeführt. Dadurch </w:t>
            </w:r>
            <w:r w:rsidR="006B396F">
              <w:rPr>
                <w:rFonts w:ascii="Arial" w:hAnsi="Arial" w:cs="Arial"/>
                <w:szCs w:val="20"/>
              </w:rPr>
              <w:t>wird</w:t>
            </w:r>
            <w:r>
              <w:rPr>
                <w:rFonts w:ascii="Arial" w:hAnsi="Arial" w:cs="Arial"/>
                <w:szCs w:val="20"/>
              </w:rPr>
              <w:t xml:space="preserve"> die Basis für die im Bildungsplan geforderte „mathematische Wahrnehmung der Umwelt“ im Kontext der Wahrscheinlichkeitsrechnung geschaffen.</w:t>
            </w:r>
          </w:p>
        </w:tc>
      </w:tr>
      <w:tr w:rsidR="007B3D20" w:rsidRPr="00B608C2" w14:paraId="4C3E323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04CD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0CFBAC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E3AEFB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1A8AA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825AB1" wp14:editId="70DE09E5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470F5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7324B6E0" w14:textId="77777777" w:rsidR="00AB1C6F" w:rsidRDefault="00AB1C6F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2BFS | </w:t>
            </w:r>
            <w:r w:rsidR="007A50ED">
              <w:rPr>
                <w:rFonts w:ascii="Arial" w:hAnsi="Arial" w:cs="Arial"/>
                <w:szCs w:val="20"/>
              </w:rPr>
              <w:t>2</w:t>
            </w:r>
            <w:r>
              <w:rPr>
                <w:rFonts w:ascii="Arial" w:hAnsi="Arial" w:cs="Arial"/>
                <w:szCs w:val="20"/>
              </w:rPr>
              <w:t>. Jahr</w:t>
            </w:r>
            <w:r w:rsidR="008C730C">
              <w:rPr>
                <w:rFonts w:ascii="Arial" w:hAnsi="Arial" w:cs="Arial"/>
                <w:szCs w:val="20"/>
              </w:rPr>
              <w:t xml:space="preserve"> | </w:t>
            </w:r>
            <w:r>
              <w:rPr>
                <w:rFonts w:ascii="Arial" w:hAnsi="Arial" w:cs="Arial"/>
                <w:szCs w:val="20"/>
              </w:rPr>
              <w:t xml:space="preserve">BPE </w:t>
            </w:r>
            <w:r w:rsidR="008C730C">
              <w:rPr>
                <w:rFonts w:ascii="Arial" w:hAnsi="Arial" w:cs="Arial"/>
                <w:szCs w:val="20"/>
              </w:rPr>
              <w:t>4</w:t>
            </w:r>
            <w:r>
              <w:rPr>
                <w:rFonts w:ascii="Arial" w:hAnsi="Arial" w:cs="Arial"/>
                <w:szCs w:val="20"/>
              </w:rPr>
              <w:t>.</w:t>
            </w:r>
            <w:r w:rsidR="008C730C">
              <w:rPr>
                <w:rFonts w:ascii="Arial" w:hAnsi="Arial" w:cs="Arial"/>
                <w:szCs w:val="20"/>
              </w:rPr>
              <w:t>1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8C730C">
              <w:rPr>
                <w:rFonts w:ascii="Arial" w:hAnsi="Arial" w:cs="Arial"/>
                <w:szCs w:val="20"/>
              </w:rPr>
              <w:t xml:space="preserve">(Kompetenzschwerpunkt </w:t>
            </w:r>
            <w:r w:rsidR="008C730C" w:rsidRPr="008C730C">
              <w:rPr>
                <w:rFonts w:ascii="Arial" w:hAnsi="Arial" w:cs="Arial"/>
                <w:i/>
                <w:iCs/>
                <w:szCs w:val="20"/>
              </w:rPr>
              <w:t>Argumentieren</w:t>
            </w:r>
            <w:r w:rsidR="008C730C">
              <w:rPr>
                <w:rFonts w:ascii="Arial" w:hAnsi="Arial" w:cs="Arial"/>
                <w:szCs w:val="20"/>
              </w:rPr>
              <w:t>)</w:t>
            </w:r>
          </w:p>
          <w:p w14:paraId="62889EA4" w14:textId="77777777" w:rsidR="007B3D20" w:rsidRPr="00DF3E96" w:rsidRDefault="007B3D20" w:rsidP="00AB1C6F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B608C2" w14:paraId="565E615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C10A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37E7E58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266495" w:rsidRPr="00B608C2" w14:paraId="70C180AE" w14:textId="77777777" w:rsidTr="0032357C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C8F788" w14:textId="77777777" w:rsidR="00266495" w:rsidRPr="00B608C2" w:rsidRDefault="00266495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12E8EFB" wp14:editId="422FDF2B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CD0DB3" w14:textId="77777777" w:rsidR="00266495" w:rsidRDefault="00266495" w:rsidP="00266495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</w:t>
            </w:r>
            <w:r>
              <w:rPr>
                <w:rFonts w:ascii="Arial" w:hAnsi="Arial" w:cs="Arial"/>
                <w:b/>
                <w:szCs w:val="20"/>
              </w:rPr>
              <w:t>|</w:t>
            </w:r>
            <w:r w:rsidRPr="00DF3E96">
              <w:rPr>
                <w:rFonts w:ascii="Arial" w:hAnsi="Arial" w:cs="Arial"/>
                <w:b/>
                <w:szCs w:val="20"/>
              </w:rPr>
              <w:t xml:space="preserve"> Kenntnisse:</w:t>
            </w:r>
          </w:p>
          <w:p w14:paraId="52935814" w14:textId="77777777" w:rsidR="00266495" w:rsidRPr="00266495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266495">
              <w:rPr>
                <w:rFonts w:ascii="Arial" w:hAnsi="Arial" w:cs="Arial"/>
                <w:i/>
                <w:szCs w:val="20"/>
              </w:rPr>
              <w:t xml:space="preserve">Vorwissen: </w:t>
            </w:r>
          </w:p>
          <w:p w14:paraId="79A6DF1D" w14:textId="21E00A40" w:rsidR="00266495" w:rsidRDefault="008C730C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Lebenserfahrung der Schülerinnen und Schülern.</w:t>
            </w:r>
          </w:p>
          <w:p w14:paraId="11CA524D" w14:textId="77777777" w:rsidR="00266495" w:rsidRDefault="0026649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19C403B4" w14:textId="77777777" w:rsidR="00266495" w:rsidRPr="00266495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266495">
              <w:rPr>
                <w:rFonts w:ascii="Arial" w:hAnsi="Arial" w:cs="Arial"/>
                <w:i/>
                <w:szCs w:val="20"/>
              </w:rPr>
              <w:t xml:space="preserve">Kenntnisse: </w:t>
            </w:r>
          </w:p>
          <w:p w14:paraId="0FCEDEEB" w14:textId="77777777" w:rsidR="00266495" w:rsidRDefault="00266495" w:rsidP="00266495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F16D7">
              <w:rPr>
                <w:rFonts w:ascii="Arial" w:hAnsi="Arial" w:cs="Arial"/>
                <w:szCs w:val="20"/>
              </w:rPr>
              <w:t>Die Schülerinnen und Schüler</w:t>
            </w:r>
          </w:p>
          <w:p w14:paraId="0E4A9EA3" w14:textId="77777777" w:rsidR="00266495" w:rsidRDefault="008C730C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setzen sich mit ihren kontextbezogenen Vorerfahrungen auseinander</w:t>
            </w:r>
            <w:r w:rsidR="00391D8A">
              <w:rPr>
                <w:rFonts w:ascii="Arial" w:hAnsi="Arial" w:cs="Arial"/>
                <w:szCs w:val="20"/>
              </w:rPr>
              <w:t xml:space="preserve"> (im Sinne einer deskriptiven Sichtweise </w:t>
            </w:r>
            <w:r w:rsidR="00C05CFE">
              <w:rPr>
                <w:rFonts w:ascii="Arial" w:hAnsi="Arial" w:cs="Arial"/>
                <w:szCs w:val="20"/>
              </w:rPr>
              <w:t>auf Individualvorstellungen</w:t>
            </w:r>
            <w:r w:rsidR="00217101">
              <w:rPr>
                <w:rFonts w:ascii="Arial" w:hAnsi="Arial" w:cs="Arial"/>
                <w:szCs w:val="20"/>
              </w:rPr>
              <w:t xml:space="preserve"> in</w:t>
            </w:r>
            <w:r w:rsidR="00391D8A">
              <w:rPr>
                <w:rFonts w:ascii="Arial" w:hAnsi="Arial" w:cs="Arial"/>
                <w:szCs w:val="20"/>
              </w:rPr>
              <w:t xml:space="preserve"> der Wahrscheinlichkeitsrechnung).</w:t>
            </w:r>
          </w:p>
          <w:p w14:paraId="5FB48EB5" w14:textId="77777777" w:rsidR="00266495" w:rsidRDefault="008C730C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argumentieren</w:t>
            </w:r>
            <w:r w:rsidR="000238D0">
              <w:rPr>
                <w:rFonts w:ascii="Arial" w:hAnsi="Arial" w:cs="Arial"/>
                <w:szCs w:val="20"/>
              </w:rPr>
              <w:t xml:space="preserve"> mathematisch</w:t>
            </w:r>
            <w:r>
              <w:rPr>
                <w:rFonts w:ascii="Arial" w:hAnsi="Arial" w:cs="Arial"/>
                <w:szCs w:val="20"/>
              </w:rPr>
              <w:t xml:space="preserve"> für sich und im Gespräch mit einem Partner.</w:t>
            </w:r>
          </w:p>
          <w:p w14:paraId="2CD39823" w14:textId="2E2F162C" w:rsidR="00AE3724" w:rsidRDefault="00230979" w:rsidP="00AE372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beschreiben </w:t>
            </w:r>
            <w:r w:rsidR="00AE3724">
              <w:rPr>
                <w:rFonts w:ascii="Arial" w:hAnsi="Arial" w:cs="Arial"/>
                <w:szCs w:val="20"/>
              </w:rPr>
              <w:t xml:space="preserve">eine </w:t>
            </w:r>
            <w:r w:rsidR="00AE3724" w:rsidRPr="0066230D">
              <w:rPr>
                <w:rFonts w:ascii="Arial" w:hAnsi="Arial" w:cs="Arial"/>
                <w:i/>
                <w:iCs/>
                <w:szCs w:val="20"/>
              </w:rPr>
              <w:t xml:space="preserve">Wahrscheinlichkeit als </w:t>
            </w:r>
            <w:r w:rsidR="00C05CFE">
              <w:rPr>
                <w:rFonts w:ascii="Arial" w:hAnsi="Arial" w:cs="Arial"/>
                <w:i/>
                <w:iCs/>
                <w:szCs w:val="20"/>
              </w:rPr>
              <w:t>Maß für die</w:t>
            </w:r>
            <w:r w:rsidR="00AE3724" w:rsidRPr="0066230D">
              <w:rPr>
                <w:rFonts w:ascii="Arial" w:hAnsi="Arial" w:cs="Arial"/>
                <w:i/>
                <w:iCs/>
                <w:szCs w:val="20"/>
              </w:rPr>
              <w:t xml:space="preserve"> Erwartung</w:t>
            </w:r>
            <w:r w:rsidR="0066230D">
              <w:rPr>
                <w:rFonts w:ascii="Arial" w:hAnsi="Arial" w:cs="Arial"/>
                <w:i/>
                <w:iCs/>
                <w:szCs w:val="20"/>
              </w:rPr>
              <w:t>*</w:t>
            </w:r>
            <w:r w:rsidR="00AE3724">
              <w:rPr>
                <w:rFonts w:ascii="Arial" w:hAnsi="Arial" w:cs="Arial"/>
                <w:szCs w:val="20"/>
              </w:rPr>
              <w:t xml:space="preserve">, </w:t>
            </w:r>
            <w:r w:rsidR="00AE3724" w:rsidRPr="00F67D9A">
              <w:rPr>
                <w:rFonts w:ascii="Arial" w:hAnsi="Arial" w:cs="Arial"/>
                <w:szCs w:val="20"/>
              </w:rPr>
              <w:t>d</w:t>
            </w:r>
            <w:r w:rsidR="00950770">
              <w:rPr>
                <w:rFonts w:ascii="Arial" w:hAnsi="Arial" w:cs="Arial"/>
                <w:szCs w:val="20"/>
              </w:rPr>
              <w:t>as</w:t>
            </w:r>
            <w:r w:rsidR="00AE3724" w:rsidRPr="00F67D9A">
              <w:rPr>
                <w:rFonts w:ascii="Arial" w:hAnsi="Arial" w:cs="Arial"/>
                <w:szCs w:val="20"/>
              </w:rPr>
              <w:t xml:space="preserve"> mit </w:t>
            </w:r>
            <w:r w:rsidR="000C22DD">
              <w:rPr>
                <w:rFonts w:ascii="Arial" w:hAnsi="Arial" w:cs="Arial"/>
                <w:szCs w:val="20"/>
              </w:rPr>
              <w:t xml:space="preserve">einer </w:t>
            </w:r>
            <w:r w:rsidR="00AE3724" w:rsidRPr="00F67D9A">
              <w:rPr>
                <w:rFonts w:ascii="Arial" w:hAnsi="Arial" w:cs="Arial"/>
                <w:szCs w:val="20"/>
              </w:rPr>
              <w:t xml:space="preserve">Zahl </w:t>
            </w:r>
            <w:r w:rsidR="00AE3724">
              <w:rPr>
                <w:rFonts w:ascii="Arial" w:hAnsi="Arial" w:cs="Arial"/>
                <w:szCs w:val="20"/>
              </w:rPr>
              <w:t>im Intervall [0;1] angegeben werden kann.</w:t>
            </w:r>
          </w:p>
          <w:p w14:paraId="4C803D26" w14:textId="77777777" w:rsidR="0066230D" w:rsidRDefault="0066230D" w:rsidP="0066230D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6EB6AAC0" w14:textId="77777777" w:rsidR="0066230D" w:rsidRPr="0066230D" w:rsidRDefault="0066230D" w:rsidP="0066230D">
            <w:pPr>
              <w:pStyle w:val="TabellerechteSpalte"/>
              <w:rPr>
                <w:rFonts w:ascii="Arial" w:hAnsi="Arial" w:cs="Arial"/>
                <w:i/>
                <w:iCs/>
                <w:szCs w:val="20"/>
              </w:rPr>
            </w:pPr>
            <w:r w:rsidRPr="0066230D">
              <w:rPr>
                <w:rFonts w:ascii="Arial" w:hAnsi="Arial" w:cs="Arial"/>
                <w:i/>
                <w:iCs/>
                <w:szCs w:val="20"/>
              </w:rPr>
              <w:t>*Hierbei handelt es sich um eine der inhaltlichen Grundvorstellungen zu</w:t>
            </w:r>
            <w:r w:rsidR="00C05CFE">
              <w:rPr>
                <w:rFonts w:ascii="Arial" w:hAnsi="Arial" w:cs="Arial"/>
                <w:i/>
                <w:iCs/>
                <w:szCs w:val="20"/>
              </w:rPr>
              <w:t>m</w:t>
            </w:r>
            <w:r w:rsidRPr="0066230D">
              <w:rPr>
                <w:rFonts w:ascii="Arial" w:hAnsi="Arial" w:cs="Arial"/>
                <w:i/>
                <w:iCs/>
                <w:szCs w:val="20"/>
              </w:rPr>
              <w:t xml:space="preserve"> Wahrscheinlichkeits</w:t>
            </w:r>
            <w:r w:rsidR="00C05CFE">
              <w:rPr>
                <w:rFonts w:ascii="Arial" w:hAnsi="Arial" w:cs="Arial"/>
                <w:i/>
                <w:iCs/>
                <w:szCs w:val="20"/>
              </w:rPr>
              <w:t>begriff</w:t>
            </w:r>
            <w:r w:rsidRPr="0066230D">
              <w:rPr>
                <w:rFonts w:ascii="Arial" w:hAnsi="Arial" w:cs="Arial"/>
                <w:i/>
                <w:iCs/>
                <w:szCs w:val="20"/>
              </w:rPr>
              <w:t>.</w:t>
            </w:r>
          </w:p>
        </w:tc>
      </w:tr>
      <w:tr w:rsidR="007B3D20" w:rsidRPr="00B608C2" w14:paraId="56ECD35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29A0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98B0FE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84C2CA3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74E86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1914000" wp14:editId="7C510F7F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5E04A6E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73841D45" w14:textId="77777777" w:rsidR="007B3D20" w:rsidRDefault="008C730C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 x 45 Minuten</w:t>
            </w:r>
          </w:p>
          <w:p w14:paraId="2E63DE19" w14:textId="77777777" w:rsidR="00BC333F" w:rsidRPr="00DF3E96" w:rsidRDefault="00BC333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89A64B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954F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71D42D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464064" w14:paraId="7939543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175B5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CCC70A0" wp14:editId="5A097CC5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17C05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</w:t>
            </w:r>
            <w:r w:rsidR="00FF5BAA">
              <w:rPr>
                <w:rFonts w:ascii="Arial" w:hAnsi="Arial" w:cs="Arial"/>
                <w:b/>
                <w:szCs w:val="20"/>
              </w:rPr>
              <w:t>:</w:t>
            </w:r>
          </w:p>
          <w:p w14:paraId="1F39C7C2" w14:textId="77777777" w:rsidR="00FF5BAA" w:rsidRDefault="005862D7" w:rsidP="00FF5BAA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14:paraId="06B11959" w14:textId="77777777" w:rsidR="00FF5BAA" w:rsidRPr="00E875BF" w:rsidRDefault="008A3AFF" w:rsidP="00FF5BAA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GeoGebra-Classroom</w:t>
            </w:r>
            <w:r w:rsidR="004160A6">
              <w:rPr>
                <w:rFonts w:ascii="Arial" w:hAnsi="Arial" w:cs="Arial"/>
                <w:szCs w:val="20"/>
              </w:rPr>
              <w:t xml:space="preserve"> (Account für Lehrer nötig, siehe dazu auch die </w:t>
            </w:r>
            <w:proofErr w:type="spellStart"/>
            <w:r w:rsidR="004160A6">
              <w:rPr>
                <w:rFonts w:ascii="Arial" w:hAnsi="Arial" w:cs="Arial"/>
                <w:szCs w:val="20"/>
              </w:rPr>
              <w:t>GeoGebra</w:t>
            </w:r>
            <w:proofErr w:type="spellEnd"/>
            <w:r w:rsidR="004160A6">
              <w:rPr>
                <w:rFonts w:ascii="Arial" w:hAnsi="Arial" w:cs="Arial"/>
                <w:szCs w:val="20"/>
              </w:rPr>
              <w:t>-</w:t>
            </w:r>
            <w:r w:rsidR="004160A6" w:rsidRPr="00E875BF">
              <w:rPr>
                <w:rFonts w:ascii="Arial" w:hAnsi="Arial" w:cs="Arial"/>
                <w:szCs w:val="20"/>
              </w:rPr>
              <w:t>Informationsdatei)</w:t>
            </w:r>
          </w:p>
          <w:p w14:paraId="532623D4" w14:textId="2D977C66" w:rsidR="00FF5BAA" w:rsidRPr="00FF5BAA" w:rsidRDefault="00FF5BAA" w:rsidP="00FF5BAA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  <w:lang w:val="en-US"/>
              </w:rPr>
            </w:pPr>
            <w:proofErr w:type="spellStart"/>
            <w:r w:rsidRPr="00E875BF">
              <w:rPr>
                <w:rFonts w:ascii="Arial" w:hAnsi="Arial" w:cs="Arial"/>
                <w:szCs w:val="20"/>
              </w:rPr>
              <w:t>Kollaboratives</w:t>
            </w:r>
            <w:proofErr w:type="spellEnd"/>
            <w:r w:rsidRPr="00E875BF">
              <w:rPr>
                <w:rFonts w:ascii="Arial" w:hAnsi="Arial" w:cs="Arial"/>
                <w:szCs w:val="20"/>
              </w:rPr>
              <w:t xml:space="preserve"> Whiteboard (z.</w:t>
            </w:r>
            <w:r w:rsidR="002A176F">
              <w:rPr>
                <w:rFonts w:ascii="Arial" w:hAnsi="Arial" w:cs="Arial"/>
                <w:szCs w:val="20"/>
              </w:rPr>
              <w:t xml:space="preserve"> </w:t>
            </w:r>
            <w:r w:rsidRPr="00E875BF">
              <w:rPr>
                <w:rFonts w:ascii="Arial" w:hAnsi="Arial" w:cs="Arial"/>
                <w:szCs w:val="20"/>
              </w:rPr>
              <w:t>B. WBO-Board</w:t>
            </w:r>
            <w:r w:rsidR="00E875BF" w:rsidRPr="00E875BF">
              <w:rPr>
                <w:rFonts w:ascii="Arial" w:hAnsi="Arial" w:cs="Arial"/>
                <w:szCs w:val="20"/>
              </w:rPr>
              <w:t xml:space="preserve"> (ohne Account nutzbar</w:t>
            </w:r>
            <w:r w:rsidRPr="00E875BF">
              <w:rPr>
                <w:rFonts w:ascii="Arial" w:hAnsi="Arial" w:cs="Arial"/>
                <w:szCs w:val="20"/>
              </w:rPr>
              <w:t>)</w:t>
            </w:r>
            <w:r w:rsidR="00E875BF" w:rsidRPr="00E875BF">
              <w:rPr>
                <w:rFonts w:ascii="Arial" w:hAnsi="Arial" w:cs="Arial"/>
                <w:szCs w:val="20"/>
              </w:rPr>
              <w:t xml:space="preserve">, </w:t>
            </w:r>
            <w:proofErr w:type="spellStart"/>
            <w:r w:rsidR="00E875BF" w:rsidRPr="00E875BF">
              <w:rPr>
                <w:rFonts w:ascii="Arial" w:hAnsi="Arial" w:cs="Arial"/>
                <w:szCs w:val="20"/>
              </w:rPr>
              <w:t>Flinga</w:t>
            </w:r>
            <w:proofErr w:type="spellEnd"/>
            <w:r w:rsidR="00E875BF" w:rsidRPr="00E875BF">
              <w:rPr>
                <w:rFonts w:ascii="Arial" w:hAnsi="Arial" w:cs="Arial"/>
                <w:szCs w:val="20"/>
              </w:rPr>
              <w:t xml:space="preserve"> (Lehrkraft benötigt Account))</w:t>
            </w:r>
          </w:p>
        </w:tc>
      </w:tr>
      <w:tr w:rsidR="007B3D20" w:rsidRPr="00464064" w14:paraId="3E511C6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04714" w14:textId="77777777" w:rsidR="007B3D20" w:rsidRPr="00FF5BAA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38B3B" w14:textId="77777777" w:rsidR="007B3D20" w:rsidRPr="00FF5BAA" w:rsidRDefault="007B3D20" w:rsidP="007B3D20">
            <w:pPr>
              <w:pStyle w:val="TabellerechteSpalte"/>
              <w:rPr>
                <w:rFonts w:ascii="Arial" w:hAnsi="Arial" w:cs="Arial"/>
                <w:szCs w:val="20"/>
                <w:lang w:val="en-US"/>
              </w:rPr>
            </w:pPr>
          </w:p>
        </w:tc>
      </w:tr>
      <w:tr w:rsidR="007B3D20" w:rsidRPr="00FF5BAA" w14:paraId="0A49F12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BC015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90478D1" wp14:editId="7B9BCF4D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84CE" w14:textId="77777777" w:rsidR="007B3D20" w:rsidRDefault="00FF5BAA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Zusätzlich benötigte</w:t>
            </w:r>
            <w:r w:rsidR="007B3D20">
              <w:rPr>
                <w:rFonts w:ascii="Arial" w:hAnsi="Arial" w:cs="Arial"/>
                <w:b/>
                <w:szCs w:val="20"/>
              </w:rPr>
              <w:t xml:space="preserve"> Materialien:</w:t>
            </w:r>
          </w:p>
          <w:p w14:paraId="232CD73C" w14:textId="77777777" w:rsidR="000F5B89" w:rsidRPr="00FF5BAA" w:rsidRDefault="00FF5BAA" w:rsidP="007B3D2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SuS: </w:t>
            </w:r>
            <w:r>
              <w:rPr>
                <w:rFonts w:ascii="Arial" w:hAnsi="Arial" w:cs="Arial"/>
                <w:szCs w:val="20"/>
              </w:rPr>
              <w:tab/>
            </w:r>
            <w:r w:rsidR="000F16D7">
              <w:rPr>
                <w:rFonts w:ascii="Arial" w:hAnsi="Arial" w:cs="Arial"/>
                <w:szCs w:val="20"/>
              </w:rPr>
              <w:t>Arbeitsblätter (siehe Phasenplan)</w:t>
            </w:r>
          </w:p>
        </w:tc>
      </w:tr>
      <w:tr w:rsidR="007B3D20" w:rsidRPr="00FF5BAA" w14:paraId="2D910CB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4AB79" w14:textId="77777777" w:rsidR="007B3D20" w:rsidRPr="000F5B89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23200B" w14:textId="77777777" w:rsidR="007B3D20" w:rsidRPr="000F5B89" w:rsidRDefault="007B3D20" w:rsidP="007B3D20">
            <w:pPr>
              <w:pStyle w:val="TabellerechteSpalte"/>
              <w:rPr>
                <w:rFonts w:ascii="Arial" w:hAnsi="Arial" w:cs="Arial"/>
                <w:szCs w:val="20"/>
                <w:lang w:val="en-US"/>
              </w:rPr>
            </w:pPr>
          </w:p>
        </w:tc>
      </w:tr>
      <w:tr w:rsidR="007B3D20" w:rsidRPr="00B608C2" w14:paraId="1740271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A2276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36CB3F6" wp14:editId="1C40A8EE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0FC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  <w:r w:rsidR="005862D7">
              <w:rPr>
                <w:rFonts w:ascii="Arial" w:hAnsi="Arial" w:cs="Arial"/>
                <w:b/>
                <w:szCs w:val="20"/>
              </w:rPr>
              <w:br/>
            </w:r>
            <w:r w:rsidR="008C730C">
              <w:rPr>
                <w:rFonts w:ascii="Arial" w:hAnsi="Arial" w:cs="Arial"/>
                <w:szCs w:val="20"/>
              </w:rPr>
              <w:t>Das zur Verfügung gestellte Arbeitsblatt wird im digitalen oder klassischen Schulheft gesichert</w:t>
            </w:r>
            <w:r w:rsidR="000E41A3"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14:paraId="015F9CC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7DF5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AEF0F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4432763" w14:textId="77777777" w:rsidTr="000F16D7">
        <w:trPr>
          <w:trHeight w:val="610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0D94B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79D6DA7" wp14:editId="6D848C89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334F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22302230" w14:textId="77777777" w:rsidR="000E41A3" w:rsidRDefault="000E41A3" w:rsidP="000E41A3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Im weiteren Verlauf der Unterrichtseinheit zur Wahrscheinlichkeitsrechnung sollte die Eingangsmotivation ggf. nochmals aufgegriffen und mit den dann hinzugekommen Fachbegriffen</w:t>
            </w:r>
            <w:r w:rsidR="009C1D26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beleuchtet werden.</w:t>
            </w:r>
          </w:p>
          <w:p w14:paraId="2B9C3FAA" w14:textId="77777777" w:rsidR="009D24A2" w:rsidRPr="00427F12" w:rsidRDefault="00D82112" w:rsidP="00427F12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 w:rsidRPr="000E41A3">
              <w:rPr>
                <w:rFonts w:ascii="Arial" w:hAnsi="Arial" w:cs="Arial"/>
                <w:szCs w:val="20"/>
              </w:rPr>
              <w:t xml:space="preserve">Weitere fachdidaktische Erläuterungen finden sich auch in der </w:t>
            </w:r>
            <w:hyperlink r:id="rId18" w:history="1">
              <w:r w:rsidRPr="000E41A3">
                <w:rPr>
                  <w:rStyle w:val="Hyperlink"/>
                  <w:rFonts w:ascii="Arial" w:hAnsi="Arial" w:cs="Arial"/>
                  <w:szCs w:val="20"/>
                </w:rPr>
                <w:t>Handreichung zum neuen Bildungsplan – Mathematik für die Berufsfachschule</w:t>
              </w:r>
            </w:hyperlink>
            <w:r w:rsidRPr="000E41A3">
              <w:rPr>
                <w:rFonts w:ascii="Arial" w:hAnsi="Arial" w:cs="Arial"/>
                <w:szCs w:val="20"/>
              </w:rPr>
              <w:t>.</w:t>
            </w:r>
            <w:r w:rsidR="00AC70DD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B608C2" w14:paraId="1CBC3B6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AD78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3A683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9619F7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40A8B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1106121" wp14:editId="3C6ADE1E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4CEA4" w14:textId="77777777" w:rsidR="000F16D7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02C84DE9" w14:textId="77777777" w:rsidR="007B3D20" w:rsidRPr="00DF3E96" w:rsidRDefault="00FC0D6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einzelnen Abfragen, welche auf der digitalen Pinnwand dargestellt werden, können beispielsweise auch </w:t>
            </w:r>
            <w:r w:rsidR="00EC54B6">
              <w:rPr>
                <w:rFonts w:ascii="Arial" w:hAnsi="Arial" w:cs="Arial"/>
                <w:szCs w:val="20"/>
              </w:rPr>
              <w:t xml:space="preserve">klassisch </w:t>
            </w:r>
            <w:r>
              <w:rPr>
                <w:rFonts w:ascii="Arial" w:hAnsi="Arial" w:cs="Arial"/>
                <w:szCs w:val="20"/>
              </w:rPr>
              <w:t>über Metaplankarten und -wände realisiert werden.</w:t>
            </w:r>
          </w:p>
        </w:tc>
      </w:tr>
    </w:tbl>
    <w:p w14:paraId="112E6395" w14:textId="77777777" w:rsidR="000C3EA5" w:rsidRDefault="000C3EA5">
      <w:pPr>
        <w:rPr>
          <w:rFonts w:cs="Arial"/>
        </w:rPr>
      </w:pPr>
    </w:p>
    <w:p w14:paraId="3BAF1815" w14:textId="77777777" w:rsidR="001676EC" w:rsidRDefault="001676EC">
      <w:pPr>
        <w:rPr>
          <w:rFonts w:cs="Arial"/>
        </w:rPr>
      </w:pPr>
    </w:p>
    <w:p w14:paraId="473BA602" w14:textId="77777777" w:rsidR="00DF3E96" w:rsidRDefault="00DF3E96">
      <w:pPr>
        <w:spacing w:after="160" w:line="259" w:lineRule="auto"/>
        <w:rPr>
          <w:rFonts w:cs="Arial"/>
        </w:rPr>
      </w:pPr>
    </w:p>
    <w:p w14:paraId="565C8666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4260C" w14:textId="77777777" w:rsidR="00EC676E" w:rsidRDefault="00EC676E" w:rsidP="001676EC">
      <w:r>
        <w:separator/>
      </w:r>
    </w:p>
  </w:endnote>
  <w:endnote w:type="continuationSeparator" w:id="0">
    <w:p w14:paraId="61E4DEB5" w14:textId="77777777" w:rsidR="00EC676E" w:rsidRDefault="00EC676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F361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B8F6111" wp14:editId="068BAB1C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EC126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66495" w:rsidRPr="0026649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66495" w:rsidRPr="0026649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7301429" wp14:editId="4A822B35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EC06093" wp14:editId="3545DCD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3509AD" wp14:editId="11C12431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EA5A54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3C32EE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375A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89E6858" wp14:editId="1015C30D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D2678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F6E63" w:rsidRPr="00BF6E6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F6E63" w:rsidRPr="00BF6E6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DE87D5A" wp14:editId="4B1D9EF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6754B3" wp14:editId="79292600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2028BF3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6BFBAB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AA3B913" wp14:editId="35FFD71C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C0B80" w14:textId="77777777" w:rsidR="00EC676E" w:rsidRDefault="00EC676E" w:rsidP="001676EC">
      <w:r>
        <w:separator/>
      </w:r>
    </w:p>
  </w:footnote>
  <w:footnote w:type="continuationSeparator" w:id="0">
    <w:p w14:paraId="4FEDB1EA" w14:textId="77777777" w:rsidR="00EC676E" w:rsidRDefault="00EC676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EC54B6" w:rsidRPr="00DF3E96" w14:paraId="21EE1335" w14:textId="77777777" w:rsidTr="00EF3642">
      <w:trPr>
        <w:trHeight w:val="300"/>
      </w:trPr>
      <w:tc>
        <w:tcPr>
          <w:tcW w:w="1425" w:type="dxa"/>
        </w:tcPr>
        <w:p w14:paraId="0B7B265A" w14:textId="77777777" w:rsidR="00EC54B6" w:rsidRPr="00DF3E96" w:rsidRDefault="00EC54B6" w:rsidP="00EC54B6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Thema</w:t>
          </w:r>
        </w:p>
      </w:tc>
      <w:tc>
        <w:tcPr>
          <w:tcW w:w="6560" w:type="dxa"/>
        </w:tcPr>
        <w:p w14:paraId="0E7B0EA9" w14:textId="77777777" w:rsidR="00EC54B6" w:rsidRPr="00542A0A" w:rsidRDefault="00EC54B6" w:rsidP="00EC54B6">
          <w:pPr>
            <w:rPr>
              <w:rFonts w:cs="Arial"/>
              <w:b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Wahrscheinlichkeit: Vom Alltagsbegriff zur Mathematik</w:t>
          </w:r>
        </w:p>
      </w:tc>
    </w:tr>
  </w:tbl>
  <w:p w14:paraId="4563995E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264B0B4" wp14:editId="7BDBD53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FF7F12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E48B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9962652" wp14:editId="5048EC4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9CC63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55EB906B" w14:textId="77777777" w:rsidTr="00EF3642">
      <w:trPr>
        <w:trHeight w:val="300"/>
      </w:trPr>
      <w:tc>
        <w:tcPr>
          <w:tcW w:w="1537" w:type="dxa"/>
        </w:tcPr>
        <w:p w14:paraId="1942B554" w14:textId="77777777" w:rsidR="001676EC" w:rsidRPr="00BF6E6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F6E6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F6E6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2F33164F" w14:textId="77777777" w:rsidR="001676EC" w:rsidRPr="00542A0A" w:rsidRDefault="007A50ED" w:rsidP="001676EC">
          <w:pPr>
            <w:rPr>
              <w:rFonts w:cs="Arial"/>
              <w:b/>
              <w:color w:val="FFFFFF" w:themeColor="background1"/>
              <w:sz w:val="22"/>
            </w:rPr>
          </w:pPr>
          <w:r>
            <w:rPr>
              <w:rFonts w:cs="Arial"/>
              <w:b/>
              <w:color w:val="FFFFFF" w:themeColor="background1"/>
              <w:sz w:val="22"/>
            </w:rPr>
            <w:t>Wahrscheinlichkeit: Vom Alltagsbegriff zur Mathematik</w:t>
          </w:r>
        </w:p>
      </w:tc>
    </w:tr>
    <w:tr w:rsidR="001676EC" w:rsidRPr="00DF3E96" w14:paraId="4A0B82C8" w14:textId="77777777" w:rsidTr="00EF3642">
      <w:trPr>
        <w:trHeight w:val="300"/>
      </w:trPr>
      <w:tc>
        <w:tcPr>
          <w:tcW w:w="1537" w:type="dxa"/>
        </w:tcPr>
        <w:p w14:paraId="491029CB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0C20312F" w14:textId="77777777" w:rsidR="001676EC" w:rsidRPr="00BF6E63" w:rsidRDefault="007A50ED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Wahrscheinlichkeitsrechnung</w:t>
          </w:r>
        </w:p>
      </w:tc>
    </w:tr>
  </w:tbl>
  <w:p w14:paraId="36A5210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1E6F34"/>
    <w:multiLevelType w:val="hybridMultilevel"/>
    <w:tmpl w:val="F1145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238D0"/>
    <w:rsid w:val="000A29F3"/>
    <w:rsid w:val="000C22DD"/>
    <w:rsid w:val="000C3E0F"/>
    <w:rsid w:val="000C3EA5"/>
    <w:rsid w:val="000E41A3"/>
    <w:rsid w:val="000F16D7"/>
    <w:rsid w:val="000F40E0"/>
    <w:rsid w:val="000F5B89"/>
    <w:rsid w:val="00132E75"/>
    <w:rsid w:val="001676EC"/>
    <w:rsid w:val="00180C09"/>
    <w:rsid w:val="001D40A5"/>
    <w:rsid w:val="001E23BD"/>
    <w:rsid w:val="001F3FC7"/>
    <w:rsid w:val="00217101"/>
    <w:rsid w:val="0021789E"/>
    <w:rsid w:val="00230979"/>
    <w:rsid w:val="002444B1"/>
    <w:rsid w:val="00266495"/>
    <w:rsid w:val="002A176F"/>
    <w:rsid w:val="002D35B0"/>
    <w:rsid w:val="002E3BE5"/>
    <w:rsid w:val="00350128"/>
    <w:rsid w:val="00391D8A"/>
    <w:rsid w:val="003930E2"/>
    <w:rsid w:val="003D2CB7"/>
    <w:rsid w:val="004160A6"/>
    <w:rsid w:val="00427F12"/>
    <w:rsid w:val="00432A73"/>
    <w:rsid w:val="00464064"/>
    <w:rsid w:val="00542A0A"/>
    <w:rsid w:val="00573CA9"/>
    <w:rsid w:val="005862D7"/>
    <w:rsid w:val="005A2F32"/>
    <w:rsid w:val="0066230D"/>
    <w:rsid w:val="006B396F"/>
    <w:rsid w:val="0070735A"/>
    <w:rsid w:val="00721BA8"/>
    <w:rsid w:val="007662AD"/>
    <w:rsid w:val="007950E8"/>
    <w:rsid w:val="007A50ED"/>
    <w:rsid w:val="007B3D20"/>
    <w:rsid w:val="007D2F82"/>
    <w:rsid w:val="00823B43"/>
    <w:rsid w:val="00827355"/>
    <w:rsid w:val="0088152E"/>
    <w:rsid w:val="0088277A"/>
    <w:rsid w:val="008A3AFF"/>
    <w:rsid w:val="008C730C"/>
    <w:rsid w:val="008D0C5A"/>
    <w:rsid w:val="00936016"/>
    <w:rsid w:val="00943FFD"/>
    <w:rsid w:val="00950770"/>
    <w:rsid w:val="00982223"/>
    <w:rsid w:val="009C1D26"/>
    <w:rsid w:val="009D24A2"/>
    <w:rsid w:val="00AA7416"/>
    <w:rsid w:val="00AB1C6F"/>
    <w:rsid w:val="00AC70DD"/>
    <w:rsid w:val="00AE3724"/>
    <w:rsid w:val="00B16B75"/>
    <w:rsid w:val="00B27E3D"/>
    <w:rsid w:val="00B347A8"/>
    <w:rsid w:val="00B608C2"/>
    <w:rsid w:val="00BC333F"/>
    <w:rsid w:val="00BE071D"/>
    <w:rsid w:val="00BE4E51"/>
    <w:rsid w:val="00BF6E63"/>
    <w:rsid w:val="00C05CFE"/>
    <w:rsid w:val="00C7476D"/>
    <w:rsid w:val="00C756FE"/>
    <w:rsid w:val="00CB1967"/>
    <w:rsid w:val="00CF765B"/>
    <w:rsid w:val="00D82112"/>
    <w:rsid w:val="00DF3E96"/>
    <w:rsid w:val="00E73B3D"/>
    <w:rsid w:val="00E8259C"/>
    <w:rsid w:val="00E875BF"/>
    <w:rsid w:val="00EC54B6"/>
    <w:rsid w:val="00EC676E"/>
    <w:rsid w:val="00ED43F7"/>
    <w:rsid w:val="00EF3642"/>
    <w:rsid w:val="00EF62BF"/>
    <w:rsid w:val="00FC0D6F"/>
    <w:rsid w:val="00FC0F4A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5246A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D8211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21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www.schule-bw.de/faecher-und-schularten/berufliche-schularten/berufsfachschule/2bfs/allgemeine_faecher_2bfs/mathematik_2bfs/hr-mathe-bfs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Andreas Kübler</cp:lastModifiedBy>
  <cp:revision>43</cp:revision>
  <dcterms:created xsi:type="dcterms:W3CDTF">2020-04-23T08:31:00Z</dcterms:created>
  <dcterms:modified xsi:type="dcterms:W3CDTF">2021-04-01T19:47:00Z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