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60CD0" w:rsidRPr="00953E3D" w:rsidRDefault="00360CD0" w:rsidP="00360CD0">
      <w:pPr>
        <w:spacing w:line="360" w:lineRule="auto"/>
        <w:jc w:val="center"/>
        <w:rPr>
          <w:rFonts w:ascii="Cambria" w:hAnsi="Cambria" w:cs="Arial"/>
          <w:b/>
          <w:sz w:val="28"/>
          <w:szCs w:val="28"/>
        </w:rPr>
      </w:pPr>
      <w:r w:rsidRPr="00953E3D">
        <w:rPr>
          <w:rFonts w:ascii="Cambria" w:hAnsi="Cambria" w:cs="Arial"/>
          <w:b/>
          <w:sz w:val="28"/>
          <w:szCs w:val="28"/>
        </w:rPr>
        <w:t xml:space="preserve">Unterrichtsskizze: </w:t>
      </w:r>
    </w:p>
    <w:p w:rsidR="00953E3D" w:rsidRDefault="00360CD0" w:rsidP="00953E3D">
      <w:pPr>
        <w:spacing w:line="360" w:lineRule="auto"/>
        <w:jc w:val="center"/>
        <w:rPr>
          <w:rFonts w:ascii="Cambria" w:hAnsi="Cambria" w:cs="Arial"/>
          <w:b/>
          <w:sz w:val="28"/>
          <w:szCs w:val="28"/>
        </w:rPr>
      </w:pPr>
      <w:r w:rsidRPr="00953E3D">
        <w:rPr>
          <w:rFonts w:ascii="Cambria" w:hAnsi="Cambria" w:cs="Arial"/>
          <w:b/>
          <w:sz w:val="28"/>
          <w:szCs w:val="28"/>
        </w:rPr>
        <w:t>Dürfen wir Menschen genetisch verändern?</w:t>
      </w:r>
    </w:p>
    <w:p w:rsidR="00360CD0" w:rsidRPr="00953E3D" w:rsidRDefault="00360CD0" w:rsidP="00953E3D">
      <w:pPr>
        <w:spacing w:line="360" w:lineRule="auto"/>
        <w:jc w:val="center"/>
        <w:rPr>
          <w:rFonts w:ascii="Cambria" w:hAnsi="Cambria" w:cs="Arial"/>
          <w:b/>
          <w:sz w:val="28"/>
          <w:szCs w:val="28"/>
        </w:rPr>
      </w:pPr>
      <w:r w:rsidRPr="00953E3D">
        <w:rPr>
          <w:rFonts w:ascii="Cambria" w:hAnsi="Cambria" w:cs="Arial"/>
          <w:b/>
          <w:sz w:val="28"/>
          <w:szCs w:val="28"/>
        </w:rPr>
        <w:t xml:space="preserve">Genome </w:t>
      </w:r>
      <w:proofErr w:type="spellStart"/>
      <w:r w:rsidRPr="00953E3D">
        <w:rPr>
          <w:rFonts w:ascii="Cambria" w:hAnsi="Cambria" w:cs="Arial"/>
          <w:b/>
          <w:sz w:val="28"/>
          <w:szCs w:val="28"/>
        </w:rPr>
        <w:t>Editing</w:t>
      </w:r>
      <w:proofErr w:type="spellEnd"/>
      <w:r w:rsidRPr="00953E3D">
        <w:rPr>
          <w:rFonts w:ascii="Cambria" w:hAnsi="Cambria" w:cs="Arial"/>
          <w:b/>
          <w:sz w:val="28"/>
          <w:szCs w:val="28"/>
        </w:rPr>
        <w:t xml:space="preserve"> CRISPR/Cas9</w:t>
      </w:r>
    </w:p>
    <w:p w:rsidR="00360CD0" w:rsidRPr="00953E3D" w:rsidRDefault="00360CD0" w:rsidP="00953E3D">
      <w:pPr>
        <w:pStyle w:val="Listenabsatz"/>
        <w:numPr>
          <w:ilvl w:val="0"/>
          <w:numId w:val="3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953E3D">
        <w:rPr>
          <w:rFonts w:ascii="Cambria" w:hAnsi="Cambria" w:cs="Arial"/>
          <w:sz w:val="24"/>
          <w:szCs w:val="24"/>
        </w:rPr>
        <w:t xml:space="preserve">Einstiegsimpuls/Problementfaltung: Phantasiereise </w:t>
      </w:r>
      <w:hyperlink r:id="rId5" w:history="1">
        <w:r w:rsidRPr="00953E3D">
          <w:rPr>
            <w:rStyle w:val="Hyperlink"/>
            <w:rFonts w:ascii="Cambria" w:hAnsi="Cambria" w:cs="Arial"/>
            <w:sz w:val="24"/>
            <w:szCs w:val="24"/>
          </w:rPr>
          <w:t>„</w:t>
        </w:r>
        <w:r w:rsidR="00867B05" w:rsidRPr="00953E3D">
          <w:rPr>
            <w:rStyle w:val="Hyperlink"/>
            <w:rFonts w:ascii="Cambria" w:hAnsi="Cambria" w:cs="Arial"/>
            <w:sz w:val="24"/>
            <w:szCs w:val="24"/>
          </w:rPr>
          <w:t>Was spricht gegen intelligente, kreative, heterosexuelle Nachkommen?</w:t>
        </w:r>
      </w:hyperlink>
      <w:r w:rsidRPr="00953E3D">
        <w:rPr>
          <w:rFonts w:ascii="Cambria" w:hAnsi="Cambria" w:cs="Arial"/>
          <w:sz w:val="24"/>
          <w:szCs w:val="24"/>
        </w:rPr>
        <w:t>“; oder</w:t>
      </w:r>
      <w:r w:rsidR="00953E3D" w:rsidRPr="00953E3D">
        <w:rPr>
          <w:rFonts w:ascii="Cambria" w:hAnsi="Cambria" w:cs="Arial"/>
          <w:sz w:val="24"/>
          <w:szCs w:val="24"/>
        </w:rPr>
        <w:t>:</w:t>
      </w:r>
      <w:r w:rsidRPr="00953E3D">
        <w:rPr>
          <w:rFonts w:ascii="Cambria" w:hAnsi="Cambria" w:cs="Arial"/>
          <w:sz w:val="24"/>
          <w:szCs w:val="24"/>
        </w:rPr>
        <w:t xml:space="preserve"> </w:t>
      </w:r>
      <w:hyperlink r:id="rId6" w:history="1">
        <w:r w:rsidR="00953E3D" w:rsidRPr="00953E3D">
          <w:rPr>
            <w:rStyle w:val="Hyperlink"/>
            <w:rFonts w:ascii="Cambria" w:hAnsi="Cambria" w:cs="Arial"/>
            <w:sz w:val="24"/>
            <w:szCs w:val="24"/>
          </w:rPr>
          <w:t>Werbe-Video</w:t>
        </w:r>
        <w:r w:rsidRPr="00953E3D">
          <w:rPr>
            <w:rStyle w:val="Hyperlink"/>
            <w:rFonts w:ascii="Cambria" w:hAnsi="Cambria" w:cs="Arial"/>
            <w:sz w:val="24"/>
            <w:szCs w:val="24"/>
          </w:rPr>
          <w:t xml:space="preserve"> mit chinesischem Forscher zu Zwillingsproduktion </w:t>
        </w:r>
        <w:r w:rsidR="00953E3D" w:rsidRPr="00953E3D">
          <w:rPr>
            <w:rStyle w:val="Hyperlink"/>
            <w:rFonts w:ascii="Cambria" w:hAnsi="Cambria" w:cs="Arial"/>
            <w:sz w:val="24"/>
            <w:szCs w:val="24"/>
          </w:rPr>
          <w:t>2018</w:t>
        </w:r>
      </w:hyperlink>
      <w:r w:rsidR="00953E3D" w:rsidRPr="00953E3D">
        <w:rPr>
          <w:rFonts w:ascii="Cambria" w:hAnsi="Cambria" w:cs="Arial"/>
          <w:sz w:val="24"/>
          <w:szCs w:val="24"/>
        </w:rPr>
        <w:t xml:space="preserve"> </w:t>
      </w:r>
      <w:r w:rsidRPr="00953E3D">
        <w:rPr>
          <w:rFonts w:ascii="Cambria" w:hAnsi="Cambria" w:cs="Arial"/>
          <w:sz w:val="24"/>
          <w:szCs w:val="24"/>
        </w:rPr>
        <w:t>(</w:t>
      </w:r>
      <w:r w:rsidR="00953E3D" w:rsidRPr="00953E3D">
        <w:rPr>
          <w:rFonts w:ascii="Cambria" w:hAnsi="Cambria" w:cs="Arial"/>
          <w:sz w:val="24"/>
          <w:szCs w:val="24"/>
        </w:rPr>
        <w:t>4:33</w:t>
      </w:r>
      <w:r w:rsidRPr="00953E3D">
        <w:rPr>
          <w:rFonts w:ascii="Cambria" w:hAnsi="Cambria" w:cs="Arial"/>
          <w:sz w:val="24"/>
          <w:szCs w:val="24"/>
        </w:rPr>
        <w:t xml:space="preserve">); anschließend Spontanurteil zur Leitfrage; </w:t>
      </w:r>
    </w:p>
    <w:p w:rsidR="00360CD0" w:rsidRPr="00953E3D" w:rsidRDefault="00360CD0" w:rsidP="00953E3D">
      <w:pPr>
        <w:pStyle w:val="Listenabsatz"/>
        <w:numPr>
          <w:ilvl w:val="0"/>
          <w:numId w:val="3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953E3D">
        <w:rPr>
          <w:rFonts w:ascii="Cambria" w:hAnsi="Cambria" w:cs="Arial"/>
          <w:sz w:val="24"/>
          <w:szCs w:val="24"/>
        </w:rPr>
        <w:t xml:space="preserve">Erarbeitung der Sachinformationen </w:t>
      </w:r>
      <w:r w:rsidR="00867B05" w:rsidRPr="00953E3D">
        <w:rPr>
          <w:rFonts w:ascii="Cambria" w:hAnsi="Cambria" w:cs="Arial"/>
          <w:sz w:val="24"/>
          <w:szCs w:val="24"/>
        </w:rPr>
        <w:t>mit</w:t>
      </w:r>
      <w:r w:rsidRPr="00953E3D">
        <w:rPr>
          <w:rFonts w:ascii="Cambria" w:hAnsi="Cambria" w:cs="Arial"/>
          <w:sz w:val="24"/>
          <w:szCs w:val="24"/>
        </w:rPr>
        <w:t xml:space="preserve"> </w:t>
      </w:r>
      <w:hyperlink r:id="rId7" w:history="1">
        <w:proofErr w:type="spellStart"/>
        <w:r w:rsidRPr="00953E3D">
          <w:rPr>
            <w:rStyle w:val="Hyperlink"/>
            <w:rFonts w:ascii="Cambria" w:hAnsi="Cambria" w:cs="Arial"/>
            <w:sz w:val="24"/>
            <w:szCs w:val="24"/>
          </w:rPr>
          <w:t>Erklärvideo</w:t>
        </w:r>
        <w:proofErr w:type="spellEnd"/>
        <w:r w:rsidRPr="00953E3D">
          <w:rPr>
            <w:rStyle w:val="Hyperlink"/>
            <w:rFonts w:ascii="Cambria" w:hAnsi="Cambria" w:cs="Arial"/>
            <w:sz w:val="24"/>
            <w:szCs w:val="24"/>
          </w:rPr>
          <w:t xml:space="preserve"> CRISPR/Cas9 NZZ</w:t>
        </w:r>
      </w:hyperlink>
      <w:r w:rsidRPr="00953E3D">
        <w:rPr>
          <w:rFonts w:ascii="Cambria" w:hAnsi="Cambria" w:cs="Arial"/>
          <w:sz w:val="24"/>
          <w:szCs w:val="24"/>
        </w:rPr>
        <w:t xml:space="preserve"> (</w:t>
      </w:r>
      <w:r w:rsidR="00953E3D">
        <w:rPr>
          <w:rFonts w:ascii="Cambria" w:hAnsi="Cambria" w:cs="Arial"/>
          <w:sz w:val="24"/>
          <w:szCs w:val="24"/>
        </w:rPr>
        <w:t>3:54</w:t>
      </w:r>
      <w:r w:rsidRPr="00953E3D">
        <w:rPr>
          <w:rFonts w:ascii="Cambria" w:hAnsi="Cambria" w:cs="Arial"/>
          <w:sz w:val="24"/>
          <w:szCs w:val="24"/>
        </w:rPr>
        <w:t xml:space="preserve">) </w:t>
      </w:r>
      <w:r w:rsidR="00867B05" w:rsidRPr="00953E3D">
        <w:rPr>
          <w:rFonts w:ascii="Cambria" w:hAnsi="Cambria" w:cs="Arial"/>
          <w:sz w:val="24"/>
          <w:szCs w:val="24"/>
        </w:rPr>
        <w:t>zur</w:t>
      </w:r>
      <w:r w:rsidRPr="00953E3D">
        <w:rPr>
          <w:rFonts w:ascii="Cambria" w:hAnsi="Cambria" w:cs="Arial"/>
          <w:sz w:val="24"/>
          <w:szCs w:val="24"/>
        </w:rPr>
        <w:t xml:space="preserve"> Klärung der grundlegenden Funktionsweise der Genschere (u.a. Unterscheidung von somatischer Gentherapie und Keimbahntherapie)</w:t>
      </w:r>
    </w:p>
    <w:p w:rsidR="00360CD0" w:rsidRPr="00953E3D" w:rsidRDefault="00360CD0" w:rsidP="00953E3D">
      <w:pPr>
        <w:pStyle w:val="Listenabsatz"/>
        <w:numPr>
          <w:ilvl w:val="0"/>
          <w:numId w:val="3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953E3D">
        <w:rPr>
          <w:rFonts w:ascii="Cambria" w:hAnsi="Cambria" w:cs="Arial"/>
          <w:sz w:val="24"/>
          <w:szCs w:val="24"/>
        </w:rPr>
        <w:t>Erarbeitung und Sicherung</w:t>
      </w:r>
      <w:r w:rsidR="00A9075B">
        <w:rPr>
          <w:rFonts w:ascii="Cambria" w:hAnsi="Cambria" w:cs="Arial"/>
          <w:sz w:val="24"/>
          <w:szCs w:val="24"/>
        </w:rPr>
        <w:t xml:space="preserve"> der relevanten Argumente:</w:t>
      </w:r>
      <w:r w:rsidRPr="00953E3D">
        <w:rPr>
          <w:rFonts w:ascii="Cambria" w:hAnsi="Cambria" w:cs="Arial"/>
          <w:sz w:val="24"/>
          <w:szCs w:val="24"/>
        </w:rPr>
        <w:t xml:space="preserve"> arbeitsteilige Erarbeitung von </w:t>
      </w:r>
      <w:r w:rsidRPr="006368CB">
        <w:rPr>
          <w:rFonts w:ascii="Cambria" w:hAnsi="Cambria" w:cs="Arial"/>
          <w:sz w:val="24"/>
          <w:szCs w:val="24"/>
        </w:rPr>
        <w:t>Argumenten des Deutschen Ethikrates</w:t>
      </w:r>
      <w:r w:rsidR="00A9075B">
        <w:rPr>
          <w:rFonts w:ascii="Cambria" w:hAnsi="Cambria" w:cs="Arial"/>
          <w:sz w:val="24"/>
          <w:szCs w:val="24"/>
        </w:rPr>
        <w:t xml:space="preserve"> (dort: in der </w:t>
      </w:r>
      <w:hyperlink r:id="rId8" w:history="1">
        <w:proofErr w:type="spellStart"/>
        <w:r w:rsidR="00A9075B" w:rsidRPr="006368CB">
          <w:rPr>
            <w:rStyle w:val="Hyperlink"/>
            <w:rFonts w:ascii="Cambria" w:hAnsi="Cambria" w:cs="Arial"/>
            <w:sz w:val="24"/>
            <w:szCs w:val="24"/>
          </w:rPr>
          <w:t>Simultanmitschrift</w:t>
        </w:r>
        <w:proofErr w:type="spellEnd"/>
      </w:hyperlink>
      <w:r w:rsidR="00A9075B">
        <w:rPr>
          <w:rFonts w:ascii="Cambria" w:hAnsi="Cambria" w:cs="Arial"/>
          <w:sz w:val="24"/>
          <w:szCs w:val="24"/>
        </w:rPr>
        <w:t xml:space="preserve"> die Beiträge der Mitglieder Merkel, </w:t>
      </w:r>
      <w:proofErr w:type="spellStart"/>
      <w:r w:rsidR="00A9075B">
        <w:rPr>
          <w:rFonts w:ascii="Cambria" w:hAnsi="Cambria" w:cs="Arial"/>
          <w:sz w:val="24"/>
          <w:szCs w:val="24"/>
        </w:rPr>
        <w:t>Graumann</w:t>
      </w:r>
      <w:proofErr w:type="spellEnd"/>
      <w:r w:rsidR="00A9075B">
        <w:rPr>
          <w:rFonts w:ascii="Cambria" w:hAnsi="Cambria" w:cs="Arial"/>
          <w:sz w:val="24"/>
          <w:szCs w:val="24"/>
        </w:rPr>
        <w:t xml:space="preserve">, Esser, Hein, Birnbacher, Schockenhoff, </w:t>
      </w:r>
      <w:proofErr w:type="spellStart"/>
      <w:r w:rsidR="00A9075B">
        <w:rPr>
          <w:rFonts w:ascii="Cambria" w:hAnsi="Cambria" w:cs="Arial"/>
          <w:sz w:val="24"/>
          <w:szCs w:val="24"/>
        </w:rPr>
        <w:t>Gethmann</w:t>
      </w:r>
      <w:proofErr w:type="spellEnd"/>
      <w:r w:rsidR="00A9075B">
        <w:rPr>
          <w:rFonts w:ascii="Cambria" w:hAnsi="Cambria" w:cs="Arial"/>
          <w:sz w:val="24"/>
          <w:szCs w:val="24"/>
        </w:rPr>
        <w:t xml:space="preserve">) </w:t>
      </w:r>
      <w:r w:rsidRPr="00953E3D">
        <w:rPr>
          <w:rFonts w:ascii="Cambria" w:hAnsi="Cambria" w:cs="Arial"/>
          <w:sz w:val="24"/>
          <w:szCs w:val="24"/>
        </w:rPr>
        <w:t>(Jahrestagung 2016)</w:t>
      </w:r>
      <w:r w:rsidR="00953E3D">
        <w:rPr>
          <w:rFonts w:ascii="Cambria" w:hAnsi="Cambria" w:cs="Arial"/>
          <w:sz w:val="24"/>
          <w:szCs w:val="24"/>
        </w:rPr>
        <w:t xml:space="preserve">; oder: </w:t>
      </w:r>
      <w:hyperlink r:id="rId9" w:history="1">
        <w:r w:rsidR="006368CB">
          <w:rPr>
            <w:rStyle w:val="Hyperlink"/>
            <w:rFonts w:ascii="Cambria" w:hAnsi="Cambria" w:cs="Arial"/>
            <w:sz w:val="24"/>
            <w:szCs w:val="24"/>
          </w:rPr>
          <w:t>Video-Kurzstatements zweier Mitglieder des Deutschen Ethikrates</w:t>
        </w:r>
      </w:hyperlink>
      <w:r w:rsidR="003212A9">
        <w:rPr>
          <w:rFonts w:ascii="Cambria" w:hAnsi="Cambria" w:cs="Arial"/>
          <w:sz w:val="24"/>
          <w:szCs w:val="24"/>
        </w:rPr>
        <w:t xml:space="preserve"> (je 7 Minuten)</w:t>
      </w:r>
      <w:r w:rsidR="00A9075B">
        <w:rPr>
          <w:rFonts w:ascii="Cambria" w:hAnsi="Cambria" w:cs="Arial"/>
          <w:sz w:val="24"/>
          <w:szCs w:val="24"/>
        </w:rPr>
        <w:t xml:space="preserve">; oder: </w:t>
      </w:r>
      <w:hyperlink r:id="rId10" w:history="1">
        <w:r w:rsidR="00A9075B" w:rsidRPr="00A9075B">
          <w:rPr>
            <w:rStyle w:val="Hyperlink"/>
            <w:rFonts w:ascii="Cambria" w:hAnsi="Cambria" w:cs="Arial"/>
            <w:sz w:val="24"/>
            <w:szCs w:val="24"/>
          </w:rPr>
          <w:t>Stellungnahme des Deutschen Ethikrates zu CRISPS/Cas9</w:t>
        </w:r>
      </w:hyperlink>
      <w:r w:rsidR="00A9075B">
        <w:rPr>
          <w:rFonts w:ascii="Cambria" w:hAnsi="Cambria" w:cs="Arial"/>
          <w:sz w:val="24"/>
          <w:szCs w:val="24"/>
        </w:rPr>
        <w:t xml:space="preserve"> (2019) (dort: insbesondere Auszüge aus den Seiten 105-158)</w:t>
      </w:r>
    </w:p>
    <w:p w:rsidR="00360CD0" w:rsidRPr="00953E3D" w:rsidRDefault="00360CD0" w:rsidP="00953E3D">
      <w:pPr>
        <w:pStyle w:val="Listenabsatz"/>
        <w:numPr>
          <w:ilvl w:val="0"/>
          <w:numId w:val="3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953E3D">
        <w:rPr>
          <w:rFonts w:ascii="Cambria" w:hAnsi="Cambria" w:cs="Arial"/>
          <w:sz w:val="24"/>
          <w:szCs w:val="24"/>
        </w:rPr>
        <w:t xml:space="preserve">Problemvertiefung: </w:t>
      </w:r>
      <w:hyperlink r:id="rId11" w:history="1">
        <w:r w:rsidRPr="00A3305A">
          <w:rPr>
            <w:rStyle w:val="Hyperlink"/>
            <w:rFonts w:ascii="Cambria" w:hAnsi="Cambria" w:cs="Arial"/>
            <w:sz w:val="24"/>
            <w:szCs w:val="24"/>
          </w:rPr>
          <w:t>medizinethische Prinzipien</w:t>
        </w:r>
      </w:hyperlink>
      <w:r w:rsidRPr="00953E3D">
        <w:rPr>
          <w:rFonts w:ascii="Cambria" w:hAnsi="Cambria" w:cs="Arial"/>
          <w:sz w:val="24"/>
          <w:szCs w:val="24"/>
        </w:rPr>
        <w:t xml:space="preserve">; </w:t>
      </w:r>
      <w:hyperlink r:id="rId12" w:history="1">
        <w:r w:rsidR="00953E3D" w:rsidRPr="00A3305A">
          <w:rPr>
            <w:rStyle w:val="Hyperlink"/>
            <w:rFonts w:ascii="Cambria" w:hAnsi="Cambria" w:cs="Arial"/>
            <w:sz w:val="24"/>
            <w:szCs w:val="24"/>
          </w:rPr>
          <w:t>Leitbegriffe Freiheit,</w:t>
        </w:r>
        <w:r w:rsidRPr="00A3305A">
          <w:rPr>
            <w:rStyle w:val="Hyperlink"/>
            <w:rFonts w:ascii="Cambria" w:hAnsi="Cambria" w:cs="Arial"/>
            <w:sz w:val="24"/>
            <w:szCs w:val="24"/>
          </w:rPr>
          <w:t xml:space="preserve"> Verantwortung</w:t>
        </w:r>
        <w:r w:rsidR="00953E3D" w:rsidRPr="00A3305A">
          <w:rPr>
            <w:rStyle w:val="Hyperlink"/>
            <w:rFonts w:ascii="Cambria" w:hAnsi="Cambria" w:cs="Arial"/>
            <w:sz w:val="24"/>
            <w:szCs w:val="24"/>
          </w:rPr>
          <w:t>, Gerechtigkeit</w:t>
        </w:r>
      </w:hyperlink>
      <w:r w:rsidR="00953E3D">
        <w:rPr>
          <w:rFonts w:ascii="Cambria" w:hAnsi="Cambria" w:cs="Arial"/>
          <w:sz w:val="24"/>
          <w:szCs w:val="24"/>
        </w:rPr>
        <w:t>;</w:t>
      </w:r>
      <w:r w:rsidRPr="00953E3D">
        <w:rPr>
          <w:rFonts w:ascii="Cambria" w:hAnsi="Cambria" w:cs="Arial"/>
          <w:sz w:val="24"/>
          <w:szCs w:val="24"/>
        </w:rPr>
        <w:t xml:space="preserve"> gutes Leben</w:t>
      </w:r>
      <w:r w:rsidR="00953E3D">
        <w:rPr>
          <w:rFonts w:ascii="Cambria" w:hAnsi="Cambria" w:cs="Arial"/>
          <w:sz w:val="24"/>
          <w:szCs w:val="24"/>
        </w:rPr>
        <w:t>;</w:t>
      </w:r>
      <w:r w:rsidRPr="00953E3D">
        <w:rPr>
          <w:rFonts w:ascii="Cambria" w:hAnsi="Cambria" w:cs="Arial"/>
          <w:sz w:val="24"/>
          <w:szCs w:val="24"/>
        </w:rPr>
        <w:t xml:space="preserve"> Menschenbild; verantwortungsethische Perspektive (</w:t>
      </w:r>
      <w:r w:rsidR="009837F1">
        <w:rPr>
          <w:rFonts w:ascii="Cambria" w:hAnsi="Cambria" w:cs="Arial"/>
          <w:sz w:val="24"/>
          <w:szCs w:val="24"/>
        </w:rPr>
        <w:t xml:space="preserve">Hans </w:t>
      </w:r>
      <w:r w:rsidRPr="00953E3D">
        <w:rPr>
          <w:rFonts w:ascii="Cambria" w:hAnsi="Cambria" w:cs="Arial"/>
          <w:sz w:val="24"/>
          <w:szCs w:val="24"/>
        </w:rPr>
        <w:t>Jonas)</w:t>
      </w:r>
    </w:p>
    <w:p w:rsidR="00360CD0" w:rsidRPr="00953E3D" w:rsidRDefault="00360CD0" w:rsidP="00953E3D">
      <w:pPr>
        <w:pStyle w:val="Listenabsatz"/>
        <w:numPr>
          <w:ilvl w:val="0"/>
          <w:numId w:val="3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953E3D">
        <w:rPr>
          <w:rFonts w:ascii="Cambria" w:hAnsi="Cambria" w:cs="Arial"/>
          <w:sz w:val="24"/>
          <w:szCs w:val="24"/>
        </w:rPr>
        <w:t xml:space="preserve">Urteilsbildung/Diskurs: Rollendiskussion (s. </w:t>
      </w:r>
      <w:hyperlink r:id="rId13" w:history="1">
        <w:r w:rsidRPr="006368CB">
          <w:rPr>
            <w:rStyle w:val="Hyperlink"/>
            <w:rFonts w:ascii="Cambria" w:hAnsi="Cambria" w:cs="Arial"/>
            <w:sz w:val="24"/>
            <w:szCs w:val="24"/>
          </w:rPr>
          <w:t>Roll</w:t>
        </w:r>
        <w:r w:rsidRPr="006368CB">
          <w:rPr>
            <w:rStyle w:val="Hyperlink"/>
            <w:rFonts w:ascii="Cambria" w:hAnsi="Cambria" w:cs="Arial"/>
            <w:sz w:val="24"/>
            <w:szCs w:val="24"/>
          </w:rPr>
          <w:t>e</w:t>
        </w:r>
        <w:r w:rsidRPr="006368CB">
          <w:rPr>
            <w:rStyle w:val="Hyperlink"/>
            <w:rFonts w:ascii="Cambria" w:hAnsi="Cambria" w:cs="Arial"/>
            <w:sz w:val="24"/>
            <w:szCs w:val="24"/>
          </w:rPr>
          <w:t>n</w:t>
        </w:r>
        <w:r w:rsidRPr="006368CB">
          <w:rPr>
            <w:rStyle w:val="Hyperlink"/>
            <w:rFonts w:ascii="Cambria" w:hAnsi="Cambria" w:cs="Arial"/>
            <w:sz w:val="24"/>
            <w:szCs w:val="24"/>
          </w:rPr>
          <w:t>k</w:t>
        </w:r>
        <w:r w:rsidRPr="006368CB">
          <w:rPr>
            <w:rStyle w:val="Hyperlink"/>
            <w:rFonts w:ascii="Cambria" w:hAnsi="Cambria" w:cs="Arial"/>
            <w:sz w:val="24"/>
            <w:szCs w:val="24"/>
          </w:rPr>
          <w:t>a</w:t>
        </w:r>
        <w:r w:rsidRPr="006368CB">
          <w:rPr>
            <w:rStyle w:val="Hyperlink"/>
            <w:rFonts w:ascii="Cambria" w:hAnsi="Cambria" w:cs="Arial"/>
            <w:sz w:val="24"/>
            <w:szCs w:val="24"/>
          </w:rPr>
          <w:t>rten</w:t>
        </w:r>
      </w:hyperlink>
      <w:r w:rsidRPr="00953E3D">
        <w:rPr>
          <w:rFonts w:ascii="Cambria" w:hAnsi="Cambria" w:cs="Arial"/>
          <w:sz w:val="24"/>
          <w:szCs w:val="24"/>
        </w:rPr>
        <w:t>); oder: Expertenkommission Deutscher Ethikrat</w:t>
      </w:r>
      <w:r w:rsidR="00A3305A">
        <w:rPr>
          <w:rFonts w:ascii="Cambria" w:hAnsi="Cambria" w:cs="Arial"/>
          <w:sz w:val="24"/>
          <w:szCs w:val="24"/>
        </w:rPr>
        <w:t xml:space="preserve"> mit Stellungnahmen einzelner Mitglieder</w:t>
      </w:r>
      <w:r w:rsidR="006368CB">
        <w:rPr>
          <w:rFonts w:ascii="Cambria" w:hAnsi="Cambria" w:cs="Arial"/>
          <w:sz w:val="24"/>
          <w:szCs w:val="24"/>
        </w:rPr>
        <w:t xml:space="preserve"> (s. Material unter 3.)</w:t>
      </w:r>
      <w:r w:rsidRPr="00953E3D">
        <w:rPr>
          <w:rFonts w:ascii="Cambria" w:hAnsi="Cambria" w:cs="Arial"/>
          <w:sz w:val="24"/>
          <w:szCs w:val="24"/>
        </w:rPr>
        <w:t xml:space="preserve">; abschließend </w:t>
      </w:r>
      <w:hyperlink r:id="rId14" w:history="1">
        <w:r w:rsidRPr="00A3305A">
          <w:rPr>
            <w:rStyle w:val="Hyperlink"/>
            <w:rFonts w:ascii="Cambria" w:hAnsi="Cambria" w:cs="Arial"/>
            <w:sz w:val="24"/>
            <w:szCs w:val="24"/>
          </w:rPr>
          <w:t>Positionslinie</w:t>
        </w:r>
      </w:hyperlink>
      <w:r w:rsidRPr="00953E3D">
        <w:rPr>
          <w:rFonts w:ascii="Cambria" w:hAnsi="Cambria" w:cs="Arial"/>
          <w:sz w:val="24"/>
          <w:szCs w:val="24"/>
        </w:rPr>
        <w:t xml:space="preserve"> zur Leitfrage und schriftliches Fazit (auch als </w:t>
      </w:r>
      <w:hyperlink r:id="rId15" w:history="1">
        <w:proofErr w:type="spellStart"/>
        <w:r w:rsidRPr="00A3305A">
          <w:rPr>
            <w:rStyle w:val="Hyperlink"/>
            <w:rFonts w:ascii="Cambria" w:hAnsi="Cambria" w:cs="Arial"/>
            <w:sz w:val="24"/>
            <w:szCs w:val="24"/>
          </w:rPr>
          <w:t>Toulmin</w:t>
        </w:r>
        <w:proofErr w:type="spellEnd"/>
        <w:r w:rsidRPr="00A3305A">
          <w:rPr>
            <w:rStyle w:val="Hyperlink"/>
            <w:rFonts w:ascii="Cambria" w:hAnsi="Cambria" w:cs="Arial"/>
            <w:sz w:val="24"/>
            <w:szCs w:val="24"/>
          </w:rPr>
          <w:t>-Schema</w:t>
        </w:r>
      </w:hyperlink>
      <w:r w:rsidRPr="00953E3D">
        <w:rPr>
          <w:rFonts w:ascii="Cambria" w:hAnsi="Cambria" w:cs="Arial"/>
          <w:sz w:val="24"/>
          <w:szCs w:val="24"/>
        </w:rPr>
        <w:t>)</w:t>
      </w:r>
    </w:p>
    <w:p w:rsidR="00360CD0" w:rsidRPr="00953E3D" w:rsidRDefault="00360CD0" w:rsidP="00360CD0">
      <w:pPr>
        <w:spacing w:line="360" w:lineRule="auto"/>
        <w:ind w:left="360"/>
        <w:rPr>
          <w:rFonts w:ascii="Cambria" w:hAnsi="Cambria" w:cs="Arial"/>
          <w:sz w:val="24"/>
          <w:szCs w:val="24"/>
        </w:rPr>
      </w:pPr>
      <w:r w:rsidRPr="00953E3D">
        <w:rPr>
          <w:rFonts w:ascii="Cambria" w:hAnsi="Cambria" w:cs="Arial"/>
          <w:sz w:val="24"/>
          <w:szCs w:val="24"/>
        </w:rPr>
        <w:t>Anm.: Diese D</w:t>
      </w:r>
      <w:r w:rsidR="009837F1">
        <w:rPr>
          <w:rFonts w:ascii="Cambria" w:hAnsi="Cambria" w:cs="Arial"/>
          <w:sz w:val="24"/>
          <w:szCs w:val="24"/>
        </w:rPr>
        <w:t xml:space="preserve">oppelstunde </w:t>
      </w:r>
      <w:r w:rsidRPr="00953E3D">
        <w:rPr>
          <w:rFonts w:ascii="Cambria" w:hAnsi="Cambria" w:cs="Arial"/>
          <w:sz w:val="24"/>
          <w:szCs w:val="24"/>
        </w:rPr>
        <w:t xml:space="preserve">kann auch als klassische </w:t>
      </w:r>
      <w:hyperlink r:id="rId16" w:history="1">
        <w:r w:rsidR="00A3305A" w:rsidRPr="00A3305A">
          <w:rPr>
            <w:rStyle w:val="Hyperlink"/>
            <w:rFonts w:ascii="Cambria" w:hAnsi="Cambria" w:cs="Arial"/>
            <w:sz w:val="24"/>
            <w:szCs w:val="24"/>
          </w:rPr>
          <w:t xml:space="preserve">ethische </w:t>
        </w:r>
        <w:r w:rsidRPr="00A3305A">
          <w:rPr>
            <w:rStyle w:val="Hyperlink"/>
            <w:rFonts w:ascii="Cambria" w:hAnsi="Cambria" w:cs="Arial"/>
            <w:sz w:val="24"/>
            <w:szCs w:val="24"/>
          </w:rPr>
          <w:t>Fallanalyse</w:t>
        </w:r>
      </w:hyperlink>
      <w:r w:rsidRPr="00953E3D">
        <w:rPr>
          <w:rFonts w:ascii="Cambria" w:hAnsi="Cambria" w:cs="Arial"/>
          <w:sz w:val="24"/>
          <w:szCs w:val="24"/>
        </w:rPr>
        <w:t xml:space="preserve"> gestaltet werden (z.B. Fall </w:t>
      </w:r>
      <w:r w:rsidR="00867B05" w:rsidRPr="00953E3D">
        <w:rPr>
          <w:rFonts w:ascii="Cambria" w:hAnsi="Cambria" w:cs="Arial"/>
          <w:sz w:val="24"/>
          <w:szCs w:val="24"/>
        </w:rPr>
        <w:t>„</w:t>
      </w:r>
      <w:r w:rsidRPr="00953E3D">
        <w:rPr>
          <w:rFonts w:ascii="Cambria" w:hAnsi="Cambria" w:cs="Arial"/>
          <w:sz w:val="24"/>
          <w:szCs w:val="24"/>
        </w:rPr>
        <w:t>Chinesische Zwillinge</w:t>
      </w:r>
      <w:r w:rsidR="00867B05" w:rsidRPr="00953E3D">
        <w:rPr>
          <w:rFonts w:ascii="Cambria" w:hAnsi="Cambria" w:cs="Arial"/>
          <w:sz w:val="24"/>
          <w:szCs w:val="24"/>
        </w:rPr>
        <w:t>“</w:t>
      </w:r>
      <w:r w:rsidRPr="00953E3D">
        <w:rPr>
          <w:rFonts w:ascii="Cambria" w:hAnsi="Cambria" w:cs="Arial"/>
          <w:sz w:val="24"/>
          <w:szCs w:val="24"/>
        </w:rPr>
        <w:t>)</w:t>
      </w:r>
    </w:p>
    <w:p w:rsidR="00FF5B00" w:rsidRDefault="00FF5B00"/>
    <w:sectPr w:rsidR="00FF5B00" w:rsidSect="00A41859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CB6AED"/>
    <w:multiLevelType w:val="hybridMultilevel"/>
    <w:tmpl w:val="BCA485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93881"/>
    <w:multiLevelType w:val="hybridMultilevel"/>
    <w:tmpl w:val="C94E6F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466E7"/>
    <w:multiLevelType w:val="hybridMultilevel"/>
    <w:tmpl w:val="D6E2538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CD0"/>
    <w:rsid w:val="003212A9"/>
    <w:rsid w:val="00360CD0"/>
    <w:rsid w:val="00372395"/>
    <w:rsid w:val="0063277D"/>
    <w:rsid w:val="006368CB"/>
    <w:rsid w:val="007E62C9"/>
    <w:rsid w:val="00867B05"/>
    <w:rsid w:val="00953E3D"/>
    <w:rsid w:val="009837F1"/>
    <w:rsid w:val="00A3305A"/>
    <w:rsid w:val="00A41859"/>
    <w:rsid w:val="00A9075B"/>
    <w:rsid w:val="00DB7B3A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B1DCE3"/>
  <w15:chartTrackingRefBased/>
  <w15:docId w15:val="{9126489C-9DBC-754B-B1A5-BA54C78E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60CD0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67B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60CD0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67B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867B0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67B0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53E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98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hikrat.org/fileadmin/PDF-Dateien/Veranstaltungen/Jt-22-06-2016-Simultanmitschrift.pdf" TargetMode="External"/><Relationship Id="rId13" Type="http://schemas.openxmlformats.org/officeDocument/2006/relationships/hyperlink" Target="https://schule-bw.de/resolveuid/4b48a902e5b64e6eb2de8e4b234397d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zz.ch/wissenschaft/medizin/neue-methode-der-gentechnik-erweckt-hoffnungen-und-aengste-veraendert-crispr-bald-unser-leben-ld.115020?jwsource=cl" TargetMode="External"/><Relationship Id="rId12" Type="http://schemas.openxmlformats.org/officeDocument/2006/relationships/hyperlink" Target="https://www.schule-bw.de/faecher-und-schularten/gesellschaftswissenschaftliche-und-philosophische-faecher/ethik/unterricht-materialien-und-medien/freiheit-verantwortung-gerechtigke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chule-bw.de/faecher-und-schularten/gesellschaftswissenschaftliche-und-philosophische-faecher/ethik/methodik-didaktik/methodik-ethik/ethische_fallanalys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th0vnOmFltc" TargetMode="External"/><Relationship Id="rId11" Type="http://schemas.openxmlformats.org/officeDocument/2006/relationships/hyperlink" Target="https://www.zwp-online.info/zwpnews/aesthetik-news/branchenmeldungen/grundlagen-und-prinzipien-der-medizinethik" TargetMode="External"/><Relationship Id="rId5" Type="http://schemas.openxmlformats.org/officeDocument/2006/relationships/hyperlink" Target="https://www.zeit.de/wissen/2016-06/crispr-gentechnik-alter-gesundheit-nachkommen" TargetMode="External"/><Relationship Id="rId15" Type="http://schemas.openxmlformats.org/officeDocument/2006/relationships/hyperlink" Target="https://www.schule-bw.de/faecher-und-schularten/gesellschaftswissenschaftliche-und-philosophische-faecher/ethik/methodik-didaktik/methodik-ethik/methoden_prozessbezogene-kompetenzen/ethisches-argumentieren.html" TargetMode="External"/><Relationship Id="rId10" Type="http://schemas.openxmlformats.org/officeDocument/2006/relationships/hyperlink" Target="https://www.ethikrat.org/fileadmin/Publikationen/Stellungnahmen/deutsch/stellungnahme-eingriffe-in-die-menschliche-keimbah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meo.com/176459778" TargetMode="External"/><Relationship Id="rId14" Type="http://schemas.openxmlformats.org/officeDocument/2006/relationships/hyperlink" Target="https://www.schule-bw.de/faecher-und-schularten/gesellschaftswissenschaftliche-und-philosophische-faecher/ethik/methodik-didaktik/methodik-ethik/methoden_prozessbezogene-kompetenzen/ethisches-argumentieren.htm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2810</Characters>
  <Application>Microsoft Office Word</Application>
  <DocSecurity>0</DocSecurity>
  <Lines>93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UP</cp:lastModifiedBy>
  <cp:revision>2</cp:revision>
  <dcterms:created xsi:type="dcterms:W3CDTF">2020-06-23T09:08:00Z</dcterms:created>
  <dcterms:modified xsi:type="dcterms:W3CDTF">2020-06-23T09:08:00Z</dcterms:modified>
</cp:coreProperties>
</file>