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11A" w:rsidRPr="00B649A3" w:rsidRDefault="00C6611A" w:rsidP="004E3622">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C6611A" w:rsidRPr="00B649A3" w:rsidRDefault="00C6611A" w:rsidP="00DC5456">
      <w:pPr>
        <w:keepNext/>
        <w:widowControl w:val="0"/>
        <w:shd w:val="clear" w:color="auto" w:fill="D9D9D9"/>
        <w:autoSpaceDE w:val="0"/>
        <w:autoSpaceDN w:val="0"/>
        <w:adjustRightInd w:val="0"/>
        <w:spacing w:after="0" w:line="240" w:lineRule="auto"/>
        <w:ind w:left="-142" w:firstLine="142"/>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D12709">
        <w:rPr>
          <w:rFonts w:ascii="Arial" w:eastAsia="Times New Roman" w:hAnsi="Arial" w:cs="Arial"/>
          <w:b/>
          <w:bCs/>
          <w:sz w:val="24"/>
          <w:szCs w:val="24"/>
          <w:lang w:eastAsia="de-DE"/>
        </w:rPr>
        <w:t>5a</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Pr>
          <w:rFonts w:ascii="Arial" w:eastAsia="Times New Roman" w:hAnsi="Arial" w:cs="Arial"/>
          <w:b/>
          <w:bCs/>
          <w:sz w:val="24"/>
          <w:szCs w:val="24"/>
          <w:lang w:eastAsia="de-DE"/>
        </w:rPr>
        <w:t>Anklage und Urteil</w:t>
      </w:r>
      <w:r w:rsidR="004E3622">
        <w:rPr>
          <w:rFonts w:ascii="Arial" w:eastAsia="Times New Roman" w:hAnsi="Arial" w:cs="Arial"/>
          <w:b/>
          <w:bCs/>
          <w:sz w:val="24"/>
          <w:szCs w:val="24"/>
          <w:lang w:eastAsia="de-DE"/>
        </w:rPr>
        <w:t xml:space="preserve"> im Grafeneck-Prozess: Argumentationen</w:t>
      </w:r>
    </w:p>
    <w:p w:rsidR="00C6611A" w:rsidRDefault="00C6611A" w:rsidP="004E3622">
      <w:pPr>
        <w:pStyle w:val="KeinLeerraum"/>
        <w:jc w:val="both"/>
        <w:rPr>
          <w:rFonts w:ascii="Arial" w:hAnsi="Arial" w:cs="Arial"/>
          <w:sz w:val="24"/>
          <w:szCs w:val="24"/>
        </w:rPr>
      </w:pPr>
    </w:p>
    <w:p w:rsidR="004E3622" w:rsidRDefault="004E3622" w:rsidP="004E3622">
      <w:pPr>
        <w:pStyle w:val="KeinLeerraum"/>
        <w:jc w:val="both"/>
        <w:rPr>
          <w:rFonts w:ascii="Arial" w:hAnsi="Arial" w:cs="Arial"/>
          <w:sz w:val="24"/>
          <w:szCs w:val="24"/>
        </w:rPr>
        <w:sectPr w:rsidR="004E3622" w:rsidSect="00DC5456">
          <w:footerReference w:type="default" r:id="rId7"/>
          <w:pgSz w:w="11906" w:h="16838"/>
          <w:pgMar w:top="1417" w:right="1274" w:bottom="1134" w:left="1134" w:header="708" w:footer="708" w:gutter="0"/>
          <w:cols w:space="708"/>
          <w:docGrid w:linePitch="360"/>
        </w:sectPr>
      </w:pPr>
    </w:p>
    <w:p w:rsidR="00A2099F" w:rsidRPr="00DC5456" w:rsidRDefault="00A2099F" w:rsidP="004E3622">
      <w:pPr>
        <w:pStyle w:val="KeinLeerraum"/>
        <w:jc w:val="both"/>
        <w:rPr>
          <w:rFonts w:ascii="Arial" w:hAnsi="Arial" w:cs="Arial"/>
          <w:b/>
          <w:sz w:val="20"/>
          <w:szCs w:val="20"/>
        </w:rPr>
      </w:pPr>
      <w:r w:rsidRPr="00DC5456">
        <w:rPr>
          <w:rFonts w:ascii="Arial" w:hAnsi="Arial" w:cs="Arial"/>
          <w:b/>
          <w:sz w:val="20"/>
          <w:szCs w:val="20"/>
        </w:rPr>
        <w:t>1. Teil einer Maschinerie</w:t>
      </w:r>
    </w:p>
    <w:p w:rsidR="0035333F" w:rsidRPr="00DC5456" w:rsidRDefault="0035333F" w:rsidP="00DC5456">
      <w:pPr>
        <w:pStyle w:val="KeinLeerraum"/>
        <w:jc w:val="both"/>
        <w:rPr>
          <w:rFonts w:ascii="Arial" w:hAnsi="Arial" w:cs="Arial"/>
          <w:sz w:val="20"/>
          <w:szCs w:val="20"/>
        </w:rPr>
      </w:pPr>
      <w:r w:rsidRPr="00DC5456">
        <w:rPr>
          <w:rFonts w:ascii="Arial" w:hAnsi="Arial" w:cs="Arial"/>
          <w:sz w:val="20"/>
          <w:szCs w:val="20"/>
        </w:rPr>
        <w:t>„Die gesamte Tötungsaktion zeigte sich als ein einheitliches Geschehen, jedes hie</w:t>
      </w:r>
      <w:r w:rsidR="00D16BF7" w:rsidRPr="00DC5456">
        <w:rPr>
          <w:rFonts w:ascii="Arial" w:hAnsi="Arial" w:cs="Arial"/>
          <w:sz w:val="20"/>
          <w:szCs w:val="20"/>
        </w:rPr>
        <w:t>r</w:t>
      </w:r>
      <w:r w:rsidRPr="00DC5456">
        <w:rPr>
          <w:rFonts w:ascii="Arial" w:hAnsi="Arial" w:cs="Arial"/>
          <w:sz w:val="20"/>
          <w:szCs w:val="20"/>
        </w:rPr>
        <w:t>bei mitwirkende Glied war wichtig und unentbehrlich und bildete einen Teil der Maschinerie, die die Ausrottung der Geist</w:t>
      </w:r>
      <w:r w:rsidR="00DC5456" w:rsidRPr="00DC5456">
        <w:rPr>
          <w:rFonts w:ascii="Arial" w:hAnsi="Arial" w:cs="Arial"/>
          <w:sz w:val="20"/>
          <w:szCs w:val="20"/>
        </w:rPr>
        <w:t>eskranken zum Gegenstand hatte.</w:t>
      </w:r>
      <w:r w:rsidRPr="00DC5456">
        <w:rPr>
          <w:rFonts w:ascii="Arial" w:hAnsi="Arial" w:cs="Arial"/>
          <w:sz w:val="20"/>
          <w:szCs w:val="20"/>
        </w:rPr>
        <w:t>“</w:t>
      </w:r>
      <w:r w:rsidR="00DC5456">
        <w:rPr>
          <w:rFonts w:ascii="Arial" w:hAnsi="Arial" w:cs="Arial"/>
          <w:sz w:val="20"/>
          <w:szCs w:val="20"/>
        </w:rPr>
        <w:t xml:space="preserve"> (</w:t>
      </w:r>
      <w:r w:rsidRPr="00DC5456">
        <w:rPr>
          <w:rFonts w:ascii="Arial" w:hAnsi="Arial" w:cs="Arial"/>
          <w:sz w:val="16"/>
          <w:szCs w:val="16"/>
        </w:rPr>
        <w:t>Anklageschrift, S. 56R</w:t>
      </w:r>
      <w:r w:rsidR="00DC5456">
        <w:rPr>
          <w:rFonts w:ascii="Arial" w:hAnsi="Arial" w:cs="Arial"/>
          <w:sz w:val="16"/>
          <w:szCs w:val="16"/>
        </w:rPr>
        <w:t>)</w:t>
      </w:r>
    </w:p>
    <w:p w:rsidR="00DC5456" w:rsidRPr="00DC5456" w:rsidRDefault="00DC5456" w:rsidP="00D16BF7">
      <w:pPr>
        <w:pStyle w:val="KeinLeerraum"/>
        <w:jc w:val="right"/>
        <w:rPr>
          <w:rFonts w:ascii="Arial" w:hAnsi="Arial" w:cs="Arial"/>
          <w:sz w:val="20"/>
          <w:szCs w:val="20"/>
        </w:rPr>
      </w:pPr>
    </w:p>
    <w:p w:rsidR="00A2099F" w:rsidRPr="00DC5456" w:rsidRDefault="00DC5456" w:rsidP="004E3622">
      <w:pPr>
        <w:pStyle w:val="KeinLeerraum"/>
        <w:jc w:val="both"/>
        <w:rPr>
          <w:rFonts w:ascii="Arial" w:hAnsi="Arial" w:cs="Arial"/>
          <w:b/>
          <w:sz w:val="20"/>
          <w:szCs w:val="20"/>
        </w:rPr>
      </w:pPr>
      <w:r>
        <w:rPr>
          <w:rFonts w:ascii="Arial" w:hAnsi="Arial" w:cs="Arial"/>
          <w:b/>
          <w:sz w:val="20"/>
          <w:szCs w:val="20"/>
        </w:rPr>
        <w:t>2</w:t>
      </w:r>
      <w:r w:rsidR="00A2099F" w:rsidRPr="00DC5456">
        <w:rPr>
          <w:rFonts w:ascii="Arial" w:hAnsi="Arial" w:cs="Arial"/>
          <w:b/>
          <w:sz w:val="20"/>
          <w:szCs w:val="20"/>
        </w:rPr>
        <w:t>. Aufgaben eines Arztes</w:t>
      </w:r>
    </w:p>
    <w:p w:rsidR="008405FB" w:rsidRDefault="008405FB" w:rsidP="00DC5456">
      <w:pPr>
        <w:pStyle w:val="KeinLeerraum"/>
        <w:jc w:val="both"/>
        <w:rPr>
          <w:rFonts w:ascii="Arial" w:hAnsi="Arial" w:cs="Arial"/>
          <w:sz w:val="16"/>
          <w:szCs w:val="16"/>
        </w:rPr>
      </w:pPr>
      <w:r w:rsidRPr="00DC5456">
        <w:rPr>
          <w:rFonts w:ascii="Arial" w:hAnsi="Arial" w:cs="Arial"/>
          <w:sz w:val="20"/>
          <w:szCs w:val="20"/>
        </w:rPr>
        <w:t xml:space="preserve">„Aufgabe des Arztes ist es zu heilen. </w:t>
      </w:r>
      <w:r w:rsidR="00DC5456" w:rsidRPr="00DC5456">
        <w:rPr>
          <w:rFonts w:ascii="Arial" w:hAnsi="Arial" w:cs="Arial"/>
          <w:sz w:val="20"/>
          <w:szCs w:val="20"/>
        </w:rPr>
        <w:t xml:space="preserve">[…] </w:t>
      </w:r>
      <w:r w:rsidRPr="00DC5456">
        <w:rPr>
          <w:rFonts w:ascii="Arial" w:hAnsi="Arial" w:cs="Arial"/>
          <w:sz w:val="20"/>
          <w:szCs w:val="20"/>
        </w:rPr>
        <w:t xml:space="preserve">Wenn nun […] die Stellung des Arztes dazu missbraucht wird, seine ihm anvertrauten Kranken […] dem Tode zuzuführen, so ist </w:t>
      </w:r>
      <w:r w:rsidR="00DC5456" w:rsidRPr="00DC5456">
        <w:rPr>
          <w:rFonts w:ascii="Arial" w:hAnsi="Arial" w:cs="Arial"/>
          <w:sz w:val="20"/>
          <w:szCs w:val="20"/>
        </w:rPr>
        <w:t>dieses Handeln heimtückisch.</w:t>
      </w:r>
      <w:r w:rsidRPr="00DC5456">
        <w:rPr>
          <w:rFonts w:ascii="Arial" w:hAnsi="Arial" w:cs="Arial"/>
          <w:sz w:val="20"/>
          <w:szCs w:val="20"/>
        </w:rPr>
        <w:t>“</w:t>
      </w:r>
      <w:r w:rsidR="00DC5456">
        <w:rPr>
          <w:rFonts w:ascii="Arial" w:hAnsi="Arial" w:cs="Arial"/>
          <w:sz w:val="20"/>
          <w:szCs w:val="20"/>
        </w:rPr>
        <w:t xml:space="preserve"> (</w:t>
      </w:r>
      <w:r w:rsidR="004E3622" w:rsidRPr="00DC5456">
        <w:rPr>
          <w:rFonts w:ascii="Arial" w:hAnsi="Arial" w:cs="Arial"/>
          <w:sz w:val="16"/>
          <w:szCs w:val="16"/>
        </w:rPr>
        <w:t xml:space="preserve">Urteilsbegründung, </w:t>
      </w:r>
      <w:r w:rsidRPr="00DC5456">
        <w:rPr>
          <w:rFonts w:ascii="Arial" w:hAnsi="Arial" w:cs="Arial"/>
          <w:sz w:val="16"/>
          <w:szCs w:val="16"/>
        </w:rPr>
        <w:t>S. 21f.</w:t>
      </w:r>
      <w:r w:rsidR="00DC5456">
        <w:rPr>
          <w:rFonts w:ascii="Arial" w:hAnsi="Arial" w:cs="Arial"/>
          <w:sz w:val="16"/>
          <w:szCs w:val="16"/>
        </w:rPr>
        <w:t>)</w:t>
      </w:r>
    </w:p>
    <w:p w:rsidR="00DC5456" w:rsidRPr="00DC5456" w:rsidRDefault="00DC5456" w:rsidP="00DC5456">
      <w:pPr>
        <w:pStyle w:val="KeinLeerraum"/>
        <w:jc w:val="both"/>
        <w:rPr>
          <w:rFonts w:ascii="Arial" w:hAnsi="Arial" w:cs="Arial"/>
          <w:sz w:val="20"/>
          <w:szCs w:val="20"/>
        </w:rPr>
      </w:pPr>
    </w:p>
    <w:p w:rsidR="00A2099F" w:rsidRPr="00DC5456" w:rsidRDefault="00DC5456" w:rsidP="004E3622">
      <w:pPr>
        <w:pStyle w:val="KeinLeerraum"/>
        <w:jc w:val="both"/>
        <w:rPr>
          <w:rFonts w:ascii="Arial" w:hAnsi="Arial" w:cs="Arial"/>
          <w:b/>
          <w:sz w:val="20"/>
          <w:szCs w:val="20"/>
        </w:rPr>
      </w:pPr>
      <w:r w:rsidRPr="00DC5456">
        <w:rPr>
          <w:rFonts w:ascii="Arial" w:hAnsi="Arial" w:cs="Arial"/>
          <w:b/>
          <w:sz w:val="20"/>
          <w:szCs w:val="20"/>
        </w:rPr>
        <w:t>3</w:t>
      </w:r>
      <w:r w:rsidR="00A2099F" w:rsidRPr="00DC5456">
        <w:rPr>
          <w:rFonts w:ascii="Arial" w:hAnsi="Arial" w:cs="Arial"/>
          <w:b/>
          <w:sz w:val="20"/>
          <w:szCs w:val="20"/>
        </w:rPr>
        <w:t>. Individualverantwortung</w:t>
      </w:r>
    </w:p>
    <w:p w:rsidR="008405FB" w:rsidRPr="00DC5456" w:rsidRDefault="007507BD" w:rsidP="00DC5456">
      <w:pPr>
        <w:pStyle w:val="KeinLeerraum"/>
        <w:jc w:val="both"/>
        <w:rPr>
          <w:rFonts w:ascii="Arial" w:hAnsi="Arial" w:cs="Arial"/>
          <w:sz w:val="20"/>
          <w:szCs w:val="20"/>
        </w:rPr>
      </w:pPr>
      <w:r w:rsidRPr="00DC5456">
        <w:rPr>
          <w:rFonts w:ascii="Arial" w:hAnsi="Arial" w:cs="Arial"/>
          <w:sz w:val="20"/>
          <w:szCs w:val="20"/>
        </w:rPr>
        <w:t>„</w:t>
      </w:r>
      <w:r w:rsidR="008405FB" w:rsidRPr="00DC5456">
        <w:rPr>
          <w:rFonts w:ascii="Arial" w:hAnsi="Arial" w:cs="Arial"/>
          <w:sz w:val="20"/>
          <w:szCs w:val="20"/>
        </w:rPr>
        <w:t>Bei jeder einzelnen Tötung muss dem Täter die vorsätzliche Verursachung gerade dieser Tötung oder dem Gehilfen die Beihilfe gerade zu dieser Tötung nachgewiesen werden.</w:t>
      </w:r>
      <w:r w:rsidRPr="00DC5456">
        <w:rPr>
          <w:rFonts w:ascii="Arial" w:hAnsi="Arial" w:cs="Arial"/>
          <w:sz w:val="20"/>
          <w:szCs w:val="20"/>
        </w:rPr>
        <w:t>“</w:t>
      </w:r>
      <w:r w:rsidR="00DC5456">
        <w:rPr>
          <w:rFonts w:ascii="Arial" w:hAnsi="Arial" w:cs="Arial"/>
          <w:sz w:val="20"/>
          <w:szCs w:val="20"/>
        </w:rPr>
        <w:t xml:space="preserve"> (</w:t>
      </w:r>
      <w:r w:rsidR="00BE59E6" w:rsidRPr="00DC5456">
        <w:rPr>
          <w:rFonts w:ascii="Arial" w:hAnsi="Arial" w:cs="Arial"/>
          <w:sz w:val="16"/>
          <w:szCs w:val="16"/>
        </w:rPr>
        <w:t xml:space="preserve">Urteilsbegründung, </w:t>
      </w:r>
      <w:r w:rsidR="008405FB" w:rsidRPr="00DC5456">
        <w:rPr>
          <w:rFonts w:ascii="Arial" w:hAnsi="Arial" w:cs="Arial"/>
          <w:sz w:val="16"/>
          <w:szCs w:val="16"/>
        </w:rPr>
        <w:t>S. 24</w:t>
      </w:r>
      <w:r w:rsidR="00DC5456">
        <w:rPr>
          <w:rFonts w:ascii="Arial" w:hAnsi="Arial" w:cs="Arial"/>
          <w:sz w:val="16"/>
          <w:szCs w:val="16"/>
        </w:rPr>
        <w:t>)</w:t>
      </w:r>
    </w:p>
    <w:p w:rsidR="008405FB" w:rsidRPr="00DC5456" w:rsidRDefault="008405FB" w:rsidP="004E3622">
      <w:pPr>
        <w:pStyle w:val="KeinLeerraum"/>
        <w:jc w:val="both"/>
        <w:rPr>
          <w:rFonts w:ascii="Arial" w:hAnsi="Arial" w:cs="Arial"/>
          <w:sz w:val="20"/>
          <w:szCs w:val="20"/>
        </w:rPr>
      </w:pPr>
    </w:p>
    <w:p w:rsidR="00A2099F" w:rsidRPr="00DC5456" w:rsidRDefault="00A2099F" w:rsidP="004E3622">
      <w:pPr>
        <w:pStyle w:val="KeinLeerraum"/>
        <w:jc w:val="both"/>
        <w:rPr>
          <w:rFonts w:ascii="Arial" w:hAnsi="Arial" w:cs="Arial"/>
          <w:b/>
          <w:sz w:val="20"/>
          <w:szCs w:val="20"/>
        </w:rPr>
      </w:pPr>
      <w:r w:rsidRPr="00DC5456">
        <w:rPr>
          <w:rFonts w:ascii="Arial" w:hAnsi="Arial" w:cs="Arial"/>
          <w:b/>
          <w:sz w:val="20"/>
          <w:szCs w:val="20"/>
        </w:rPr>
        <w:t>5. Einfluss der Massenpropaganda</w:t>
      </w:r>
    </w:p>
    <w:p w:rsidR="00975F24" w:rsidRPr="00DC5456" w:rsidRDefault="00975F24" w:rsidP="00DC5456">
      <w:pPr>
        <w:pStyle w:val="KeinLeerraum"/>
        <w:jc w:val="both"/>
        <w:rPr>
          <w:rFonts w:ascii="Arial" w:hAnsi="Arial" w:cs="Arial"/>
          <w:sz w:val="20"/>
          <w:szCs w:val="20"/>
        </w:rPr>
      </w:pPr>
      <w:r w:rsidRPr="00DC5456">
        <w:rPr>
          <w:rFonts w:ascii="Arial" w:hAnsi="Arial" w:cs="Arial"/>
          <w:sz w:val="20"/>
          <w:szCs w:val="20"/>
        </w:rPr>
        <w:t>„Die Teilnahme oder Duldung von Verbrechen durch den Staat bringt es mit sich, dass der Täter vielfach unter dem Einfluss ein</w:t>
      </w:r>
      <w:bookmarkStart w:id="0" w:name="_GoBack"/>
      <w:bookmarkEnd w:id="0"/>
      <w:r w:rsidRPr="00DC5456">
        <w:rPr>
          <w:rFonts w:ascii="Arial" w:hAnsi="Arial" w:cs="Arial"/>
          <w:sz w:val="20"/>
          <w:szCs w:val="20"/>
        </w:rPr>
        <w:t>er Massenpropaganda stand, die ihm die Verworfenheit seines Handelns durch ideologi</w:t>
      </w:r>
      <w:r w:rsidR="00D16BF7" w:rsidRPr="00DC5456">
        <w:rPr>
          <w:rFonts w:ascii="Arial" w:hAnsi="Arial" w:cs="Arial"/>
          <w:sz w:val="20"/>
          <w:szCs w:val="20"/>
        </w:rPr>
        <w:t>sch</w:t>
      </w:r>
      <w:r w:rsidR="00A05DF3">
        <w:rPr>
          <w:rFonts w:ascii="Arial" w:hAnsi="Arial" w:cs="Arial"/>
          <w:sz w:val="20"/>
          <w:szCs w:val="20"/>
        </w:rPr>
        <w:t>e</w:t>
      </w:r>
      <w:r w:rsidR="00D16BF7" w:rsidRPr="00DC5456">
        <w:rPr>
          <w:rFonts w:ascii="Arial" w:hAnsi="Arial" w:cs="Arial"/>
          <w:sz w:val="20"/>
          <w:szCs w:val="20"/>
        </w:rPr>
        <w:t xml:space="preserve"> Vorwände verschleierte […].“</w:t>
      </w:r>
      <w:r w:rsidR="00DC5456">
        <w:rPr>
          <w:rFonts w:ascii="Arial" w:hAnsi="Arial" w:cs="Arial"/>
          <w:sz w:val="20"/>
          <w:szCs w:val="20"/>
        </w:rPr>
        <w:t xml:space="preserve"> (</w:t>
      </w:r>
      <w:r w:rsidR="00BE59E6" w:rsidRPr="00DC5456">
        <w:rPr>
          <w:rFonts w:ascii="Arial" w:hAnsi="Arial" w:cs="Arial"/>
          <w:sz w:val="16"/>
          <w:szCs w:val="16"/>
        </w:rPr>
        <w:t xml:space="preserve">Urteilsbegründung, </w:t>
      </w:r>
      <w:r w:rsidRPr="00DC5456">
        <w:rPr>
          <w:rFonts w:ascii="Arial" w:hAnsi="Arial" w:cs="Arial"/>
          <w:sz w:val="16"/>
          <w:szCs w:val="16"/>
        </w:rPr>
        <w:t>S. 25</w:t>
      </w:r>
      <w:r w:rsidR="00DC5456">
        <w:rPr>
          <w:rFonts w:ascii="Arial" w:hAnsi="Arial" w:cs="Arial"/>
          <w:sz w:val="16"/>
          <w:szCs w:val="16"/>
        </w:rPr>
        <w:t>)</w:t>
      </w:r>
    </w:p>
    <w:p w:rsidR="00A2099F" w:rsidRPr="00DC5456" w:rsidRDefault="00A2099F" w:rsidP="004E3622">
      <w:pPr>
        <w:pStyle w:val="KeinLeerraum"/>
        <w:jc w:val="both"/>
        <w:rPr>
          <w:rFonts w:ascii="Arial" w:hAnsi="Arial" w:cs="Arial"/>
          <w:sz w:val="20"/>
          <w:szCs w:val="20"/>
        </w:rPr>
      </w:pPr>
    </w:p>
    <w:p w:rsidR="00A2099F" w:rsidRPr="00DC5456" w:rsidRDefault="00A2099F" w:rsidP="004E3622">
      <w:pPr>
        <w:pStyle w:val="KeinLeerraum"/>
        <w:jc w:val="both"/>
        <w:rPr>
          <w:rFonts w:ascii="Arial" w:hAnsi="Arial" w:cs="Arial"/>
          <w:b/>
          <w:sz w:val="20"/>
          <w:szCs w:val="20"/>
        </w:rPr>
      </w:pPr>
      <w:r w:rsidRPr="00DC5456">
        <w:rPr>
          <w:rFonts w:ascii="Arial" w:hAnsi="Arial" w:cs="Arial"/>
          <w:b/>
          <w:sz w:val="20"/>
          <w:szCs w:val="20"/>
        </w:rPr>
        <w:t>6. Entbindung von der Gehorsamspflicht</w:t>
      </w:r>
    </w:p>
    <w:p w:rsidR="008405FB" w:rsidRPr="00DC5456" w:rsidRDefault="007507BD" w:rsidP="00DC5456">
      <w:pPr>
        <w:pStyle w:val="KeinLeerraum"/>
        <w:jc w:val="both"/>
        <w:rPr>
          <w:rFonts w:ascii="Arial" w:hAnsi="Arial" w:cs="Arial"/>
          <w:sz w:val="20"/>
          <w:szCs w:val="20"/>
        </w:rPr>
      </w:pPr>
      <w:r w:rsidRPr="00DC5456">
        <w:rPr>
          <w:rFonts w:ascii="Arial" w:hAnsi="Arial" w:cs="Arial"/>
          <w:sz w:val="20"/>
          <w:szCs w:val="20"/>
        </w:rPr>
        <w:t>„</w:t>
      </w:r>
      <w:r w:rsidR="008405FB" w:rsidRPr="00DC5456">
        <w:rPr>
          <w:rFonts w:ascii="Arial" w:hAnsi="Arial" w:cs="Arial"/>
          <w:sz w:val="20"/>
          <w:szCs w:val="20"/>
        </w:rPr>
        <w:t>Verstößt ein Gesetz, ein Erlass oder ein Befehl so offensichtlich gegen die einfachsten Gesetze der Menschlichkeit wie in diesem Fall, so können die Beteiligten auch die Rechtswidrigkeit und Unverbindlichkeit desselben erkennen</w:t>
      </w:r>
      <w:r w:rsidR="00DC5456" w:rsidRPr="00DC5456">
        <w:rPr>
          <w:rFonts w:ascii="Arial" w:hAnsi="Arial" w:cs="Arial"/>
          <w:sz w:val="20"/>
          <w:szCs w:val="20"/>
        </w:rPr>
        <w:t xml:space="preserve">. […] </w:t>
      </w:r>
      <w:r w:rsidR="008405FB" w:rsidRPr="00DC5456">
        <w:rPr>
          <w:rFonts w:ascii="Arial" w:hAnsi="Arial" w:cs="Arial"/>
          <w:sz w:val="20"/>
          <w:szCs w:val="20"/>
        </w:rPr>
        <w:t>Schon im früheren Militärstrafgesetzbuch § 47 und im Deutsc</w:t>
      </w:r>
      <w:r w:rsidR="0082481C" w:rsidRPr="00DC5456">
        <w:rPr>
          <w:rFonts w:ascii="Arial" w:hAnsi="Arial" w:cs="Arial"/>
          <w:sz w:val="20"/>
          <w:szCs w:val="20"/>
        </w:rPr>
        <w:t>h</w:t>
      </w:r>
      <w:r w:rsidR="008405FB" w:rsidRPr="00DC5456">
        <w:rPr>
          <w:rFonts w:ascii="Arial" w:hAnsi="Arial" w:cs="Arial"/>
          <w:sz w:val="20"/>
          <w:szCs w:val="20"/>
        </w:rPr>
        <w:t>en Beamtengesetz § 7 II ist ausdrücklich bestimmt, dass bei erkannter Rechtswidrigkeit eines Befehls keine Gehorsamspflicht besteht, der Untergebene sich sogar im Falle der Befolgung des Befehls strafrechtlich verantwortlich macht.</w:t>
      </w:r>
      <w:r w:rsidRPr="00DC5456">
        <w:rPr>
          <w:rFonts w:ascii="Arial" w:hAnsi="Arial" w:cs="Arial"/>
          <w:sz w:val="20"/>
          <w:szCs w:val="20"/>
        </w:rPr>
        <w:t>“</w:t>
      </w:r>
      <w:r w:rsidR="00DC5456">
        <w:rPr>
          <w:rFonts w:ascii="Arial" w:hAnsi="Arial" w:cs="Arial"/>
          <w:sz w:val="20"/>
          <w:szCs w:val="20"/>
        </w:rPr>
        <w:t xml:space="preserve"> (</w:t>
      </w:r>
      <w:r w:rsidR="00BE59E6" w:rsidRPr="00DC5456">
        <w:rPr>
          <w:rFonts w:ascii="Arial" w:hAnsi="Arial" w:cs="Arial"/>
          <w:sz w:val="16"/>
          <w:szCs w:val="16"/>
        </w:rPr>
        <w:t xml:space="preserve">Urteilsbegründung, </w:t>
      </w:r>
      <w:r w:rsidR="008405FB" w:rsidRPr="00DC5456">
        <w:rPr>
          <w:rFonts w:ascii="Arial" w:hAnsi="Arial" w:cs="Arial"/>
          <w:sz w:val="16"/>
          <w:szCs w:val="16"/>
        </w:rPr>
        <w:t>S. 26f.</w:t>
      </w:r>
      <w:r w:rsidR="00DC5456">
        <w:rPr>
          <w:rFonts w:ascii="Arial" w:hAnsi="Arial" w:cs="Arial"/>
          <w:sz w:val="16"/>
          <w:szCs w:val="16"/>
        </w:rPr>
        <w:t>)</w:t>
      </w:r>
    </w:p>
    <w:p w:rsidR="008405FB" w:rsidRPr="00DC5456" w:rsidRDefault="008405FB" w:rsidP="004E3622">
      <w:pPr>
        <w:pStyle w:val="KeinLeerraum"/>
        <w:jc w:val="both"/>
        <w:rPr>
          <w:rFonts w:ascii="Arial" w:hAnsi="Arial" w:cs="Arial"/>
          <w:sz w:val="20"/>
          <w:szCs w:val="20"/>
        </w:rPr>
      </w:pPr>
    </w:p>
    <w:p w:rsidR="00A2099F" w:rsidRPr="00DC5456" w:rsidRDefault="00A2099F" w:rsidP="004E3622">
      <w:pPr>
        <w:pStyle w:val="KeinLeerraum"/>
        <w:jc w:val="both"/>
        <w:rPr>
          <w:rFonts w:ascii="Arial" w:hAnsi="Arial" w:cs="Arial"/>
          <w:b/>
          <w:sz w:val="20"/>
          <w:szCs w:val="20"/>
        </w:rPr>
      </w:pPr>
      <w:r w:rsidRPr="00DC5456">
        <w:rPr>
          <w:rFonts w:ascii="Arial" w:hAnsi="Arial" w:cs="Arial"/>
          <w:b/>
          <w:sz w:val="20"/>
          <w:szCs w:val="20"/>
        </w:rPr>
        <w:t>7. Verweigerung der Mitwirkung</w:t>
      </w:r>
    </w:p>
    <w:p w:rsidR="00975F24" w:rsidRPr="00DC5456" w:rsidRDefault="00975F24" w:rsidP="00DC5456">
      <w:pPr>
        <w:pStyle w:val="KeinLeerraum"/>
        <w:jc w:val="both"/>
        <w:rPr>
          <w:rFonts w:ascii="Arial" w:hAnsi="Arial" w:cs="Arial"/>
          <w:sz w:val="20"/>
          <w:szCs w:val="20"/>
        </w:rPr>
      </w:pPr>
      <w:r w:rsidRPr="00DC5456">
        <w:rPr>
          <w:rFonts w:ascii="Arial" w:hAnsi="Arial" w:cs="Arial"/>
          <w:sz w:val="20"/>
          <w:szCs w:val="20"/>
        </w:rPr>
        <w:t>„Es ist auch weder in diesem Prozess noch in den anderen ähnlichen Prozessen ein Fall bekannt geworden, dass ein Arzt wegen Verweigerung seiner Mitwirkung zum Tode verurteilt oder eingesperrt worden ist, obwohl in einigen Fällen die Ärzte ihre Mitwirkung verweigerten und zum Teil sogar erheblichen Widerstand geleistet haben.“</w:t>
      </w:r>
      <w:r w:rsidR="00DC5456">
        <w:rPr>
          <w:rFonts w:ascii="Arial" w:hAnsi="Arial" w:cs="Arial"/>
          <w:sz w:val="20"/>
          <w:szCs w:val="20"/>
        </w:rPr>
        <w:t xml:space="preserve"> (</w:t>
      </w:r>
      <w:r w:rsidRPr="00DC5456">
        <w:rPr>
          <w:rFonts w:ascii="Arial" w:hAnsi="Arial" w:cs="Arial"/>
          <w:sz w:val="16"/>
          <w:szCs w:val="16"/>
        </w:rPr>
        <w:t>Urteilsbegründung, S. 28</w:t>
      </w:r>
      <w:r w:rsidR="00DC5456">
        <w:rPr>
          <w:rFonts w:ascii="Arial" w:hAnsi="Arial" w:cs="Arial"/>
          <w:sz w:val="16"/>
          <w:szCs w:val="16"/>
        </w:rPr>
        <w:t>)</w:t>
      </w:r>
    </w:p>
    <w:p w:rsidR="00A2099F" w:rsidRPr="00DC5456" w:rsidRDefault="00DC5456" w:rsidP="004E3622">
      <w:pPr>
        <w:pStyle w:val="KeinLeerraum"/>
        <w:jc w:val="both"/>
        <w:rPr>
          <w:rFonts w:ascii="Arial" w:hAnsi="Arial" w:cs="Arial"/>
          <w:b/>
          <w:sz w:val="20"/>
          <w:szCs w:val="20"/>
        </w:rPr>
      </w:pPr>
      <w:r>
        <w:rPr>
          <w:rFonts w:ascii="Arial" w:hAnsi="Arial" w:cs="Arial"/>
          <w:b/>
          <w:sz w:val="20"/>
          <w:szCs w:val="20"/>
        </w:rPr>
        <w:t>8</w:t>
      </w:r>
      <w:r w:rsidR="00A2099F" w:rsidRPr="00DC5456">
        <w:rPr>
          <w:rFonts w:ascii="Arial" w:hAnsi="Arial" w:cs="Arial"/>
          <w:b/>
          <w:sz w:val="20"/>
          <w:szCs w:val="20"/>
        </w:rPr>
        <w:t>. „Getarnter Widerstand“</w:t>
      </w:r>
    </w:p>
    <w:p w:rsidR="008C43A4" w:rsidRPr="00DC5456" w:rsidRDefault="00D16BF7" w:rsidP="00DC5456">
      <w:pPr>
        <w:pStyle w:val="KeinLeerraum"/>
        <w:jc w:val="both"/>
        <w:rPr>
          <w:rFonts w:ascii="Arial" w:hAnsi="Arial" w:cs="Arial"/>
          <w:sz w:val="20"/>
          <w:szCs w:val="20"/>
        </w:rPr>
      </w:pPr>
      <w:r w:rsidRPr="00DC5456">
        <w:rPr>
          <w:rFonts w:ascii="Arial" w:hAnsi="Arial" w:cs="Arial"/>
          <w:sz w:val="20"/>
          <w:szCs w:val="20"/>
        </w:rPr>
        <w:t>„</w:t>
      </w:r>
      <w:r w:rsidR="00975F24" w:rsidRPr="00DC5456">
        <w:rPr>
          <w:rFonts w:ascii="Arial" w:hAnsi="Arial" w:cs="Arial"/>
          <w:sz w:val="20"/>
          <w:szCs w:val="20"/>
        </w:rPr>
        <w:t>Es kann dabei davon ausgegangen werden, dass die Angeklagten durch eine Weigerung, mitzumachen, zwar selbst aus der strafrechtlichen Verantwortung herausgehalten, aber die Aktion dadurch in keiner Weise verhindert oder auch nur gehemmt hätten. […] Ein offener Widerstand war ebenfalls völlig unmöglich […]. Als einziges Mittel, um noch wenigstens einen Teil der für die Aktion in Frage kommenden Kranken zu retten, kam also nur der getarnte Widerstand in Frage. Dieser war aber nur um den Preis der Mitwirkung an der Aktion möglich. […] Wer also in einem derartigen Konflikt sich dafür entscheidet, auf seinem Posten zu bleiben […], um dadurch um den Preis der Teilnahme an der verbrecherischen Aktion noch zu retten</w:t>
      </w:r>
      <w:r w:rsidRPr="00DC5456">
        <w:rPr>
          <w:rFonts w:ascii="Arial" w:hAnsi="Arial" w:cs="Arial"/>
          <w:sz w:val="20"/>
          <w:szCs w:val="20"/>
        </w:rPr>
        <w:t>,</w:t>
      </w:r>
      <w:r w:rsidR="00975F24" w:rsidRPr="00DC5456">
        <w:rPr>
          <w:rFonts w:ascii="Arial" w:hAnsi="Arial" w:cs="Arial"/>
          <w:sz w:val="20"/>
          <w:szCs w:val="20"/>
        </w:rPr>
        <w:t xml:space="preserve"> was zu retten ist, dem muss dies als Schuldausschließungsgrund angerechnet werden.“</w:t>
      </w:r>
      <w:r w:rsidR="00DC5456">
        <w:rPr>
          <w:rFonts w:ascii="Arial" w:hAnsi="Arial" w:cs="Arial"/>
          <w:sz w:val="20"/>
          <w:szCs w:val="20"/>
        </w:rPr>
        <w:t xml:space="preserve"> (</w:t>
      </w:r>
      <w:r w:rsidRPr="00DC5456">
        <w:rPr>
          <w:rFonts w:ascii="Arial" w:hAnsi="Arial" w:cs="Arial"/>
          <w:sz w:val="16"/>
          <w:szCs w:val="16"/>
        </w:rPr>
        <w:t xml:space="preserve">Urteilsbegründung, </w:t>
      </w:r>
      <w:r w:rsidR="008C43A4" w:rsidRPr="00DC5456">
        <w:rPr>
          <w:rFonts w:ascii="Arial" w:hAnsi="Arial" w:cs="Arial"/>
          <w:sz w:val="16"/>
          <w:szCs w:val="16"/>
        </w:rPr>
        <w:t>S. 32-35</w:t>
      </w:r>
      <w:r w:rsidR="00DC5456">
        <w:rPr>
          <w:rFonts w:ascii="Arial" w:hAnsi="Arial" w:cs="Arial"/>
          <w:sz w:val="16"/>
          <w:szCs w:val="16"/>
        </w:rPr>
        <w:t>)</w:t>
      </w:r>
    </w:p>
    <w:p w:rsidR="00975F24" w:rsidRPr="00DC5456" w:rsidRDefault="00975F24" w:rsidP="004E3622">
      <w:pPr>
        <w:pStyle w:val="KeinLeerraum"/>
        <w:jc w:val="both"/>
        <w:rPr>
          <w:rFonts w:ascii="Arial" w:hAnsi="Arial" w:cs="Arial"/>
          <w:sz w:val="20"/>
          <w:szCs w:val="20"/>
        </w:rPr>
      </w:pPr>
    </w:p>
    <w:p w:rsidR="00A2099F" w:rsidRPr="00DC5456" w:rsidRDefault="00DC5456" w:rsidP="004E3622">
      <w:pPr>
        <w:pStyle w:val="KeinLeerraum"/>
        <w:jc w:val="both"/>
        <w:rPr>
          <w:rFonts w:ascii="Arial" w:hAnsi="Arial" w:cs="Arial"/>
          <w:b/>
          <w:sz w:val="20"/>
          <w:szCs w:val="20"/>
        </w:rPr>
      </w:pPr>
      <w:r>
        <w:rPr>
          <w:rFonts w:ascii="Arial" w:hAnsi="Arial" w:cs="Arial"/>
          <w:b/>
          <w:sz w:val="20"/>
          <w:szCs w:val="20"/>
        </w:rPr>
        <w:t>9</w:t>
      </w:r>
      <w:r w:rsidR="00A2099F" w:rsidRPr="00DC5456">
        <w:rPr>
          <w:rFonts w:ascii="Arial" w:hAnsi="Arial" w:cs="Arial"/>
          <w:b/>
          <w:sz w:val="20"/>
          <w:szCs w:val="20"/>
        </w:rPr>
        <w:t>. Bürokratische Einstellung</w:t>
      </w:r>
    </w:p>
    <w:p w:rsidR="0082481C" w:rsidRPr="00DC5456" w:rsidRDefault="0082481C" w:rsidP="00DC5456">
      <w:pPr>
        <w:pStyle w:val="KeinLeerraum"/>
        <w:jc w:val="both"/>
        <w:rPr>
          <w:rFonts w:ascii="Arial" w:hAnsi="Arial" w:cs="Arial"/>
          <w:sz w:val="20"/>
          <w:szCs w:val="20"/>
        </w:rPr>
      </w:pPr>
      <w:r w:rsidRPr="00DC5456">
        <w:rPr>
          <w:rFonts w:ascii="Arial" w:hAnsi="Arial" w:cs="Arial"/>
          <w:sz w:val="20"/>
          <w:szCs w:val="20"/>
        </w:rPr>
        <w:t xml:space="preserve">„Als Gesamtbild ergibt sich bei Dr. </w:t>
      </w:r>
      <w:proofErr w:type="spellStart"/>
      <w:r w:rsidRPr="00DC5456">
        <w:rPr>
          <w:rFonts w:ascii="Arial" w:hAnsi="Arial" w:cs="Arial"/>
          <w:sz w:val="20"/>
          <w:szCs w:val="20"/>
        </w:rPr>
        <w:t>Mauthe</w:t>
      </w:r>
      <w:proofErr w:type="spellEnd"/>
      <w:r w:rsidRPr="00DC5456">
        <w:rPr>
          <w:rFonts w:ascii="Arial" w:hAnsi="Arial" w:cs="Arial"/>
          <w:sz w:val="20"/>
          <w:szCs w:val="20"/>
        </w:rPr>
        <w:t xml:space="preserve">, dass er zwar ein Gegner des Nationalsozialismus und auch der Tötungsaktion gewesen sein mag, dass er aber aus Angst um seine Stellung mitgemacht hat. Soweit er zu der Rettung von Kranken beigetragen hat, hat er dies nur im Rahmen der von oben gegebenen Richtlinien oder aber in Fällen, in denen er </w:t>
      </w:r>
      <w:r w:rsidR="0035333F" w:rsidRPr="00DC5456">
        <w:rPr>
          <w:rFonts w:ascii="Arial" w:hAnsi="Arial" w:cs="Arial"/>
          <w:sz w:val="20"/>
          <w:szCs w:val="20"/>
        </w:rPr>
        <w:t>nichts</w:t>
      </w:r>
      <w:r w:rsidRPr="00DC5456">
        <w:rPr>
          <w:rFonts w:ascii="Arial" w:hAnsi="Arial" w:cs="Arial"/>
          <w:sz w:val="20"/>
          <w:szCs w:val="20"/>
        </w:rPr>
        <w:t xml:space="preserve"> riskierte, getan. </w:t>
      </w:r>
      <w:r w:rsidR="00DC5456" w:rsidRPr="00DC5456">
        <w:rPr>
          <w:rFonts w:ascii="Arial" w:hAnsi="Arial" w:cs="Arial"/>
          <w:sz w:val="20"/>
          <w:szCs w:val="20"/>
        </w:rPr>
        <w:t xml:space="preserve">[…] </w:t>
      </w:r>
      <w:r w:rsidRPr="00DC5456">
        <w:rPr>
          <w:rFonts w:ascii="Arial" w:hAnsi="Arial" w:cs="Arial"/>
          <w:sz w:val="20"/>
          <w:szCs w:val="20"/>
        </w:rPr>
        <w:t>Bei seiner ängstlichen Veranlagung musst</w:t>
      </w:r>
      <w:r w:rsidR="007507BD" w:rsidRPr="00DC5456">
        <w:rPr>
          <w:rFonts w:ascii="Arial" w:hAnsi="Arial" w:cs="Arial"/>
          <w:sz w:val="20"/>
          <w:szCs w:val="20"/>
        </w:rPr>
        <w:t>e</w:t>
      </w:r>
      <w:r w:rsidRPr="00DC5456">
        <w:rPr>
          <w:rFonts w:ascii="Arial" w:hAnsi="Arial" w:cs="Arial"/>
          <w:sz w:val="20"/>
          <w:szCs w:val="20"/>
        </w:rPr>
        <w:t xml:space="preserve"> er seine Unfähigkeit zu einem nachhaltigen Widerstand erkennen und deshalb abtreten.“</w:t>
      </w:r>
      <w:r w:rsidR="00DC5456">
        <w:rPr>
          <w:rFonts w:ascii="Arial" w:hAnsi="Arial" w:cs="Arial"/>
          <w:sz w:val="20"/>
          <w:szCs w:val="20"/>
        </w:rPr>
        <w:t xml:space="preserve"> (</w:t>
      </w:r>
      <w:r w:rsidR="00D16BF7" w:rsidRPr="00DC5456">
        <w:rPr>
          <w:rFonts w:ascii="Arial" w:hAnsi="Arial" w:cs="Arial"/>
          <w:sz w:val="16"/>
          <w:szCs w:val="16"/>
        </w:rPr>
        <w:t xml:space="preserve">Urteilsbegründung, </w:t>
      </w:r>
      <w:r w:rsidRPr="00DC5456">
        <w:rPr>
          <w:rFonts w:ascii="Arial" w:hAnsi="Arial" w:cs="Arial"/>
          <w:sz w:val="16"/>
          <w:szCs w:val="16"/>
        </w:rPr>
        <w:t>S. 43f.</w:t>
      </w:r>
      <w:r w:rsidR="00DC5456">
        <w:rPr>
          <w:rFonts w:ascii="Arial" w:hAnsi="Arial" w:cs="Arial"/>
          <w:sz w:val="16"/>
          <w:szCs w:val="16"/>
        </w:rPr>
        <w:t>)</w:t>
      </w:r>
    </w:p>
    <w:p w:rsidR="0082481C" w:rsidRPr="00DC5456" w:rsidRDefault="0082481C" w:rsidP="004E3622">
      <w:pPr>
        <w:pStyle w:val="KeinLeerraum"/>
        <w:jc w:val="both"/>
        <w:rPr>
          <w:rFonts w:ascii="Arial" w:hAnsi="Arial" w:cs="Arial"/>
          <w:sz w:val="16"/>
          <w:szCs w:val="16"/>
        </w:rPr>
      </w:pPr>
    </w:p>
    <w:p w:rsidR="00A2099F" w:rsidRPr="00DC5456" w:rsidRDefault="00A2099F" w:rsidP="004E3622">
      <w:pPr>
        <w:pStyle w:val="KeinLeerraum"/>
        <w:jc w:val="both"/>
        <w:rPr>
          <w:rFonts w:ascii="Arial" w:hAnsi="Arial" w:cs="Arial"/>
          <w:b/>
          <w:sz w:val="20"/>
          <w:szCs w:val="20"/>
        </w:rPr>
      </w:pPr>
      <w:r w:rsidRPr="00DC5456">
        <w:rPr>
          <w:rFonts w:ascii="Arial" w:hAnsi="Arial" w:cs="Arial"/>
          <w:b/>
          <w:sz w:val="20"/>
          <w:szCs w:val="20"/>
        </w:rPr>
        <w:t>1</w:t>
      </w:r>
      <w:r w:rsidR="00DC5456">
        <w:rPr>
          <w:rFonts w:ascii="Arial" w:hAnsi="Arial" w:cs="Arial"/>
          <w:b/>
          <w:sz w:val="20"/>
          <w:szCs w:val="20"/>
        </w:rPr>
        <w:t>0</w:t>
      </w:r>
      <w:r w:rsidRPr="00DC5456">
        <w:rPr>
          <w:rFonts w:ascii="Arial" w:hAnsi="Arial" w:cs="Arial"/>
          <w:b/>
          <w:sz w:val="20"/>
          <w:szCs w:val="20"/>
        </w:rPr>
        <w:t>. Gleichgültigkeit</w:t>
      </w:r>
    </w:p>
    <w:p w:rsidR="00DC5456" w:rsidRDefault="007507BD" w:rsidP="00DC5456">
      <w:pPr>
        <w:pStyle w:val="KeinLeerraum"/>
        <w:jc w:val="both"/>
        <w:rPr>
          <w:rFonts w:ascii="Arial" w:hAnsi="Arial" w:cs="Arial"/>
          <w:sz w:val="20"/>
          <w:szCs w:val="20"/>
        </w:rPr>
      </w:pPr>
      <w:r w:rsidRPr="00DC5456">
        <w:rPr>
          <w:rFonts w:ascii="Arial" w:hAnsi="Arial" w:cs="Arial"/>
          <w:sz w:val="20"/>
          <w:szCs w:val="20"/>
        </w:rPr>
        <w:t>„</w:t>
      </w:r>
      <w:r w:rsidR="0082481C" w:rsidRPr="00DC5456">
        <w:rPr>
          <w:rFonts w:ascii="Arial" w:hAnsi="Arial" w:cs="Arial"/>
          <w:sz w:val="20"/>
          <w:szCs w:val="20"/>
        </w:rPr>
        <w:t>Der Angeklagte Dr. Stegmann war seiner ganzen Persönlichkeit nach kein ausgesprochener Gegner der Aktion. Er stand ihr mindestens gleichgültig gegenüber. […] Seine […] zugegebenen freiwilligen Besuche in Grafeneck lassen es als unwahrscheinlich erscheinen, dass er einen besonderen Abscheu vor diesem Massenmord hatte. Dafür spricht auch der Umstand, dass er sich nichts daraus machte, in einem der Todesomnibusse mitzufahren, um Kirschen in Winnende</w:t>
      </w:r>
      <w:r w:rsidR="0035333F" w:rsidRPr="00DC5456">
        <w:rPr>
          <w:rFonts w:ascii="Arial" w:hAnsi="Arial" w:cs="Arial"/>
          <w:sz w:val="20"/>
          <w:szCs w:val="20"/>
        </w:rPr>
        <w:t>n</w:t>
      </w:r>
      <w:r w:rsidR="0082481C" w:rsidRPr="00DC5456">
        <w:rPr>
          <w:rFonts w:ascii="Arial" w:hAnsi="Arial" w:cs="Arial"/>
          <w:sz w:val="20"/>
          <w:szCs w:val="20"/>
        </w:rPr>
        <w:t xml:space="preserve"> zu holen, und dass er bei diesem Besuch mit der Zigarette im Mund der Verladung der Kranken zuschaute und dazu noch geschmacklose Bemerkungen machte, indem er im Hinblick auf eine frühere Patientin, die sich einbildete, seine Braut zu sein, äußerte: </w:t>
      </w:r>
      <w:r w:rsidRPr="00DC5456">
        <w:rPr>
          <w:rFonts w:ascii="Arial" w:hAnsi="Arial" w:cs="Arial"/>
          <w:sz w:val="20"/>
          <w:szCs w:val="20"/>
        </w:rPr>
        <w:t>&gt;</w:t>
      </w:r>
      <w:r w:rsidR="0082481C" w:rsidRPr="00DC5456">
        <w:rPr>
          <w:rFonts w:ascii="Arial" w:hAnsi="Arial" w:cs="Arial"/>
          <w:sz w:val="20"/>
          <w:szCs w:val="20"/>
        </w:rPr>
        <w:t xml:space="preserve">Da steigt meine Braut </w:t>
      </w:r>
      <w:proofErr w:type="gramStart"/>
      <w:r w:rsidR="0082481C" w:rsidRPr="00DC5456">
        <w:rPr>
          <w:rFonts w:ascii="Arial" w:hAnsi="Arial" w:cs="Arial"/>
          <w:sz w:val="20"/>
          <w:szCs w:val="20"/>
        </w:rPr>
        <w:t>ein!</w:t>
      </w:r>
      <w:r w:rsidRPr="00DC5456">
        <w:rPr>
          <w:rFonts w:ascii="Arial" w:hAnsi="Arial" w:cs="Arial"/>
          <w:sz w:val="20"/>
          <w:szCs w:val="20"/>
        </w:rPr>
        <w:t>&lt;</w:t>
      </w:r>
      <w:proofErr w:type="gramEnd"/>
      <w:r w:rsidRPr="00DC5456">
        <w:rPr>
          <w:rFonts w:ascii="Arial" w:hAnsi="Arial" w:cs="Arial"/>
          <w:sz w:val="20"/>
          <w:szCs w:val="20"/>
        </w:rPr>
        <w:t>“</w:t>
      </w:r>
      <w:r w:rsidR="00DC5456">
        <w:rPr>
          <w:rFonts w:ascii="Arial" w:hAnsi="Arial" w:cs="Arial"/>
          <w:sz w:val="20"/>
          <w:szCs w:val="20"/>
        </w:rPr>
        <w:t xml:space="preserve"> </w:t>
      </w:r>
    </w:p>
    <w:p w:rsidR="00B12AB7" w:rsidRPr="00DC5456" w:rsidRDefault="00DC5456" w:rsidP="00DC5456">
      <w:pPr>
        <w:pStyle w:val="KeinLeerraum"/>
        <w:jc w:val="both"/>
        <w:rPr>
          <w:rFonts w:ascii="Arial" w:hAnsi="Arial" w:cs="Arial"/>
          <w:sz w:val="20"/>
          <w:szCs w:val="20"/>
        </w:rPr>
      </w:pPr>
      <w:r>
        <w:rPr>
          <w:rFonts w:ascii="Arial" w:hAnsi="Arial" w:cs="Arial"/>
          <w:sz w:val="20"/>
          <w:szCs w:val="20"/>
        </w:rPr>
        <w:t>(</w:t>
      </w:r>
      <w:r w:rsidRPr="00DC5456">
        <w:rPr>
          <w:rFonts w:ascii="Arial" w:hAnsi="Arial" w:cs="Arial"/>
          <w:sz w:val="16"/>
          <w:szCs w:val="16"/>
        </w:rPr>
        <w:t>U</w:t>
      </w:r>
      <w:r w:rsidR="00D16BF7" w:rsidRPr="00DC5456">
        <w:rPr>
          <w:rFonts w:ascii="Arial" w:hAnsi="Arial" w:cs="Arial"/>
          <w:sz w:val="16"/>
          <w:szCs w:val="16"/>
        </w:rPr>
        <w:t xml:space="preserve">rteilsbegründung, </w:t>
      </w:r>
      <w:r w:rsidR="00B12AB7" w:rsidRPr="00DC5456">
        <w:rPr>
          <w:rFonts w:ascii="Arial" w:hAnsi="Arial" w:cs="Arial"/>
          <w:sz w:val="16"/>
          <w:szCs w:val="16"/>
        </w:rPr>
        <w:t>S. 43R</w:t>
      </w:r>
      <w:r>
        <w:rPr>
          <w:rFonts w:ascii="Arial" w:hAnsi="Arial" w:cs="Arial"/>
          <w:sz w:val="16"/>
          <w:szCs w:val="16"/>
        </w:rPr>
        <w:t>)</w:t>
      </w:r>
    </w:p>
    <w:p w:rsidR="00DC5456" w:rsidRPr="00DC5456" w:rsidRDefault="00DC5456" w:rsidP="004E3622">
      <w:pPr>
        <w:pStyle w:val="KeinLeerraum"/>
        <w:jc w:val="both"/>
        <w:rPr>
          <w:rFonts w:ascii="Arial" w:hAnsi="Arial" w:cs="Arial"/>
          <w:sz w:val="20"/>
          <w:szCs w:val="20"/>
        </w:rPr>
        <w:sectPr w:rsidR="00DC5456" w:rsidRPr="00DC5456" w:rsidSect="00DC5456">
          <w:type w:val="continuous"/>
          <w:pgSz w:w="11906" w:h="16838"/>
          <w:pgMar w:top="1417" w:right="991" w:bottom="1134" w:left="993" w:header="708" w:footer="708" w:gutter="0"/>
          <w:cols w:num="2" w:space="566"/>
          <w:docGrid w:linePitch="360"/>
        </w:sectPr>
      </w:pPr>
    </w:p>
    <w:p w:rsidR="004E3622" w:rsidRPr="00DC5456" w:rsidRDefault="004E3622" w:rsidP="004E3622">
      <w:pPr>
        <w:pStyle w:val="KeinLeerraum"/>
        <w:jc w:val="both"/>
        <w:rPr>
          <w:rFonts w:ascii="Arial" w:hAnsi="Arial" w:cs="Arial"/>
          <w:sz w:val="20"/>
          <w:szCs w:val="20"/>
        </w:rPr>
        <w:sectPr w:rsidR="004E3622" w:rsidRPr="00DC5456" w:rsidSect="00DC5456">
          <w:type w:val="continuous"/>
          <w:pgSz w:w="11906" w:h="16838"/>
          <w:pgMar w:top="1417" w:right="1417" w:bottom="1134" w:left="1417" w:header="708" w:footer="708" w:gutter="0"/>
          <w:cols w:space="566"/>
          <w:docGrid w:linePitch="360"/>
        </w:sectPr>
      </w:pPr>
    </w:p>
    <w:p w:rsidR="00CC6488" w:rsidRDefault="004E3622" w:rsidP="00DC5456">
      <w:pPr>
        <w:pStyle w:val="KeinLeerraum"/>
        <w:jc w:val="both"/>
        <w:rPr>
          <w:rFonts w:ascii="Arial" w:hAnsi="Arial" w:cs="Arial"/>
          <w:sz w:val="20"/>
          <w:szCs w:val="20"/>
        </w:rPr>
      </w:pPr>
      <w:r w:rsidRPr="00797F1C">
        <w:rPr>
          <w:rFonts w:ascii="Arial" w:hAnsi="Arial" w:cs="Arial"/>
          <w:sz w:val="20"/>
          <w:szCs w:val="20"/>
        </w:rPr>
        <w:t xml:space="preserve">Anklageschrift: </w:t>
      </w:r>
      <w:r w:rsidR="00797F1C" w:rsidRPr="00797F1C">
        <w:rPr>
          <w:rFonts w:ascii="Arial" w:hAnsi="Arial" w:cs="Arial"/>
          <w:sz w:val="20"/>
          <w:szCs w:val="20"/>
        </w:rPr>
        <w:t>Staatsarchiv Sigmaringen</w:t>
      </w:r>
      <w:r w:rsidRPr="00797F1C">
        <w:rPr>
          <w:rFonts w:ascii="Arial" w:hAnsi="Arial" w:cs="Arial"/>
          <w:sz w:val="20"/>
          <w:szCs w:val="20"/>
        </w:rPr>
        <w:t xml:space="preserve"> </w:t>
      </w:r>
      <w:proofErr w:type="spellStart"/>
      <w:r w:rsidRPr="00797F1C">
        <w:rPr>
          <w:rFonts w:ascii="Arial" w:hAnsi="Arial" w:cs="Arial"/>
          <w:sz w:val="20"/>
          <w:szCs w:val="20"/>
        </w:rPr>
        <w:t>Wü</w:t>
      </w:r>
      <w:proofErr w:type="spellEnd"/>
      <w:r w:rsidRPr="00797F1C">
        <w:rPr>
          <w:rFonts w:ascii="Arial" w:hAnsi="Arial" w:cs="Arial"/>
          <w:sz w:val="20"/>
          <w:szCs w:val="20"/>
        </w:rPr>
        <w:t xml:space="preserve"> 29/3 T1 Nr. 1754/01/01</w:t>
      </w:r>
    </w:p>
    <w:p w:rsidR="004E3622" w:rsidRPr="00797F1C" w:rsidRDefault="004E3622" w:rsidP="00DC5456">
      <w:pPr>
        <w:pStyle w:val="KeinLeerraum"/>
        <w:jc w:val="both"/>
        <w:rPr>
          <w:rFonts w:ascii="Arial" w:hAnsi="Arial" w:cs="Arial"/>
          <w:sz w:val="20"/>
          <w:szCs w:val="20"/>
        </w:rPr>
      </w:pPr>
      <w:r w:rsidRPr="00797F1C">
        <w:rPr>
          <w:rFonts w:ascii="Arial" w:hAnsi="Arial" w:cs="Arial"/>
          <w:sz w:val="20"/>
          <w:szCs w:val="20"/>
        </w:rPr>
        <w:t>Urteilsbegründung:</w:t>
      </w:r>
      <w:r w:rsidR="00797F1C" w:rsidRPr="00797F1C">
        <w:rPr>
          <w:rFonts w:ascii="Arial" w:hAnsi="Arial" w:cs="Arial"/>
          <w:sz w:val="20"/>
          <w:szCs w:val="20"/>
        </w:rPr>
        <w:t xml:space="preserve"> Staatsarchiv Sigmaringen</w:t>
      </w:r>
      <w:r w:rsidRPr="00797F1C">
        <w:rPr>
          <w:rFonts w:ascii="Arial" w:hAnsi="Arial" w:cs="Arial"/>
          <w:sz w:val="20"/>
          <w:szCs w:val="20"/>
        </w:rPr>
        <w:t xml:space="preserve"> </w:t>
      </w:r>
      <w:proofErr w:type="spellStart"/>
      <w:r w:rsidR="00520C98" w:rsidRPr="00797F1C">
        <w:rPr>
          <w:rFonts w:ascii="Arial" w:hAnsi="Arial" w:cs="Arial"/>
          <w:sz w:val="20"/>
          <w:szCs w:val="20"/>
        </w:rPr>
        <w:t>Wü</w:t>
      </w:r>
      <w:proofErr w:type="spellEnd"/>
      <w:r w:rsidR="00520C98" w:rsidRPr="00797F1C">
        <w:rPr>
          <w:rFonts w:ascii="Arial" w:hAnsi="Arial" w:cs="Arial"/>
          <w:sz w:val="20"/>
          <w:szCs w:val="20"/>
        </w:rPr>
        <w:t xml:space="preserve"> 29/3 T 1 Nr. 1754/01/15</w:t>
      </w:r>
    </w:p>
    <w:p w:rsidR="00DC5456" w:rsidRDefault="00DC5456" w:rsidP="004E3622">
      <w:pPr>
        <w:pStyle w:val="KeinLeerraum"/>
        <w:jc w:val="both"/>
        <w:rPr>
          <w:rFonts w:ascii="Arial" w:hAnsi="Arial" w:cs="Arial"/>
          <w:b/>
          <w:sz w:val="20"/>
          <w:szCs w:val="20"/>
        </w:rPr>
      </w:pPr>
    </w:p>
    <w:p w:rsidR="008C1BCF" w:rsidRPr="00DC5456" w:rsidRDefault="008C1BCF" w:rsidP="004E3622">
      <w:pPr>
        <w:pStyle w:val="KeinLeerraum"/>
        <w:jc w:val="both"/>
        <w:rPr>
          <w:rFonts w:ascii="Arial" w:hAnsi="Arial" w:cs="Arial"/>
          <w:b/>
          <w:sz w:val="20"/>
          <w:szCs w:val="20"/>
        </w:rPr>
      </w:pPr>
      <w:r w:rsidRPr="00DC5456">
        <w:rPr>
          <w:rFonts w:ascii="Arial" w:hAnsi="Arial" w:cs="Arial"/>
          <w:b/>
          <w:sz w:val="20"/>
          <w:szCs w:val="20"/>
        </w:rPr>
        <w:t>Aufgaben:</w:t>
      </w:r>
    </w:p>
    <w:p w:rsidR="008C1BCF" w:rsidRPr="00DC5456" w:rsidRDefault="008C1BCF" w:rsidP="008C1BCF">
      <w:pPr>
        <w:pStyle w:val="KeinLeerraum"/>
        <w:numPr>
          <w:ilvl w:val="0"/>
          <w:numId w:val="1"/>
        </w:numPr>
        <w:jc w:val="both"/>
        <w:rPr>
          <w:rFonts w:ascii="Arial" w:hAnsi="Arial" w:cs="Arial"/>
          <w:sz w:val="20"/>
          <w:szCs w:val="20"/>
        </w:rPr>
      </w:pPr>
      <w:r w:rsidRPr="00DC5456">
        <w:rPr>
          <w:rFonts w:ascii="Arial" w:hAnsi="Arial" w:cs="Arial"/>
          <w:sz w:val="20"/>
          <w:szCs w:val="20"/>
        </w:rPr>
        <w:t>Markiere im Text mit zwei verschiedenen Farben: Argumentationen, die zur Entlastung bzw. zur Belastung der Angeklagten be</w:t>
      </w:r>
      <w:r w:rsidR="00CE3C97">
        <w:rPr>
          <w:rFonts w:ascii="Arial" w:hAnsi="Arial" w:cs="Arial"/>
          <w:sz w:val="20"/>
          <w:szCs w:val="20"/>
        </w:rPr>
        <w:t>i</w:t>
      </w:r>
      <w:r w:rsidRPr="00DC5456">
        <w:rPr>
          <w:rFonts w:ascii="Arial" w:hAnsi="Arial" w:cs="Arial"/>
          <w:sz w:val="20"/>
          <w:szCs w:val="20"/>
        </w:rPr>
        <w:t>tragen konnten.</w:t>
      </w:r>
    </w:p>
    <w:p w:rsidR="00A2099F" w:rsidRPr="00FA0C06" w:rsidRDefault="00FA0C06" w:rsidP="00FA0C06">
      <w:pPr>
        <w:pStyle w:val="KeinLeerraum"/>
        <w:numPr>
          <w:ilvl w:val="0"/>
          <w:numId w:val="1"/>
        </w:numPr>
        <w:jc w:val="both"/>
        <w:rPr>
          <w:rFonts w:ascii="Arial" w:hAnsi="Arial" w:cs="Arial"/>
          <w:sz w:val="20"/>
          <w:szCs w:val="20"/>
        </w:rPr>
      </w:pPr>
      <w:r>
        <w:rPr>
          <w:rFonts w:ascii="Arial" w:hAnsi="Arial" w:cs="Arial"/>
          <w:sz w:val="20"/>
          <w:szCs w:val="20"/>
        </w:rPr>
        <w:t xml:space="preserve">Wähle </w:t>
      </w:r>
      <w:r w:rsidR="00C37530">
        <w:rPr>
          <w:rFonts w:ascii="Arial" w:hAnsi="Arial" w:cs="Arial"/>
          <w:sz w:val="20"/>
          <w:szCs w:val="20"/>
        </w:rPr>
        <w:t xml:space="preserve">jeweils </w:t>
      </w:r>
      <w:r>
        <w:rPr>
          <w:rFonts w:ascii="Arial" w:hAnsi="Arial" w:cs="Arial"/>
          <w:sz w:val="20"/>
          <w:szCs w:val="20"/>
        </w:rPr>
        <w:t>zwei</w:t>
      </w:r>
      <w:r w:rsidR="00A2099F" w:rsidRPr="00DC5456">
        <w:rPr>
          <w:rFonts w:ascii="Arial" w:hAnsi="Arial" w:cs="Arial"/>
          <w:sz w:val="20"/>
          <w:szCs w:val="20"/>
        </w:rPr>
        <w:t xml:space="preserve"> Argumentationen, die du im Hinblick auf die Urteilsfindung für besonders </w:t>
      </w:r>
      <w:r w:rsidR="000E31C9">
        <w:rPr>
          <w:rFonts w:ascii="Arial" w:hAnsi="Arial" w:cs="Arial"/>
          <w:sz w:val="20"/>
          <w:szCs w:val="20"/>
        </w:rPr>
        <w:t>stichhaltig</w:t>
      </w:r>
      <w:r w:rsidR="00A2099F" w:rsidRPr="00DC5456">
        <w:rPr>
          <w:rFonts w:ascii="Arial" w:hAnsi="Arial" w:cs="Arial"/>
          <w:sz w:val="20"/>
          <w:szCs w:val="20"/>
        </w:rPr>
        <w:t xml:space="preserve"> </w:t>
      </w:r>
      <w:r w:rsidR="00C37530">
        <w:rPr>
          <w:rFonts w:ascii="Arial" w:hAnsi="Arial" w:cs="Arial"/>
          <w:sz w:val="20"/>
          <w:szCs w:val="20"/>
        </w:rPr>
        <w:t>bzw. besonders</w:t>
      </w:r>
      <w:r>
        <w:rPr>
          <w:rFonts w:ascii="Arial" w:hAnsi="Arial" w:cs="Arial"/>
          <w:sz w:val="20"/>
          <w:szCs w:val="20"/>
        </w:rPr>
        <w:t xml:space="preserve"> fragwürdig hältst. Vergleiche mit deinem Nachbarn.</w:t>
      </w:r>
    </w:p>
    <w:sectPr w:rsidR="00A2099F" w:rsidRPr="00FA0C06" w:rsidSect="00DC5456">
      <w:type w:val="continuous"/>
      <w:pgSz w:w="11906" w:h="16838"/>
      <w:pgMar w:top="1417" w:right="991" w:bottom="1134" w:left="993" w:header="708" w:footer="708"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3B0" w:rsidRDefault="00F333B0" w:rsidP="00975F24">
      <w:pPr>
        <w:spacing w:after="0" w:line="240" w:lineRule="auto"/>
      </w:pPr>
      <w:r>
        <w:separator/>
      </w:r>
    </w:p>
  </w:endnote>
  <w:endnote w:type="continuationSeparator" w:id="0">
    <w:p w:rsidR="00F333B0" w:rsidRDefault="00F333B0" w:rsidP="00975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FC7" w:rsidRDefault="00F70FC7" w:rsidP="00F70FC7">
    <w:pPr>
      <w:pStyle w:val="Fuzeile"/>
      <w:jc w:val="center"/>
      <w:rPr>
        <w:rFonts w:ascii="Arial" w:hAnsi="Arial" w:cs="Arial"/>
        <w:sz w:val="16"/>
        <w:szCs w:val="16"/>
      </w:rPr>
    </w:pPr>
    <w:r>
      <w:rPr>
        <w:rFonts w:ascii="Arial" w:hAnsi="Arial" w:cs="Arial"/>
        <w:sz w:val="16"/>
        <w:szCs w:val="16"/>
      </w:rPr>
      <w:t>Arbeitskreis für Landeskunde/Landesgeschichte RP Tübingen</w:t>
    </w:r>
  </w:p>
  <w:p w:rsidR="00F70FC7" w:rsidRPr="00F70FC7" w:rsidRDefault="00F70FC7" w:rsidP="00F70FC7">
    <w:pPr>
      <w:pStyle w:val="Fuzeile"/>
      <w:jc w:val="center"/>
      <w:rPr>
        <w:rFonts w:ascii="Arial" w:hAnsi="Arial" w:cs="Arial"/>
        <w:sz w:val="16"/>
        <w:szCs w:val="16"/>
      </w:rPr>
    </w:pPr>
    <w:r>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3B0" w:rsidRDefault="00F333B0" w:rsidP="00975F24">
      <w:pPr>
        <w:spacing w:after="0" w:line="240" w:lineRule="auto"/>
      </w:pPr>
      <w:r>
        <w:separator/>
      </w:r>
    </w:p>
  </w:footnote>
  <w:footnote w:type="continuationSeparator" w:id="0">
    <w:p w:rsidR="00F333B0" w:rsidRDefault="00F333B0" w:rsidP="00975F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A050B"/>
    <w:multiLevelType w:val="hybridMultilevel"/>
    <w:tmpl w:val="5EA8B2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5FB"/>
    <w:rsid w:val="000E31C9"/>
    <w:rsid w:val="001E3608"/>
    <w:rsid w:val="00267D5F"/>
    <w:rsid w:val="00281CFB"/>
    <w:rsid w:val="0030607F"/>
    <w:rsid w:val="0035333F"/>
    <w:rsid w:val="00356AD3"/>
    <w:rsid w:val="004062C0"/>
    <w:rsid w:val="004E3622"/>
    <w:rsid w:val="00520C98"/>
    <w:rsid w:val="005327B7"/>
    <w:rsid w:val="005923E1"/>
    <w:rsid w:val="005E3749"/>
    <w:rsid w:val="00627E41"/>
    <w:rsid w:val="00714625"/>
    <w:rsid w:val="007507BD"/>
    <w:rsid w:val="00797F1C"/>
    <w:rsid w:val="0082481C"/>
    <w:rsid w:val="008405FB"/>
    <w:rsid w:val="008C1BCF"/>
    <w:rsid w:val="008C43A4"/>
    <w:rsid w:val="00975F24"/>
    <w:rsid w:val="00A05DF3"/>
    <w:rsid w:val="00A2099F"/>
    <w:rsid w:val="00AB4AE8"/>
    <w:rsid w:val="00B12AB7"/>
    <w:rsid w:val="00B34EF6"/>
    <w:rsid w:val="00B71263"/>
    <w:rsid w:val="00BB4276"/>
    <w:rsid w:val="00BC6AAD"/>
    <w:rsid w:val="00BE59E6"/>
    <w:rsid w:val="00C017CE"/>
    <w:rsid w:val="00C24E0F"/>
    <w:rsid w:val="00C37530"/>
    <w:rsid w:val="00C6611A"/>
    <w:rsid w:val="00CC6488"/>
    <w:rsid w:val="00CE3C97"/>
    <w:rsid w:val="00D12709"/>
    <w:rsid w:val="00D16BF7"/>
    <w:rsid w:val="00DC5456"/>
    <w:rsid w:val="00E62110"/>
    <w:rsid w:val="00F333B0"/>
    <w:rsid w:val="00F70FC7"/>
    <w:rsid w:val="00FA0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CC2AB"/>
  <w15:chartTrackingRefBased/>
  <w15:docId w15:val="{5CBD297A-F842-4010-82AC-D5AD941B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611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405FB"/>
    <w:pPr>
      <w:spacing w:after="0" w:line="240" w:lineRule="auto"/>
    </w:pPr>
  </w:style>
  <w:style w:type="paragraph" w:styleId="Funotentext">
    <w:name w:val="footnote text"/>
    <w:basedOn w:val="Standard"/>
    <w:link w:val="FunotentextZchn"/>
    <w:uiPriority w:val="99"/>
    <w:semiHidden/>
    <w:unhideWhenUsed/>
    <w:rsid w:val="00975F2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75F24"/>
    <w:rPr>
      <w:sz w:val="20"/>
      <w:szCs w:val="20"/>
    </w:rPr>
  </w:style>
  <w:style w:type="character" w:styleId="Funotenzeichen">
    <w:name w:val="footnote reference"/>
    <w:basedOn w:val="Absatz-Standardschriftart"/>
    <w:uiPriority w:val="99"/>
    <w:semiHidden/>
    <w:unhideWhenUsed/>
    <w:rsid w:val="00975F24"/>
    <w:rPr>
      <w:vertAlign w:val="superscript"/>
    </w:rPr>
  </w:style>
  <w:style w:type="paragraph" w:styleId="Kopfzeile">
    <w:name w:val="header"/>
    <w:basedOn w:val="Standard"/>
    <w:link w:val="KopfzeileZchn"/>
    <w:uiPriority w:val="99"/>
    <w:unhideWhenUsed/>
    <w:rsid w:val="00F70F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0FC7"/>
  </w:style>
  <w:style w:type="paragraph" w:styleId="Fuzeile">
    <w:name w:val="footer"/>
    <w:basedOn w:val="Standard"/>
    <w:link w:val="FuzeileZchn"/>
    <w:uiPriority w:val="99"/>
    <w:unhideWhenUsed/>
    <w:rsid w:val="00F70F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0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1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658</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12</cp:revision>
  <dcterms:created xsi:type="dcterms:W3CDTF">2019-08-01T09:34:00Z</dcterms:created>
  <dcterms:modified xsi:type="dcterms:W3CDTF">2019-08-20T08:04:00Z</dcterms:modified>
</cp:coreProperties>
</file>