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9A3" w:rsidRPr="00B649A3" w:rsidRDefault="00B649A3" w:rsidP="00B649A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/>
          <w:lang w:eastAsia="de-DE"/>
        </w:rPr>
      </w:pPr>
      <w:r>
        <w:rPr>
          <w:rFonts w:ascii="Arial" w:eastAsia="Times New Roman" w:hAnsi="Arial" w:cs="Arial"/>
          <w:bCs/>
          <w:i/>
          <w:lang w:eastAsia="de-DE"/>
        </w:rPr>
        <w:t>Der Tübinger Grafeneck-Prozess 1949</w:t>
      </w:r>
    </w:p>
    <w:p w:rsidR="00B649A3" w:rsidRPr="00B649A3" w:rsidRDefault="00B649A3" w:rsidP="00B649A3">
      <w:pPr>
        <w:keepNext/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B649A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AB </w:t>
      </w:r>
      <w:r w:rsidR="003B3F1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2</w:t>
      </w:r>
      <w:r w:rsidRPr="00B649A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B649A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="005C0D5B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Die „Euthanasie“-Morde</w:t>
      </w:r>
      <w:r w:rsidR="004B1AB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in Grafeneck</w:t>
      </w:r>
    </w:p>
    <w:p w:rsidR="00B649A3" w:rsidRPr="00B649A3" w:rsidRDefault="00B649A3" w:rsidP="00B649A3">
      <w:pPr>
        <w:spacing w:after="0" w:line="240" w:lineRule="auto"/>
        <w:rPr>
          <w:rFonts w:ascii="Calibri" w:eastAsia="Calibri" w:hAnsi="Calibri" w:cs="Times New Roman"/>
        </w:rPr>
      </w:pPr>
    </w:p>
    <w:p w:rsidR="00B649A3" w:rsidRDefault="00B649A3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  <w:sectPr w:rsidR="00B649A3" w:rsidSect="003D46BC">
          <w:footerReference w:type="default" r:id="rId8"/>
          <w:pgSz w:w="11906" w:h="16838"/>
          <w:pgMar w:top="1418" w:right="1133" w:bottom="1134" w:left="1276" w:header="709" w:footer="709" w:gutter="0"/>
          <w:cols w:space="708"/>
          <w:docGrid w:linePitch="360"/>
        </w:sectPr>
      </w:pPr>
    </w:p>
    <w:p w:rsidR="005D2153" w:rsidRPr="003D46BC" w:rsidRDefault="0014510B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46BC">
        <w:rPr>
          <w:rFonts w:ascii="Arial" w:hAnsi="Arial" w:cs="Arial"/>
        </w:rPr>
        <w:t>Die Planer und Täter der NS-"Euthanasie" stützten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sich auf einen zuerst mündlich, dann auch schriftlich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erteilten Auftrag Adolf Hitlers vom Oktober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 xml:space="preserve">1939 </w:t>
      </w:r>
      <w:r w:rsidR="006F5307" w:rsidRPr="003D46BC">
        <w:rPr>
          <w:rFonts w:ascii="Arial" w:hAnsi="Arial" w:cs="Arial"/>
        </w:rPr>
        <w:t>[…]</w:t>
      </w:r>
      <w:r w:rsidRPr="003D46BC">
        <w:rPr>
          <w:rFonts w:ascii="Arial" w:hAnsi="Arial" w:cs="Arial"/>
        </w:rPr>
        <w:t>. Der Auftrag ging an eine Gruppe um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 xml:space="preserve">Reichsleiter </w:t>
      </w:r>
      <w:proofErr w:type="spellStart"/>
      <w:r w:rsidRPr="003D46BC">
        <w:rPr>
          <w:rFonts w:ascii="Arial" w:hAnsi="Arial" w:cs="Arial"/>
        </w:rPr>
        <w:t>Bouhler</w:t>
      </w:r>
      <w:proofErr w:type="spellEnd"/>
      <w:r w:rsidRPr="003D46BC">
        <w:rPr>
          <w:rFonts w:ascii="Arial" w:hAnsi="Arial" w:cs="Arial"/>
        </w:rPr>
        <w:t xml:space="preserve"> aus der Kanzlei des Führers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der NSDAP und Dr. med. Karl Brandt, den Begleitarzt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 xml:space="preserve">Hitlers. </w:t>
      </w:r>
      <w:r w:rsidR="003D46BC" w:rsidRPr="003D46BC">
        <w:rPr>
          <w:rFonts w:ascii="Arial" w:hAnsi="Arial" w:cs="Arial"/>
        </w:rPr>
        <w:t>[…]</w:t>
      </w:r>
    </w:p>
    <w:p w:rsidR="005D2153" w:rsidRPr="003D46BC" w:rsidRDefault="005D2153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D2153" w:rsidRPr="003D46BC" w:rsidRDefault="0014510B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3D46BC">
        <w:rPr>
          <w:rFonts w:ascii="Arial" w:hAnsi="Arial" w:cs="Arial"/>
        </w:rPr>
        <w:t>Auf der zentralen Ebene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des Reichs waren die T4-Behörde in der Tiergartenstraße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 xml:space="preserve">4 </w:t>
      </w:r>
      <w:r w:rsidR="00EB1F80">
        <w:rPr>
          <w:rFonts w:ascii="Arial" w:hAnsi="Arial" w:cs="Arial"/>
        </w:rPr>
        <w:t xml:space="preserve">[in Berlin] </w:t>
      </w:r>
      <w:r w:rsidRPr="003D46BC">
        <w:rPr>
          <w:rFonts w:ascii="Arial" w:hAnsi="Arial" w:cs="Arial"/>
        </w:rPr>
        <w:t>und das Reichsinnenministerium zuständig.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Von hier aus wurden die Verbrechen koordiniert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und die Opfer ausgewählt. In einem ersten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Schritt wurden alle Heil- und Pflegeanstalten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Deutschlands angeschrieben […],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die potentiellen Opfer mit Hilfe von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Fragebogen erfasst, die wiederum an Gutachter und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 xml:space="preserve">Obergutachter </w:t>
      </w:r>
      <w:r w:rsidR="00EB1F80">
        <w:rPr>
          <w:rFonts w:ascii="Arial" w:hAnsi="Arial" w:cs="Arial"/>
        </w:rPr>
        <w:t xml:space="preserve">[in Berlin] </w:t>
      </w:r>
      <w:r w:rsidRPr="003D46BC">
        <w:rPr>
          <w:rFonts w:ascii="Arial" w:hAnsi="Arial" w:cs="Arial"/>
        </w:rPr>
        <w:t>weitergeleitet wurden, die die Opfer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 xml:space="preserve">schließlich selektierten und bestimmten. </w:t>
      </w:r>
      <w:r w:rsidR="005D2153" w:rsidRPr="003D46BC">
        <w:rPr>
          <w:rFonts w:ascii="Arial" w:hAnsi="Arial" w:cs="Arial"/>
        </w:rPr>
        <w:t>[…]</w:t>
      </w:r>
    </w:p>
    <w:p w:rsidR="00B73355" w:rsidRPr="003D46BC" w:rsidRDefault="00B73355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95D86" w:rsidRPr="003D46BC" w:rsidRDefault="0014510B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46BC">
        <w:rPr>
          <w:rFonts w:ascii="Arial" w:hAnsi="Arial" w:cs="Arial"/>
        </w:rPr>
        <w:t>Das Württembergische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Innenministerium in Stuttgart und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das Badische Innenministerium in Karlsruhe ordneten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die Deportationen nach Grafeneck, "Verlegungen"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genannt, an.</w:t>
      </w:r>
      <w:r w:rsidR="005D2153" w:rsidRPr="003D46BC">
        <w:rPr>
          <w:rFonts w:ascii="Arial" w:hAnsi="Arial" w:cs="Arial"/>
        </w:rPr>
        <w:t xml:space="preserve"> […] </w:t>
      </w:r>
      <w:r w:rsidR="00156F0F" w:rsidRPr="003D46BC">
        <w:rPr>
          <w:rFonts w:ascii="Arial" w:hAnsi="Arial" w:cs="Arial"/>
        </w:rPr>
        <w:t>[Den entsprechenden Beamten]</w:t>
      </w:r>
      <w:r w:rsidR="00295D86" w:rsidRPr="003D46BC">
        <w:rPr>
          <w:rFonts w:ascii="Arial" w:hAnsi="Arial" w:cs="Arial"/>
        </w:rPr>
        <w:t xml:space="preserve"> unterstanden direkt und indirekt die staatlichen, privaten und konfessionellen Heil- und P</w:t>
      </w:r>
      <w:r w:rsidR="003D46BC" w:rsidRPr="003D46BC">
        <w:rPr>
          <w:rFonts w:ascii="Arial" w:hAnsi="Arial" w:cs="Arial"/>
        </w:rPr>
        <w:t xml:space="preserve">flegeeinrichtungen im Land. […] </w:t>
      </w:r>
      <w:r w:rsidR="00295D86" w:rsidRPr="003D46BC">
        <w:rPr>
          <w:rFonts w:ascii="Arial" w:hAnsi="Arial" w:cs="Arial"/>
        </w:rPr>
        <w:t>Jede einzelne Deportation, die in die Gaskammer von Grafeneck führte, wurde durch das Inne</w:t>
      </w:r>
      <w:r w:rsidR="003D46BC" w:rsidRPr="003D46BC">
        <w:rPr>
          <w:rFonts w:ascii="Arial" w:hAnsi="Arial" w:cs="Arial"/>
        </w:rPr>
        <w:t xml:space="preserve">nministerium angeordnet […]. </w:t>
      </w:r>
      <w:r w:rsidR="00295D86" w:rsidRPr="003D46BC">
        <w:rPr>
          <w:rFonts w:ascii="Arial" w:hAnsi="Arial" w:cs="Arial"/>
        </w:rPr>
        <w:t>Ein Teil der Opfer wurde direkt durch die Beamten des Württembergischen Innenministeriums selektiert</w:t>
      </w:r>
      <w:r w:rsidR="003D46BC" w:rsidRPr="003D46BC">
        <w:rPr>
          <w:rStyle w:val="Funotenzeichen"/>
          <w:rFonts w:ascii="Arial" w:hAnsi="Arial" w:cs="Arial"/>
        </w:rPr>
        <w:footnoteReference w:id="1"/>
      </w:r>
      <w:r w:rsidR="00295D86" w:rsidRPr="003D46BC">
        <w:rPr>
          <w:rFonts w:ascii="Arial" w:hAnsi="Arial" w:cs="Arial"/>
        </w:rPr>
        <w:t xml:space="preserve">. Die Zusammensetzung der Namenslisten, die aus Berlin kamen, konnte in Stuttgart verändert werden. </w:t>
      </w:r>
      <w:proofErr w:type="gramStart"/>
      <w:r w:rsidR="00295D86" w:rsidRPr="003D46BC">
        <w:rPr>
          <w:rFonts w:ascii="Arial" w:hAnsi="Arial" w:cs="Arial"/>
        </w:rPr>
        <w:t>Im Falle</w:t>
      </w:r>
      <w:proofErr w:type="gramEnd"/>
      <w:r w:rsidR="00295D86" w:rsidRPr="003D46BC">
        <w:rPr>
          <w:rFonts w:ascii="Arial" w:hAnsi="Arial" w:cs="Arial"/>
        </w:rPr>
        <w:t xml:space="preserve"> dass einzelne Einrichtungen in Württemberg die Daten von Heimbewohnern und Patienten nicht geliefert hatten, erledigten dies die Ministerialbeamten. </w:t>
      </w:r>
    </w:p>
    <w:p w:rsidR="0014510B" w:rsidRPr="003D46BC" w:rsidRDefault="0014510B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46BC">
        <w:rPr>
          <w:rFonts w:ascii="Arial" w:hAnsi="Arial" w:cs="Arial"/>
        </w:rPr>
        <w:t>Von Grafeneck aus fuhren während des Jahres 1940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mehrmals pro Woche drei Busse los, um die für die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Ermordung vorgesehenen Menschen aus den Anstalten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zu holen.</w:t>
      </w:r>
      <w:r w:rsidR="00B73355" w:rsidRPr="003D46BC">
        <w:rPr>
          <w:rFonts w:ascii="Arial" w:hAnsi="Arial" w:cs="Arial"/>
        </w:rPr>
        <w:t xml:space="preserve"> […]</w:t>
      </w:r>
      <w:r w:rsidRPr="003D46BC">
        <w:rPr>
          <w:rFonts w:ascii="Arial" w:hAnsi="Arial" w:cs="Arial"/>
        </w:rPr>
        <w:t xml:space="preserve"> Personal der Tötungsanstalt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begleitete die Transporte</w:t>
      </w:r>
      <w:r w:rsidR="00F550EC" w:rsidRPr="003D46BC">
        <w:rPr>
          <w:rStyle w:val="Funotenzeichen"/>
          <w:rFonts w:ascii="Arial" w:hAnsi="Arial" w:cs="Arial"/>
        </w:rPr>
        <w:footnoteReference w:id="2"/>
      </w:r>
      <w:r w:rsidRPr="003D46BC">
        <w:rPr>
          <w:rFonts w:ascii="Arial" w:hAnsi="Arial" w:cs="Arial"/>
        </w:rPr>
        <w:t>. […]</w:t>
      </w:r>
      <w:r w:rsidR="005D2153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In Grafeneck angekommen, wurden die Menschen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sofort den Ärzten zu einer letzten Untersuchung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vorgeführt, diese dauerte nur etwa eine Minute. Sie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diente u.a. dazu, auffallende Kennzeichen zu notieren,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die für die spätere Fälschung der Todesursache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von Bedeutung sein konnte. Danach wurden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die Opfer in das Tötungsgebäude gebracht. 10 654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Menschen wurden mit Kohlenmonoxid-Gas ermordet,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jeweils etwa 75 gleichzeitig</w:t>
      </w:r>
      <w:r w:rsidR="006F5307" w:rsidRPr="003D46BC">
        <w:rPr>
          <w:rStyle w:val="Funotenzeichen"/>
          <w:rFonts w:ascii="Arial" w:hAnsi="Arial" w:cs="Arial"/>
        </w:rPr>
        <w:footnoteReference w:id="3"/>
      </w:r>
      <w:r w:rsidRPr="003D46BC">
        <w:rPr>
          <w:rFonts w:ascii="Arial" w:hAnsi="Arial" w:cs="Arial"/>
        </w:rPr>
        <w:t>.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Neben dem Gaskammer-Gebäude befand sich ein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Krematorium. Die Leichen der Opfer wurden verbrannt,</w:t>
      </w:r>
      <w:r w:rsidR="00295D86" w:rsidRPr="003D46BC">
        <w:rPr>
          <w:rFonts w:ascii="Arial" w:hAnsi="Arial" w:cs="Arial"/>
        </w:rPr>
        <w:t xml:space="preserve"> </w:t>
      </w:r>
      <w:r w:rsidRPr="003D46BC">
        <w:rPr>
          <w:rFonts w:ascii="Arial" w:hAnsi="Arial" w:cs="Arial"/>
        </w:rPr>
        <w:t>ihre Asche in Urnen an die Angehörigen verschickt.</w:t>
      </w:r>
    </w:p>
    <w:p w:rsidR="0014510B" w:rsidRPr="003D46BC" w:rsidRDefault="0014510B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649A3" w:rsidRPr="003D46BC" w:rsidRDefault="005D2153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46BC">
        <w:rPr>
          <w:rFonts w:ascii="Arial" w:hAnsi="Arial" w:cs="Arial"/>
        </w:rPr>
        <w:t>[Tötungsbürokratie - d</w:t>
      </w:r>
      <w:r w:rsidR="00295D86" w:rsidRPr="003D46BC">
        <w:rPr>
          <w:rFonts w:ascii="Arial" w:hAnsi="Arial" w:cs="Arial"/>
        </w:rPr>
        <w:t>as „Sonderstandesamt“ in Grafeneck</w:t>
      </w:r>
      <w:r w:rsidRPr="003D46BC">
        <w:rPr>
          <w:rFonts w:ascii="Arial" w:hAnsi="Arial" w:cs="Arial"/>
        </w:rPr>
        <w:t xml:space="preserve">:] </w:t>
      </w:r>
      <w:r w:rsidR="0014510B" w:rsidRPr="003D46BC">
        <w:rPr>
          <w:rFonts w:ascii="Arial" w:hAnsi="Arial" w:cs="Arial"/>
        </w:rPr>
        <w:t>Die Fälschung von Todesursache und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Todestag war ein bewusst eingesetztes Mittel zur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Täuschung der Angehörigen. Weil der Tod zu vieler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Menschen am selben Tag und am selben Ort Verdacht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erregen musste, wurde ab Frühjahr 1940 eine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 xml:space="preserve">so genannte </w:t>
      </w:r>
      <w:proofErr w:type="spellStart"/>
      <w:r w:rsidR="0014510B" w:rsidRPr="003D46BC">
        <w:rPr>
          <w:rFonts w:ascii="Arial" w:hAnsi="Arial" w:cs="Arial"/>
        </w:rPr>
        <w:t>Absteck</w:t>
      </w:r>
      <w:proofErr w:type="spellEnd"/>
      <w:r w:rsidR="0014510B" w:rsidRPr="003D46BC">
        <w:rPr>
          <w:rFonts w:ascii="Arial" w:hAnsi="Arial" w:cs="Arial"/>
        </w:rPr>
        <w:t xml:space="preserve">-Abteilung eingerichtet. Im </w:t>
      </w:r>
      <w:proofErr w:type="spellStart"/>
      <w:r w:rsidR="0014510B" w:rsidRPr="003D46BC">
        <w:rPr>
          <w:rFonts w:ascii="Arial" w:hAnsi="Arial" w:cs="Arial"/>
        </w:rPr>
        <w:t>Absteckzimmer</w:t>
      </w:r>
      <w:proofErr w:type="spellEnd"/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in Grafeneck befanden sich mehrere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Karten und Stadtpläne an der Wand. Auf diesen Karten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wurde mittels farbiger Nadeln der Geburts</w:t>
      </w:r>
      <w:r w:rsidR="00295D86" w:rsidRPr="003D46BC">
        <w:rPr>
          <w:rFonts w:ascii="Arial" w:hAnsi="Arial" w:cs="Arial"/>
        </w:rPr>
        <w:t xml:space="preserve">- </w:t>
      </w:r>
      <w:r w:rsidR="0014510B" w:rsidRPr="003D46BC">
        <w:rPr>
          <w:rFonts w:ascii="Arial" w:hAnsi="Arial" w:cs="Arial"/>
        </w:rPr>
        <w:t>oder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Wohnort der Opfer abgesteckt. So legten die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Täter die falschen Sterbedaten unterschiedlich fest.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Die Trostbriefe waren alle nach demselben Schema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verfasst, es wurde lediglich der Name, die Todesursache</w:t>
      </w:r>
      <w:r w:rsidR="00295D86" w:rsidRPr="003D46BC">
        <w:rPr>
          <w:rFonts w:ascii="Arial" w:hAnsi="Arial" w:cs="Arial"/>
        </w:rPr>
        <w:t xml:space="preserve"> </w:t>
      </w:r>
      <w:r w:rsidR="0014510B" w:rsidRPr="003D46BC">
        <w:rPr>
          <w:rFonts w:ascii="Arial" w:hAnsi="Arial" w:cs="Arial"/>
        </w:rPr>
        <w:t>und das Datum eingesetzt</w:t>
      </w:r>
      <w:r w:rsidR="003D46BC" w:rsidRPr="003D46BC">
        <w:rPr>
          <w:rFonts w:ascii="Arial" w:hAnsi="Arial" w:cs="Arial"/>
        </w:rPr>
        <w:t>.</w:t>
      </w:r>
    </w:p>
    <w:p w:rsidR="00B649A3" w:rsidRPr="00B649A3" w:rsidRDefault="00B649A3" w:rsidP="00B649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  <w:sectPr w:rsidR="00B649A3" w:rsidRPr="00B649A3" w:rsidSect="003D46BC">
          <w:type w:val="continuous"/>
          <w:pgSz w:w="11906" w:h="16838"/>
          <w:pgMar w:top="1418" w:right="1134" w:bottom="1134" w:left="1276" w:header="709" w:footer="709" w:gutter="0"/>
          <w:lnNumType w:countBy="5" w:distance="57" w:restart="continuous"/>
          <w:cols w:num="2" w:space="708"/>
          <w:docGrid w:linePitch="360"/>
        </w:sectPr>
      </w:pPr>
    </w:p>
    <w:p w:rsidR="00B649A3" w:rsidRDefault="00B649A3" w:rsidP="00B649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  <w:sectPr w:rsidR="00B649A3" w:rsidSect="00B649A3">
          <w:type w:val="continuous"/>
          <w:pgSz w:w="11906" w:h="16838"/>
          <w:pgMar w:top="992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:rsidR="006F5307" w:rsidRPr="003D46BC" w:rsidRDefault="000145E7" w:rsidP="009E122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D46BC">
        <w:rPr>
          <w:rFonts w:ascii="Arial" w:hAnsi="Arial" w:cs="Arial"/>
          <w:i/>
          <w:sz w:val="20"/>
          <w:szCs w:val="20"/>
        </w:rPr>
        <w:t>Aus: Grafeneck 1940. „Wohin bringt ihr uns?“. NS</w:t>
      </w:r>
      <w:proofErr w:type="gramStart"/>
      <w:r w:rsidRPr="003D46BC">
        <w:rPr>
          <w:rFonts w:ascii="Arial" w:hAnsi="Arial" w:cs="Arial"/>
          <w:i/>
          <w:sz w:val="20"/>
          <w:szCs w:val="20"/>
        </w:rPr>
        <w:t>-„</w:t>
      </w:r>
      <w:proofErr w:type="gramEnd"/>
      <w:r w:rsidRPr="003D46BC">
        <w:rPr>
          <w:rFonts w:ascii="Arial" w:hAnsi="Arial" w:cs="Arial"/>
          <w:i/>
          <w:sz w:val="20"/>
          <w:szCs w:val="20"/>
        </w:rPr>
        <w:t>Euthanasie“ im deutschen Südwesten, Landeszentrale für politische Bildung Baden-Württemberg (Hrsg.), Stuttgart 2011</w:t>
      </w:r>
    </w:p>
    <w:p w:rsidR="0018183B" w:rsidRDefault="0018183B" w:rsidP="009E1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4B1ABE" w:rsidRPr="003D46BC" w:rsidRDefault="004B1ABE" w:rsidP="009E1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3D46BC">
        <w:rPr>
          <w:rFonts w:ascii="Arial" w:hAnsi="Arial" w:cs="Arial"/>
          <w:b/>
        </w:rPr>
        <w:t>Aufgabe:</w:t>
      </w:r>
    </w:p>
    <w:p w:rsidR="004B1ABE" w:rsidRDefault="004B1ABE" w:rsidP="0053000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0004">
        <w:rPr>
          <w:rFonts w:ascii="Arial" w:hAnsi="Arial" w:cs="Arial"/>
        </w:rPr>
        <w:t>Benenne anhand des Informationstextes „Tätergruppen“, die für die Tötungsaktionen in Grafeneck Verantwortung trugen.</w:t>
      </w:r>
    </w:p>
    <w:p w:rsidR="00530004" w:rsidRDefault="00530004" w:rsidP="0053000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Ordne die im Tübinger Grafeneck-Prozess Angeklagten diesen Tätergruppen zu.</w:t>
      </w:r>
    </w:p>
    <w:sectPr w:rsidR="00530004" w:rsidSect="004B1ABE">
      <w:type w:val="continuous"/>
      <w:pgSz w:w="11906" w:h="16838"/>
      <w:pgMar w:top="993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E4B" w:rsidRDefault="00352E4B" w:rsidP="006F5307">
      <w:pPr>
        <w:spacing w:after="0" w:line="240" w:lineRule="auto"/>
      </w:pPr>
      <w:r>
        <w:separator/>
      </w:r>
    </w:p>
  </w:endnote>
  <w:endnote w:type="continuationSeparator" w:id="0">
    <w:p w:rsidR="00352E4B" w:rsidRDefault="00352E4B" w:rsidP="006F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24" w:rsidRPr="00C22A24" w:rsidRDefault="00C22A24" w:rsidP="00C22A24">
    <w:pPr>
      <w:pStyle w:val="Fuzeile"/>
      <w:jc w:val="center"/>
      <w:rPr>
        <w:rFonts w:ascii="Arial" w:hAnsi="Arial" w:cs="Arial"/>
        <w:sz w:val="16"/>
        <w:szCs w:val="16"/>
      </w:rPr>
    </w:pPr>
    <w:r w:rsidRPr="00C22A24">
      <w:rPr>
        <w:rFonts w:ascii="Arial" w:hAnsi="Arial" w:cs="Arial"/>
        <w:sz w:val="16"/>
        <w:szCs w:val="16"/>
      </w:rPr>
      <w:t>Arbeitskreis für Landeskunde/Landesgeschichte RP Tübingen</w:t>
    </w:r>
  </w:p>
  <w:p w:rsidR="00C22A24" w:rsidRPr="00C22A24" w:rsidRDefault="00C22A24" w:rsidP="00C22A24">
    <w:pPr>
      <w:pStyle w:val="Fuzeile"/>
      <w:jc w:val="center"/>
      <w:rPr>
        <w:rFonts w:ascii="Arial" w:hAnsi="Arial" w:cs="Arial"/>
        <w:sz w:val="16"/>
        <w:szCs w:val="16"/>
      </w:rPr>
    </w:pPr>
    <w:r w:rsidRPr="00C22A24">
      <w:rPr>
        <w:rFonts w:ascii="Arial" w:hAnsi="Arial" w:cs="Arial"/>
        <w:sz w:val="16"/>
        <w:szCs w:val="16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E4B" w:rsidRDefault="00352E4B" w:rsidP="006F5307">
      <w:pPr>
        <w:spacing w:after="0" w:line="240" w:lineRule="auto"/>
      </w:pPr>
      <w:r>
        <w:separator/>
      </w:r>
    </w:p>
  </w:footnote>
  <w:footnote w:type="continuationSeparator" w:id="0">
    <w:p w:rsidR="00352E4B" w:rsidRDefault="00352E4B" w:rsidP="006F5307">
      <w:pPr>
        <w:spacing w:after="0" w:line="240" w:lineRule="auto"/>
      </w:pPr>
      <w:r>
        <w:continuationSeparator/>
      </w:r>
    </w:p>
  </w:footnote>
  <w:footnote w:id="1">
    <w:p w:rsidR="003D46BC" w:rsidRDefault="003D46BC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67F86">
        <w:rPr>
          <w:rFonts w:ascii="Arial" w:hAnsi="Arial" w:cs="Arial"/>
          <w:sz w:val="18"/>
          <w:szCs w:val="18"/>
        </w:rPr>
        <w:t>selektiert: ausgewählt</w:t>
      </w:r>
    </w:p>
  </w:footnote>
  <w:footnote w:id="2">
    <w:p w:rsidR="00F550EC" w:rsidRPr="004B1ABE" w:rsidRDefault="00F550EC" w:rsidP="00621D1C">
      <w:pPr>
        <w:pStyle w:val="Funotentext"/>
        <w:spacing w:line="200" w:lineRule="exact"/>
        <w:rPr>
          <w:rFonts w:ascii="Arial" w:hAnsi="Arial" w:cs="Arial"/>
          <w:sz w:val="18"/>
          <w:szCs w:val="18"/>
        </w:rPr>
      </w:pPr>
      <w:r w:rsidRPr="004B1ABE">
        <w:rPr>
          <w:rStyle w:val="Funotenzeichen"/>
          <w:rFonts w:ascii="Arial" w:hAnsi="Arial" w:cs="Arial"/>
          <w:sz w:val="18"/>
          <w:szCs w:val="18"/>
        </w:rPr>
        <w:footnoteRef/>
      </w:r>
      <w:r w:rsidRPr="004B1ABE">
        <w:rPr>
          <w:rFonts w:ascii="Arial" w:hAnsi="Arial" w:cs="Arial"/>
          <w:sz w:val="18"/>
          <w:szCs w:val="18"/>
        </w:rPr>
        <w:t xml:space="preserve"> Pflegeperson</w:t>
      </w:r>
      <w:r w:rsidR="002868D6" w:rsidRPr="004B1ABE">
        <w:rPr>
          <w:rFonts w:ascii="Arial" w:hAnsi="Arial" w:cs="Arial"/>
          <w:sz w:val="18"/>
          <w:szCs w:val="18"/>
        </w:rPr>
        <w:t>en</w:t>
      </w:r>
      <w:r w:rsidRPr="004B1ABE">
        <w:rPr>
          <w:rFonts w:ascii="Arial" w:hAnsi="Arial" w:cs="Arial"/>
          <w:sz w:val="18"/>
          <w:szCs w:val="18"/>
        </w:rPr>
        <w:t xml:space="preserve"> </w:t>
      </w:r>
      <w:r w:rsidR="002868D6" w:rsidRPr="004B1ABE">
        <w:rPr>
          <w:rFonts w:ascii="Arial" w:hAnsi="Arial" w:cs="Arial"/>
          <w:sz w:val="18"/>
          <w:szCs w:val="18"/>
        </w:rPr>
        <w:t>gaben</w:t>
      </w:r>
      <w:r w:rsidRPr="004B1ABE">
        <w:rPr>
          <w:rFonts w:ascii="Arial" w:hAnsi="Arial" w:cs="Arial"/>
          <w:sz w:val="18"/>
          <w:szCs w:val="18"/>
        </w:rPr>
        <w:t xml:space="preserve"> den </w:t>
      </w:r>
      <w:r w:rsidR="00F26CC6" w:rsidRPr="004B1ABE">
        <w:rPr>
          <w:rFonts w:ascii="Arial" w:hAnsi="Arial" w:cs="Arial"/>
          <w:sz w:val="18"/>
          <w:szCs w:val="18"/>
        </w:rPr>
        <w:t>Patienten</w:t>
      </w:r>
      <w:r w:rsidRPr="004B1ABE">
        <w:rPr>
          <w:rFonts w:ascii="Arial" w:hAnsi="Arial" w:cs="Arial"/>
          <w:sz w:val="18"/>
          <w:szCs w:val="18"/>
        </w:rPr>
        <w:t xml:space="preserve"> Beruhigungsspritzen. Sie konnten </w:t>
      </w:r>
      <w:r w:rsidR="002868D6" w:rsidRPr="004B1ABE">
        <w:rPr>
          <w:rFonts w:ascii="Arial" w:hAnsi="Arial" w:cs="Arial"/>
          <w:sz w:val="18"/>
          <w:szCs w:val="18"/>
        </w:rPr>
        <w:t>ihnen</w:t>
      </w:r>
      <w:r w:rsidRPr="004B1ABE">
        <w:rPr>
          <w:rFonts w:ascii="Arial" w:hAnsi="Arial" w:cs="Arial"/>
          <w:sz w:val="18"/>
          <w:szCs w:val="18"/>
        </w:rPr>
        <w:t xml:space="preserve"> aber auch Handschellen anlegen oder sie an besonderen Vorrichtungen festschnallen.</w:t>
      </w:r>
    </w:p>
  </w:footnote>
  <w:footnote w:id="3">
    <w:p w:rsidR="006F5307" w:rsidRDefault="006F5307" w:rsidP="00621D1C">
      <w:pPr>
        <w:pStyle w:val="Funotentext"/>
        <w:spacing w:line="200" w:lineRule="exact"/>
      </w:pPr>
      <w:r w:rsidRPr="004B1ABE">
        <w:rPr>
          <w:rStyle w:val="Funotenzeichen"/>
          <w:rFonts w:ascii="Arial" w:hAnsi="Arial" w:cs="Arial"/>
          <w:sz w:val="18"/>
          <w:szCs w:val="18"/>
        </w:rPr>
        <w:footnoteRef/>
      </w:r>
      <w:r w:rsidRPr="004B1ABE">
        <w:rPr>
          <w:rFonts w:ascii="Arial" w:hAnsi="Arial" w:cs="Arial"/>
          <w:sz w:val="18"/>
          <w:szCs w:val="18"/>
        </w:rPr>
        <w:t xml:space="preserve"> </w:t>
      </w:r>
      <w:r w:rsidR="0011793B" w:rsidRPr="004B1ABE">
        <w:rPr>
          <w:rFonts w:ascii="Arial" w:hAnsi="Arial" w:cs="Arial"/>
          <w:sz w:val="18"/>
          <w:szCs w:val="18"/>
        </w:rPr>
        <w:t xml:space="preserve">Pflegepersonal führte die </w:t>
      </w:r>
      <w:r w:rsidR="002868D6" w:rsidRPr="004B1ABE">
        <w:rPr>
          <w:rFonts w:ascii="Arial" w:hAnsi="Arial" w:cs="Arial"/>
          <w:sz w:val="18"/>
          <w:szCs w:val="18"/>
        </w:rPr>
        <w:t xml:space="preserve">Opfer in den Vergasungsraum und </w:t>
      </w:r>
      <w:r w:rsidR="002868D6" w:rsidRPr="004B1ABE">
        <w:rPr>
          <w:rFonts w:ascii="Arial" w:hAnsi="Arial" w:cs="Arial"/>
          <w:sz w:val="18"/>
          <w:szCs w:val="18"/>
        </w:rPr>
        <w:t>täuschte</w:t>
      </w:r>
      <w:bookmarkStart w:id="0" w:name="_GoBack"/>
      <w:bookmarkEnd w:id="0"/>
      <w:r w:rsidR="00F26CC6" w:rsidRPr="004B1ABE">
        <w:rPr>
          <w:rFonts w:ascii="Arial" w:hAnsi="Arial" w:cs="Arial"/>
          <w:sz w:val="18"/>
          <w:szCs w:val="18"/>
        </w:rPr>
        <w:t xml:space="preserve"> den Opfern</w:t>
      </w:r>
      <w:r w:rsidR="002868D6" w:rsidRPr="004B1ABE">
        <w:rPr>
          <w:rFonts w:ascii="Arial" w:hAnsi="Arial" w:cs="Arial"/>
          <w:sz w:val="18"/>
          <w:szCs w:val="18"/>
        </w:rPr>
        <w:t xml:space="preserve"> vor, </w:t>
      </w:r>
      <w:r w:rsidR="00F26CC6" w:rsidRPr="004B1ABE">
        <w:rPr>
          <w:rFonts w:ascii="Arial" w:hAnsi="Arial" w:cs="Arial"/>
          <w:sz w:val="18"/>
          <w:szCs w:val="18"/>
        </w:rPr>
        <w:t>sie</w:t>
      </w:r>
      <w:r w:rsidR="002868D6" w:rsidRPr="004B1ABE">
        <w:rPr>
          <w:rFonts w:ascii="Arial" w:hAnsi="Arial" w:cs="Arial"/>
          <w:sz w:val="18"/>
          <w:szCs w:val="18"/>
        </w:rPr>
        <w:t xml:space="preserve"> würden nun gebadet. Die Ermordung durch Einführen des</w:t>
      </w:r>
      <w:r w:rsidR="000145E7" w:rsidRPr="004B1ABE">
        <w:rPr>
          <w:rFonts w:ascii="Arial" w:hAnsi="Arial" w:cs="Arial"/>
          <w:sz w:val="18"/>
          <w:szCs w:val="18"/>
        </w:rPr>
        <w:t xml:space="preserve"> Gases wurde ausnahmslos durch Ä</w:t>
      </w:r>
      <w:r w:rsidR="002868D6" w:rsidRPr="004B1ABE">
        <w:rPr>
          <w:rFonts w:ascii="Arial" w:hAnsi="Arial" w:cs="Arial"/>
          <w:sz w:val="18"/>
          <w:szCs w:val="18"/>
        </w:rPr>
        <w:t>rzte vorgenommen.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51B"/>
    <w:multiLevelType w:val="hybridMultilevel"/>
    <w:tmpl w:val="9B824F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06D49"/>
    <w:multiLevelType w:val="hybridMultilevel"/>
    <w:tmpl w:val="D278E2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0B"/>
    <w:rsid w:val="000145E7"/>
    <w:rsid w:val="00057F54"/>
    <w:rsid w:val="0011793B"/>
    <w:rsid w:val="0014510B"/>
    <w:rsid w:val="00147478"/>
    <w:rsid w:val="00156F0F"/>
    <w:rsid w:val="0018183B"/>
    <w:rsid w:val="002868D6"/>
    <w:rsid w:val="00295D86"/>
    <w:rsid w:val="002D6AE6"/>
    <w:rsid w:val="00322BA4"/>
    <w:rsid w:val="00352E4B"/>
    <w:rsid w:val="00356CF0"/>
    <w:rsid w:val="003B3F11"/>
    <w:rsid w:val="003C46A1"/>
    <w:rsid w:val="003D46BC"/>
    <w:rsid w:val="004A0A97"/>
    <w:rsid w:val="004B1ABE"/>
    <w:rsid w:val="004E6480"/>
    <w:rsid w:val="00500834"/>
    <w:rsid w:val="00530004"/>
    <w:rsid w:val="005310EF"/>
    <w:rsid w:val="00552D42"/>
    <w:rsid w:val="005C0D5B"/>
    <w:rsid w:val="005D2153"/>
    <w:rsid w:val="00621D1C"/>
    <w:rsid w:val="006236AB"/>
    <w:rsid w:val="006F5307"/>
    <w:rsid w:val="007547B5"/>
    <w:rsid w:val="00767F86"/>
    <w:rsid w:val="007D2F29"/>
    <w:rsid w:val="007E6055"/>
    <w:rsid w:val="008B57BE"/>
    <w:rsid w:val="008E471B"/>
    <w:rsid w:val="009E1229"/>
    <w:rsid w:val="00B649A3"/>
    <w:rsid w:val="00B73355"/>
    <w:rsid w:val="00BE6B96"/>
    <w:rsid w:val="00C22A24"/>
    <w:rsid w:val="00C24C50"/>
    <w:rsid w:val="00E3312A"/>
    <w:rsid w:val="00E33293"/>
    <w:rsid w:val="00EB1F80"/>
    <w:rsid w:val="00F26CC6"/>
    <w:rsid w:val="00F40FD5"/>
    <w:rsid w:val="00F550EC"/>
    <w:rsid w:val="00FD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78903-AB8B-4B75-ACD0-8FFD680B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6F530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F530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F5307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B649A3"/>
  </w:style>
  <w:style w:type="paragraph" w:styleId="Listenabsatz">
    <w:name w:val="List Paragraph"/>
    <w:basedOn w:val="Standard"/>
    <w:uiPriority w:val="34"/>
    <w:qFormat/>
    <w:rsid w:val="004B1AB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22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2A24"/>
  </w:style>
  <w:style w:type="paragraph" w:styleId="Fuzeile">
    <w:name w:val="footer"/>
    <w:basedOn w:val="Standard"/>
    <w:link w:val="FuzeileZchn"/>
    <w:uiPriority w:val="99"/>
    <w:unhideWhenUsed/>
    <w:rsid w:val="00C22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2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D0A9-6C6B-44B9-AE98-6E2B635A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Fiederer</dc:creator>
  <cp:keywords/>
  <dc:description/>
  <cp:lastModifiedBy>Fiederer</cp:lastModifiedBy>
  <cp:revision>16</cp:revision>
  <dcterms:created xsi:type="dcterms:W3CDTF">2019-08-01T10:33:00Z</dcterms:created>
  <dcterms:modified xsi:type="dcterms:W3CDTF">2019-08-20T07:09:00Z</dcterms:modified>
</cp:coreProperties>
</file>