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8C9" w:rsidRPr="00B649A3" w:rsidRDefault="00E208C9" w:rsidP="00E208C9">
      <w:pPr>
        <w:keepNext/>
        <w:widowControl w:val="0"/>
        <w:autoSpaceDE w:val="0"/>
        <w:autoSpaceDN w:val="0"/>
        <w:adjustRightInd w:val="0"/>
        <w:spacing w:after="0" w:line="240" w:lineRule="auto"/>
        <w:jc w:val="right"/>
        <w:outlineLvl w:val="1"/>
        <w:rPr>
          <w:rFonts w:ascii="Arial" w:eastAsia="Times New Roman" w:hAnsi="Arial" w:cs="Arial"/>
          <w:b/>
          <w:bCs/>
          <w:i/>
          <w:lang w:eastAsia="de-DE"/>
        </w:rPr>
      </w:pPr>
      <w:r>
        <w:rPr>
          <w:rFonts w:ascii="Arial" w:eastAsia="Times New Roman" w:hAnsi="Arial" w:cs="Arial"/>
          <w:bCs/>
          <w:i/>
          <w:lang w:eastAsia="de-DE"/>
        </w:rPr>
        <w:t>Der Tübinger Grafeneck-Prozess 1949</w:t>
      </w:r>
    </w:p>
    <w:p w:rsidR="00E208C9" w:rsidRPr="00B649A3" w:rsidRDefault="00E208C9" w:rsidP="001E61E0">
      <w:pPr>
        <w:keepNext/>
        <w:widowControl w:val="0"/>
        <w:shd w:val="clear" w:color="auto" w:fill="D9D9D9"/>
        <w:autoSpaceDE w:val="0"/>
        <w:autoSpaceDN w:val="0"/>
        <w:adjustRightInd w:val="0"/>
        <w:spacing w:after="0" w:line="240" w:lineRule="auto"/>
        <w:jc w:val="both"/>
        <w:outlineLvl w:val="1"/>
        <w:rPr>
          <w:rFonts w:ascii="Arial" w:eastAsia="Times New Roman" w:hAnsi="Arial" w:cs="Arial"/>
          <w:b/>
          <w:bCs/>
          <w:sz w:val="24"/>
          <w:szCs w:val="24"/>
          <w:lang w:eastAsia="de-DE"/>
        </w:rPr>
      </w:pPr>
      <w:r w:rsidRPr="00B649A3">
        <w:rPr>
          <w:rFonts w:ascii="Arial" w:eastAsia="Times New Roman" w:hAnsi="Arial" w:cs="Arial"/>
          <w:b/>
          <w:bCs/>
          <w:sz w:val="24"/>
          <w:szCs w:val="24"/>
          <w:lang w:eastAsia="de-DE"/>
        </w:rPr>
        <w:t xml:space="preserve">AB </w:t>
      </w:r>
      <w:r w:rsidR="00C824A4">
        <w:rPr>
          <w:rFonts w:ascii="Arial" w:eastAsia="Times New Roman" w:hAnsi="Arial" w:cs="Arial"/>
          <w:b/>
          <w:bCs/>
          <w:sz w:val="24"/>
          <w:szCs w:val="24"/>
          <w:lang w:eastAsia="de-DE"/>
        </w:rPr>
        <w:t>6</w:t>
      </w:r>
      <w:r w:rsidRPr="00B649A3">
        <w:rPr>
          <w:rFonts w:ascii="Arial" w:eastAsia="Times New Roman" w:hAnsi="Arial" w:cs="Arial"/>
          <w:b/>
          <w:bCs/>
          <w:sz w:val="24"/>
          <w:szCs w:val="24"/>
          <w:lang w:eastAsia="de-DE"/>
        </w:rPr>
        <w:tab/>
      </w:r>
      <w:r w:rsidRPr="00B649A3">
        <w:rPr>
          <w:rFonts w:ascii="Arial" w:eastAsia="Times New Roman" w:hAnsi="Arial" w:cs="Arial"/>
          <w:b/>
          <w:bCs/>
          <w:sz w:val="24"/>
          <w:szCs w:val="24"/>
          <w:lang w:eastAsia="de-DE"/>
        </w:rPr>
        <w:tab/>
      </w:r>
      <w:r w:rsidR="006345F7">
        <w:rPr>
          <w:rFonts w:ascii="Arial" w:eastAsia="Times New Roman" w:hAnsi="Arial" w:cs="Arial"/>
          <w:b/>
          <w:bCs/>
          <w:sz w:val="24"/>
          <w:szCs w:val="24"/>
          <w:lang w:eastAsia="de-DE"/>
        </w:rPr>
        <w:t xml:space="preserve">Dr. Eugen Stähle vs. Dr. Otto </w:t>
      </w:r>
      <w:proofErr w:type="spellStart"/>
      <w:r w:rsidR="006345F7">
        <w:rPr>
          <w:rFonts w:ascii="Arial" w:eastAsia="Times New Roman" w:hAnsi="Arial" w:cs="Arial"/>
          <w:b/>
          <w:bCs/>
          <w:sz w:val="24"/>
          <w:szCs w:val="24"/>
          <w:lang w:eastAsia="de-DE"/>
        </w:rPr>
        <w:t>Mauthe</w:t>
      </w:r>
      <w:proofErr w:type="spellEnd"/>
      <w:r w:rsidR="006345F7">
        <w:rPr>
          <w:rFonts w:ascii="Arial" w:eastAsia="Times New Roman" w:hAnsi="Arial" w:cs="Arial"/>
          <w:b/>
          <w:bCs/>
          <w:sz w:val="24"/>
          <w:szCs w:val="24"/>
          <w:lang w:eastAsia="de-DE"/>
        </w:rPr>
        <w:t>:</w:t>
      </w:r>
      <w:r w:rsidR="00EE4A85">
        <w:rPr>
          <w:rFonts w:ascii="Arial" w:eastAsia="Times New Roman" w:hAnsi="Arial" w:cs="Arial"/>
          <w:b/>
          <w:bCs/>
          <w:sz w:val="24"/>
          <w:szCs w:val="24"/>
          <w:lang w:eastAsia="de-DE"/>
        </w:rPr>
        <w:t xml:space="preserve"> </w:t>
      </w:r>
      <w:r w:rsidR="001E61E0">
        <w:rPr>
          <w:rFonts w:ascii="Arial" w:eastAsia="Times New Roman" w:hAnsi="Arial" w:cs="Arial"/>
          <w:b/>
          <w:bCs/>
          <w:sz w:val="24"/>
          <w:szCs w:val="24"/>
          <w:lang w:eastAsia="de-DE"/>
        </w:rPr>
        <w:t>Schlagabtausch zweier Täter</w:t>
      </w:r>
    </w:p>
    <w:p w:rsidR="00E44D67" w:rsidRPr="006345F7" w:rsidRDefault="00E44D67" w:rsidP="00E44D67">
      <w:pPr>
        <w:pStyle w:val="KeinLeerraum"/>
        <w:rPr>
          <w:rFonts w:ascii="Arial" w:hAnsi="Arial" w:cs="Arial"/>
          <w:sz w:val="12"/>
          <w:szCs w:val="12"/>
        </w:rPr>
      </w:pPr>
    </w:p>
    <w:p w:rsidR="00046E64" w:rsidRPr="00EE4A85" w:rsidRDefault="00046E64" w:rsidP="006345F7">
      <w:pPr>
        <w:pStyle w:val="KeinLeerraum"/>
        <w:jc w:val="both"/>
        <w:rPr>
          <w:rFonts w:ascii="Arial" w:hAnsi="Arial" w:cs="Arial"/>
          <w:sz w:val="20"/>
          <w:szCs w:val="20"/>
        </w:rPr>
      </w:pPr>
      <w:r w:rsidRPr="00EE4A85">
        <w:rPr>
          <w:rFonts w:ascii="Arial" w:hAnsi="Arial" w:cs="Arial"/>
          <w:sz w:val="20"/>
          <w:szCs w:val="20"/>
        </w:rPr>
        <w:t xml:space="preserve">Die beiden im württembergischen Innenministerium für </w:t>
      </w:r>
      <w:r w:rsidR="00857F30" w:rsidRPr="00EE4A85">
        <w:rPr>
          <w:rFonts w:ascii="Arial" w:hAnsi="Arial" w:cs="Arial"/>
          <w:sz w:val="20"/>
          <w:szCs w:val="20"/>
        </w:rPr>
        <w:t>die</w:t>
      </w:r>
      <w:r w:rsidRPr="00EE4A85">
        <w:rPr>
          <w:rFonts w:ascii="Arial" w:hAnsi="Arial" w:cs="Arial"/>
          <w:sz w:val="20"/>
          <w:szCs w:val="20"/>
        </w:rPr>
        <w:t xml:space="preserve"> </w:t>
      </w:r>
      <w:r w:rsidR="00077D76">
        <w:rPr>
          <w:rFonts w:ascii="Arial" w:hAnsi="Arial" w:cs="Arial"/>
          <w:sz w:val="20"/>
          <w:szCs w:val="20"/>
        </w:rPr>
        <w:t>„</w:t>
      </w:r>
      <w:r w:rsidRPr="00EE4A85">
        <w:rPr>
          <w:rFonts w:ascii="Arial" w:hAnsi="Arial" w:cs="Arial"/>
          <w:sz w:val="20"/>
          <w:szCs w:val="20"/>
        </w:rPr>
        <w:t>Aktion T</w:t>
      </w:r>
      <w:r w:rsidR="00DD2336">
        <w:rPr>
          <w:rFonts w:ascii="Arial" w:hAnsi="Arial" w:cs="Arial"/>
          <w:sz w:val="20"/>
          <w:szCs w:val="20"/>
        </w:rPr>
        <w:t xml:space="preserve"> </w:t>
      </w:r>
      <w:r w:rsidRPr="00EE4A85">
        <w:rPr>
          <w:rFonts w:ascii="Arial" w:hAnsi="Arial" w:cs="Arial"/>
          <w:sz w:val="20"/>
          <w:szCs w:val="20"/>
        </w:rPr>
        <w:t>4</w:t>
      </w:r>
      <w:r w:rsidR="00077D76">
        <w:rPr>
          <w:rFonts w:ascii="Arial" w:hAnsi="Arial" w:cs="Arial"/>
          <w:sz w:val="20"/>
          <w:szCs w:val="20"/>
        </w:rPr>
        <w:t>“</w:t>
      </w:r>
      <w:bookmarkStart w:id="0" w:name="_GoBack"/>
      <w:bookmarkEnd w:id="0"/>
      <w:r w:rsidRPr="00EE4A85">
        <w:rPr>
          <w:rFonts w:ascii="Arial" w:hAnsi="Arial" w:cs="Arial"/>
          <w:sz w:val="20"/>
          <w:szCs w:val="20"/>
        </w:rPr>
        <w:t xml:space="preserve"> </w:t>
      </w:r>
      <w:r w:rsidR="00857F30" w:rsidRPr="00EE4A85">
        <w:rPr>
          <w:rFonts w:ascii="Arial" w:hAnsi="Arial" w:cs="Arial"/>
          <w:sz w:val="20"/>
          <w:szCs w:val="20"/>
        </w:rPr>
        <w:t>zuständigen</w:t>
      </w:r>
      <w:r w:rsidRPr="00EE4A85">
        <w:rPr>
          <w:rFonts w:ascii="Arial" w:hAnsi="Arial" w:cs="Arial"/>
          <w:sz w:val="20"/>
          <w:szCs w:val="20"/>
        </w:rPr>
        <w:t xml:space="preserve"> </w:t>
      </w:r>
      <w:r w:rsidR="00EE4A85" w:rsidRPr="00EE4A85">
        <w:rPr>
          <w:rFonts w:ascii="Arial" w:hAnsi="Arial" w:cs="Arial"/>
          <w:sz w:val="20"/>
          <w:szCs w:val="20"/>
        </w:rPr>
        <w:t xml:space="preserve">leitenden </w:t>
      </w:r>
      <w:r w:rsidRPr="00EE4A85">
        <w:rPr>
          <w:rFonts w:ascii="Arial" w:hAnsi="Arial" w:cs="Arial"/>
          <w:sz w:val="20"/>
          <w:szCs w:val="20"/>
        </w:rPr>
        <w:t xml:space="preserve">Beamten waren Dr. Eugen Stähle </w:t>
      </w:r>
      <w:r w:rsidR="00F21917" w:rsidRPr="00EE4A85">
        <w:rPr>
          <w:rFonts w:ascii="Arial" w:hAnsi="Arial" w:cs="Arial"/>
          <w:sz w:val="20"/>
          <w:szCs w:val="20"/>
        </w:rPr>
        <w:t xml:space="preserve">(„Ministerialrat für das Gesundheitswesen“) </w:t>
      </w:r>
      <w:r w:rsidRPr="00EE4A85">
        <w:rPr>
          <w:rFonts w:ascii="Arial" w:hAnsi="Arial" w:cs="Arial"/>
          <w:sz w:val="20"/>
          <w:szCs w:val="20"/>
        </w:rPr>
        <w:t xml:space="preserve">und </w:t>
      </w:r>
      <w:r w:rsidR="00F21917" w:rsidRPr="00EE4A85">
        <w:rPr>
          <w:rFonts w:ascii="Arial" w:hAnsi="Arial" w:cs="Arial"/>
          <w:sz w:val="20"/>
          <w:szCs w:val="20"/>
        </w:rPr>
        <w:t xml:space="preserve">der ihm direkt unterstellte Dr. Otto </w:t>
      </w:r>
      <w:proofErr w:type="spellStart"/>
      <w:r w:rsidR="00F21917" w:rsidRPr="00EE4A85">
        <w:rPr>
          <w:rFonts w:ascii="Arial" w:hAnsi="Arial" w:cs="Arial"/>
          <w:sz w:val="20"/>
          <w:szCs w:val="20"/>
        </w:rPr>
        <w:t>Mauthe</w:t>
      </w:r>
      <w:proofErr w:type="spellEnd"/>
      <w:r w:rsidR="00F21917" w:rsidRPr="00EE4A85">
        <w:rPr>
          <w:rFonts w:ascii="Arial" w:hAnsi="Arial" w:cs="Arial"/>
          <w:sz w:val="20"/>
          <w:szCs w:val="20"/>
        </w:rPr>
        <w:t xml:space="preserve"> („Sachbearbeiter für das Irrenwesen“). </w:t>
      </w:r>
      <w:r w:rsidR="00857F30" w:rsidRPr="00EE4A85">
        <w:rPr>
          <w:rFonts w:ascii="Arial" w:hAnsi="Arial" w:cs="Arial"/>
          <w:sz w:val="20"/>
          <w:szCs w:val="20"/>
        </w:rPr>
        <w:t>Als leitende Beamte trugen sie die zentrale Verantwortung für die organisatorische Umsetzung der Vorgaben aus Berlin.</w:t>
      </w:r>
    </w:p>
    <w:p w:rsidR="00046E64" w:rsidRPr="006345F7" w:rsidRDefault="00046E64" w:rsidP="00E44D67">
      <w:pPr>
        <w:pStyle w:val="KeinLeerraum"/>
        <w:rPr>
          <w:rFonts w:ascii="Arial" w:hAnsi="Arial" w:cs="Arial"/>
          <w:sz w:val="12"/>
          <w:szCs w:val="12"/>
        </w:rPr>
      </w:pPr>
    </w:p>
    <w:tbl>
      <w:tblPr>
        <w:tblStyle w:val="Tabellenraster"/>
        <w:tblW w:w="9639" w:type="dxa"/>
        <w:tblInd w:w="-5" w:type="dxa"/>
        <w:tblLook w:val="04A0" w:firstRow="1" w:lastRow="0" w:firstColumn="1" w:lastColumn="0" w:noHBand="0" w:noVBand="1"/>
      </w:tblPr>
      <w:tblGrid>
        <w:gridCol w:w="3969"/>
        <w:gridCol w:w="5670"/>
      </w:tblGrid>
      <w:tr w:rsidR="006345F7" w:rsidRPr="006345F7" w:rsidTr="00EE4A85">
        <w:tc>
          <w:tcPr>
            <w:tcW w:w="3969" w:type="dxa"/>
          </w:tcPr>
          <w:p w:rsidR="006345F7" w:rsidRPr="006345F7" w:rsidRDefault="006345F7" w:rsidP="003A42E2">
            <w:pPr>
              <w:pStyle w:val="KeinLeerraum"/>
              <w:rPr>
                <w:rFonts w:ascii="Arial" w:hAnsi="Arial" w:cs="Arial"/>
                <w:b/>
                <w:sz w:val="24"/>
                <w:szCs w:val="24"/>
              </w:rPr>
            </w:pPr>
            <w:r w:rsidRPr="006345F7">
              <w:rPr>
                <w:rFonts w:ascii="Arial" w:hAnsi="Arial" w:cs="Arial"/>
                <w:b/>
                <w:sz w:val="21"/>
                <w:szCs w:val="21"/>
              </w:rPr>
              <w:t xml:space="preserve">Dr. Otto </w:t>
            </w:r>
            <w:proofErr w:type="spellStart"/>
            <w:r w:rsidRPr="006345F7">
              <w:rPr>
                <w:rFonts w:ascii="Arial" w:hAnsi="Arial" w:cs="Arial"/>
                <w:b/>
                <w:sz w:val="21"/>
                <w:szCs w:val="21"/>
              </w:rPr>
              <w:t>Mauthe</w:t>
            </w:r>
            <w:proofErr w:type="spellEnd"/>
            <w:r w:rsidRPr="006345F7">
              <w:rPr>
                <w:rFonts w:ascii="Arial" w:hAnsi="Arial" w:cs="Arial"/>
                <w:b/>
                <w:sz w:val="21"/>
                <w:szCs w:val="21"/>
              </w:rPr>
              <w:t>, Stellungnahme vom 10.10.1947</w:t>
            </w:r>
          </w:p>
        </w:tc>
        <w:tc>
          <w:tcPr>
            <w:tcW w:w="5670" w:type="dxa"/>
          </w:tcPr>
          <w:p w:rsidR="006345F7" w:rsidRPr="006345F7" w:rsidRDefault="006345F7" w:rsidP="003A42E2">
            <w:pPr>
              <w:pStyle w:val="KeinLeerraum"/>
              <w:rPr>
                <w:rFonts w:ascii="Arial" w:hAnsi="Arial" w:cs="Arial"/>
                <w:b/>
                <w:sz w:val="21"/>
                <w:szCs w:val="21"/>
              </w:rPr>
            </w:pPr>
            <w:r w:rsidRPr="006345F7">
              <w:rPr>
                <w:rFonts w:ascii="Arial" w:hAnsi="Arial" w:cs="Arial"/>
                <w:b/>
                <w:sz w:val="21"/>
                <w:szCs w:val="21"/>
              </w:rPr>
              <w:t>Dr. Eugen Stähle, Vernehmung durch das Amtsgericht Münsingen am 6.11.1947</w:t>
            </w:r>
          </w:p>
        </w:tc>
      </w:tr>
      <w:tr w:rsidR="006345F7" w:rsidTr="00EE4A85">
        <w:tc>
          <w:tcPr>
            <w:tcW w:w="3969" w:type="dxa"/>
          </w:tcPr>
          <w:p w:rsidR="006345F7" w:rsidRPr="006345F7" w:rsidRDefault="006345F7" w:rsidP="006345F7">
            <w:pPr>
              <w:pStyle w:val="KeinLeerraum"/>
              <w:jc w:val="both"/>
              <w:rPr>
                <w:rFonts w:ascii="Arial" w:hAnsi="Arial" w:cs="Arial"/>
                <w:sz w:val="21"/>
                <w:szCs w:val="21"/>
              </w:rPr>
            </w:pPr>
            <w:r>
              <w:rPr>
                <w:rFonts w:ascii="Arial" w:hAnsi="Arial" w:cs="Arial"/>
                <w:sz w:val="24"/>
                <w:szCs w:val="24"/>
              </w:rPr>
              <w:t>„</w:t>
            </w:r>
            <w:r w:rsidRPr="006345F7">
              <w:rPr>
                <w:rFonts w:ascii="Arial" w:hAnsi="Arial" w:cs="Arial"/>
                <w:sz w:val="21"/>
                <w:szCs w:val="21"/>
              </w:rPr>
              <w:t xml:space="preserve">Ich habe, trotz Androhung der Todesstrafe, meine ganze Kraft dafür eingesetzt, möglichst viel von dem Tode bedrohten Irren zu retten. Das ist mir auch in erheblichem Umfange gelungen, und ich habe in diesem Kampfe mein Leben, meine Gesundheit aufs Spiel gesetzt […]. </w:t>
            </w:r>
          </w:p>
          <w:p w:rsidR="006345F7" w:rsidRPr="00EE4A85" w:rsidRDefault="006345F7" w:rsidP="00DD2336">
            <w:pPr>
              <w:pStyle w:val="KeinLeerraum"/>
              <w:jc w:val="both"/>
              <w:rPr>
                <w:rFonts w:ascii="Arial" w:hAnsi="Arial" w:cs="Arial"/>
                <w:sz w:val="21"/>
                <w:szCs w:val="21"/>
              </w:rPr>
            </w:pPr>
            <w:r w:rsidRPr="006345F7">
              <w:rPr>
                <w:rFonts w:ascii="Arial" w:hAnsi="Arial" w:cs="Arial"/>
                <w:sz w:val="21"/>
                <w:szCs w:val="21"/>
              </w:rPr>
              <w:t xml:space="preserve">Die </w:t>
            </w:r>
            <w:proofErr w:type="spellStart"/>
            <w:r w:rsidRPr="006345F7">
              <w:rPr>
                <w:rFonts w:ascii="Arial" w:hAnsi="Arial" w:cs="Arial"/>
                <w:sz w:val="21"/>
                <w:szCs w:val="21"/>
              </w:rPr>
              <w:t>Medizinalabteilung</w:t>
            </w:r>
            <w:proofErr w:type="spellEnd"/>
            <w:r w:rsidRPr="006345F7">
              <w:rPr>
                <w:rFonts w:ascii="Arial" w:hAnsi="Arial" w:cs="Arial"/>
                <w:sz w:val="21"/>
                <w:szCs w:val="21"/>
              </w:rPr>
              <w:t xml:space="preserve"> des Innenministeriums in Stuttgart unterstand der Leitung des Ministerialrats Dr. Stähle</w:t>
            </w:r>
            <w:r w:rsidR="00DD2336">
              <w:rPr>
                <w:rFonts w:ascii="Arial" w:hAnsi="Arial" w:cs="Arial"/>
                <w:sz w:val="21"/>
                <w:szCs w:val="21"/>
              </w:rPr>
              <w:t>,</w:t>
            </w:r>
            <w:r w:rsidRPr="006345F7">
              <w:rPr>
                <w:rFonts w:ascii="Arial" w:hAnsi="Arial" w:cs="Arial"/>
                <w:sz w:val="21"/>
                <w:szCs w:val="21"/>
              </w:rPr>
              <w:t xml:space="preserve"> Sachbearbeiter für das Irrenwesen war ich. Ich wurde deshalb […] von Dr. Stähle in die Euthanasie eingeweiht und verpflichtet. […] Dr. Stähle verpflichtete mich durch Eid auf die Geheimhaltung dieser </w:t>
            </w:r>
            <w:r w:rsidR="00DD2336">
              <w:rPr>
                <w:rFonts w:ascii="Arial" w:hAnsi="Arial" w:cs="Arial"/>
                <w:sz w:val="21"/>
                <w:szCs w:val="21"/>
              </w:rPr>
              <w:t>&gt;</w:t>
            </w:r>
            <w:r w:rsidRPr="006345F7">
              <w:rPr>
                <w:rFonts w:ascii="Arial" w:hAnsi="Arial" w:cs="Arial"/>
                <w:sz w:val="21"/>
                <w:szCs w:val="21"/>
              </w:rPr>
              <w:t>geheimen Reichssache</w:t>
            </w:r>
            <w:r w:rsidR="00DD2336">
              <w:rPr>
                <w:rFonts w:ascii="Arial" w:hAnsi="Arial" w:cs="Arial"/>
                <w:sz w:val="21"/>
                <w:szCs w:val="21"/>
              </w:rPr>
              <w:t>&lt;</w:t>
            </w:r>
            <w:r w:rsidRPr="006345F7">
              <w:rPr>
                <w:rFonts w:ascii="Arial" w:hAnsi="Arial" w:cs="Arial"/>
                <w:sz w:val="21"/>
                <w:szCs w:val="21"/>
              </w:rPr>
              <w:t xml:space="preserve"> und wies mich darauf hin, dass ich bei sofortiger Todesstrafe nichts dagegen unternehmen, mich nicht widersetzen dürfe […]. Einige Zeit später erklärte mir Dr. Stähle auch, dass ein SS-Mann in Grafeneck erschossen worden sei, weil er in der Trunkenheit über Vorgänge in Grafeneck einiges ausgesagt habe.</w:t>
            </w:r>
            <w:r w:rsidR="00DD2336" w:rsidRPr="006345F7">
              <w:rPr>
                <w:rStyle w:val="Funotenzeichen"/>
                <w:rFonts w:ascii="Arial" w:hAnsi="Arial" w:cs="Arial"/>
                <w:sz w:val="21"/>
                <w:szCs w:val="21"/>
              </w:rPr>
              <w:footnoteReference w:id="1"/>
            </w:r>
            <w:r w:rsidRPr="006345F7">
              <w:rPr>
                <w:rFonts w:ascii="Arial" w:hAnsi="Arial" w:cs="Arial"/>
                <w:sz w:val="21"/>
                <w:szCs w:val="21"/>
              </w:rPr>
              <w:t xml:space="preserve"> Dies sollte zweifellos eine Warnung für mich sein […]. Ich sollte auf alle Fälle eingeschüchtert werden […].</w:t>
            </w:r>
            <w:r w:rsidR="00DD2336">
              <w:rPr>
                <w:rFonts w:ascii="Arial" w:hAnsi="Arial" w:cs="Arial"/>
                <w:sz w:val="21"/>
                <w:szCs w:val="21"/>
              </w:rPr>
              <w:t xml:space="preserve"> </w:t>
            </w:r>
            <w:r w:rsidRPr="006345F7">
              <w:rPr>
                <w:rFonts w:ascii="Arial" w:hAnsi="Arial" w:cs="Arial"/>
                <w:sz w:val="21"/>
                <w:szCs w:val="21"/>
              </w:rPr>
              <w:t>Wie ich Stähle in der Euthanasie entgegengearbeitet habe, so tat ich es auch in anderen Angelegenheiten. Ich habe, wo immer es mir möglich war, verhütend oder mildernd in die Anordnungen des Stähle eingegriffen. […] Ich ging schließlich so weit, die Niederlage der Naz</w:t>
            </w:r>
            <w:r>
              <w:rPr>
                <w:rFonts w:ascii="Arial" w:hAnsi="Arial" w:cs="Arial"/>
                <w:sz w:val="21"/>
                <w:szCs w:val="21"/>
              </w:rPr>
              <w:t>i</w:t>
            </w:r>
            <w:r w:rsidRPr="006345F7">
              <w:rPr>
                <w:rFonts w:ascii="Arial" w:hAnsi="Arial" w:cs="Arial"/>
                <w:sz w:val="21"/>
                <w:szCs w:val="21"/>
              </w:rPr>
              <w:t xml:space="preserve"> herbeizuwünschen. […] Im Kriege wuchsen die Schwierigkeiten und Konflikte mit Dr. Stähle und damit meine seelis</w:t>
            </w:r>
            <w:r w:rsidR="00DD2336">
              <w:rPr>
                <w:rFonts w:ascii="Arial" w:hAnsi="Arial" w:cs="Arial"/>
                <w:sz w:val="21"/>
                <w:szCs w:val="21"/>
              </w:rPr>
              <w:t>che Belastung immer mehr an.</w:t>
            </w:r>
            <w:r w:rsidRPr="006345F7">
              <w:rPr>
                <w:rFonts w:ascii="Arial" w:hAnsi="Arial" w:cs="Arial"/>
                <w:sz w:val="21"/>
                <w:szCs w:val="21"/>
              </w:rPr>
              <w:t>“</w:t>
            </w:r>
            <w:r w:rsidR="00EE4A85">
              <w:rPr>
                <w:rFonts w:ascii="Arial" w:hAnsi="Arial" w:cs="Arial"/>
                <w:sz w:val="21"/>
                <w:szCs w:val="21"/>
              </w:rPr>
              <w:t xml:space="preserve"> (</w:t>
            </w:r>
            <w:r w:rsidR="00A10297">
              <w:rPr>
                <w:rFonts w:ascii="Arial" w:hAnsi="Arial" w:cs="Arial"/>
                <w:sz w:val="18"/>
                <w:szCs w:val="18"/>
              </w:rPr>
              <w:t>Staatsarchiv Sigmaringen</w:t>
            </w:r>
            <w:r w:rsidRPr="006345F7">
              <w:rPr>
                <w:rFonts w:ascii="Arial" w:hAnsi="Arial" w:cs="Arial"/>
                <w:sz w:val="18"/>
                <w:szCs w:val="18"/>
              </w:rPr>
              <w:t xml:space="preserve"> </w:t>
            </w:r>
            <w:proofErr w:type="spellStart"/>
            <w:r w:rsidRPr="006345F7">
              <w:rPr>
                <w:rFonts w:ascii="Arial" w:hAnsi="Arial" w:cs="Arial"/>
                <w:sz w:val="18"/>
                <w:szCs w:val="18"/>
              </w:rPr>
              <w:t>Wü</w:t>
            </w:r>
            <w:proofErr w:type="spellEnd"/>
            <w:r w:rsidRPr="006345F7">
              <w:rPr>
                <w:rFonts w:ascii="Arial" w:hAnsi="Arial" w:cs="Arial"/>
                <w:sz w:val="18"/>
                <w:szCs w:val="18"/>
              </w:rPr>
              <w:t xml:space="preserve"> 29/3 T 1 Nr. 1754/01/04</w:t>
            </w:r>
            <w:r w:rsidR="00EE4A85">
              <w:rPr>
                <w:rFonts w:ascii="Arial" w:hAnsi="Arial" w:cs="Arial"/>
                <w:sz w:val="18"/>
                <w:szCs w:val="18"/>
              </w:rPr>
              <w:t>)</w:t>
            </w:r>
          </w:p>
        </w:tc>
        <w:tc>
          <w:tcPr>
            <w:tcW w:w="5670" w:type="dxa"/>
          </w:tcPr>
          <w:p w:rsidR="006345F7" w:rsidRPr="006345F7" w:rsidRDefault="006345F7" w:rsidP="006345F7">
            <w:pPr>
              <w:pStyle w:val="KeinLeerraum"/>
              <w:jc w:val="both"/>
              <w:rPr>
                <w:rFonts w:ascii="Arial" w:hAnsi="Arial" w:cs="Arial"/>
                <w:sz w:val="20"/>
                <w:szCs w:val="20"/>
              </w:rPr>
            </w:pPr>
            <w:r w:rsidRPr="006345F7">
              <w:rPr>
                <w:rFonts w:ascii="Arial" w:hAnsi="Arial" w:cs="Arial"/>
                <w:sz w:val="20"/>
                <w:szCs w:val="20"/>
              </w:rPr>
              <w:t>„</w:t>
            </w:r>
            <w:proofErr w:type="spellStart"/>
            <w:r w:rsidRPr="006345F7">
              <w:rPr>
                <w:rFonts w:ascii="Arial" w:hAnsi="Arial" w:cs="Arial"/>
                <w:sz w:val="20"/>
                <w:szCs w:val="20"/>
              </w:rPr>
              <w:t>Mauthe</w:t>
            </w:r>
            <w:proofErr w:type="spellEnd"/>
            <w:r w:rsidRPr="006345F7">
              <w:rPr>
                <w:rFonts w:ascii="Arial" w:hAnsi="Arial" w:cs="Arial"/>
                <w:sz w:val="20"/>
                <w:szCs w:val="20"/>
              </w:rPr>
              <w:t xml:space="preserve"> hat nie erklärt, da</w:t>
            </w:r>
            <w:r w:rsidR="00D01829">
              <w:rPr>
                <w:rFonts w:ascii="Arial" w:hAnsi="Arial" w:cs="Arial"/>
                <w:sz w:val="20"/>
                <w:szCs w:val="20"/>
              </w:rPr>
              <w:t>ss er nicht mitmache. Hätte er L</w:t>
            </w:r>
            <w:r w:rsidRPr="006345F7">
              <w:rPr>
                <w:rFonts w:ascii="Arial" w:hAnsi="Arial" w:cs="Arial"/>
                <w:sz w:val="20"/>
                <w:szCs w:val="20"/>
              </w:rPr>
              <w:t xml:space="preserve">etzteres erklärt, so hätte ich an den Reichsinnenminister berichten müssen. […] Herrn </w:t>
            </w:r>
            <w:proofErr w:type="spellStart"/>
            <w:r w:rsidRPr="006345F7">
              <w:rPr>
                <w:rFonts w:ascii="Arial" w:hAnsi="Arial" w:cs="Arial"/>
                <w:sz w:val="20"/>
                <w:szCs w:val="20"/>
              </w:rPr>
              <w:t>Mauthe</w:t>
            </w:r>
            <w:proofErr w:type="spellEnd"/>
            <w:r w:rsidRPr="006345F7">
              <w:rPr>
                <w:rFonts w:ascii="Arial" w:hAnsi="Arial" w:cs="Arial"/>
                <w:sz w:val="20"/>
                <w:szCs w:val="20"/>
              </w:rPr>
              <w:t xml:space="preserve"> habe ich vorschriftsmäßig darauf hingewiesen, dass es sich um eine Geheime Reichssache handle, dass auf Schweigepflichtverletzung Todesstrafe stehe […]. Es ist nicht richtig, dass über diese Schweigeverpflichtung hinaus Dr. </w:t>
            </w:r>
            <w:proofErr w:type="spellStart"/>
            <w:r w:rsidRPr="006345F7">
              <w:rPr>
                <w:rFonts w:ascii="Arial" w:hAnsi="Arial" w:cs="Arial"/>
                <w:sz w:val="20"/>
                <w:szCs w:val="20"/>
              </w:rPr>
              <w:t>Mauthe</w:t>
            </w:r>
            <w:proofErr w:type="spellEnd"/>
            <w:r w:rsidRPr="006345F7">
              <w:rPr>
                <w:rFonts w:ascii="Arial" w:hAnsi="Arial" w:cs="Arial"/>
                <w:sz w:val="20"/>
                <w:szCs w:val="20"/>
              </w:rPr>
              <w:t xml:space="preserve"> von mir unter Androhung von Todesstrafe oder KZ […] zur Mitarbeit verpflichtet wurde. […] Ich habe </w:t>
            </w:r>
            <w:proofErr w:type="spellStart"/>
            <w:r w:rsidRPr="006345F7">
              <w:rPr>
                <w:rFonts w:ascii="Arial" w:hAnsi="Arial" w:cs="Arial"/>
                <w:sz w:val="20"/>
                <w:szCs w:val="20"/>
              </w:rPr>
              <w:t>Mauthe</w:t>
            </w:r>
            <w:proofErr w:type="spellEnd"/>
            <w:r w:rsidRPr="006345F7">
              <w:rPr>
                <w:rFonts w:ascii="Arial" w:hAnsi="Arial" w:cs="Arial"/>
                <w:sz w:val="20"/>
                <w:szCs w:val="20"/>
              </w:rPr>
              <w:t xml:space="preserve"> nie gedroht. Dies war auch nie nötig, er hat sich mir gegenüber nie gesperrt. Im Gegenteil, </w:t>
            </w:r>
            <w:proofErr w:type="spellStart"/>
            <w:r w:rsidRPr="006345F7">
              <w:rPr>
                <w:rFonts w:ascii="Arial" w:hAnsi="Arial" w:cs="Arial"/>
                <w:sz w:val="20"/>
                <w:szCs w:val="20"/>
              </w:rPr>
              <w:t>Mauthe</w:t>
            </w:r>
            <w:proofErr w:type="spellEnd"/>
            <w:r w:rsidRPr="006345F7">
              <w:rPr>
                <w:rFonts w:ascii="Arial" w:hAnsi="Arial" w:cs="Arial"/>
                <w:sz w:val="20"/>
                <w:szCs w:val="20"/>
              </w:rPr>
              <w:t xml:space="preserve"> hat versucht, die Durchführung der Aktion mehr unter unseren Einfluss zu bringen, wogegen ich mich wehrte mit der Begründung, dass mir von Anfang an gesagt worden sei, dass ich keine Verantwortung trage. Ich wollte mich nicht nachträglich mit Verantwortung belasten lassen. […] Es ist richtig, dass Dr. </w:t>
            </w:r>
            <w:proofErr w:type="spellStart"/>
            <w:r w:rsidRPr="006345F7">
              <w:rPr>
                <w:rFonts w:ascii="Arial" w:hAnsi="Arial" w:cs="Arial"/>
                <w:sz w:val="20"/>
                <w:szCs w:val="20"/>
              </w:rPr>
              <w:t>Mauthe</w:t>
            </w:r>
            <w:proofErr w:type="spellEnd"/>
            <w:r w:rsidRPr="006345F7">
              <w:rPr>
                <w:rFonts w:ascii="Arial" w:hAnsi="Arial" w:cs="Arial"/>
                <w:sz w:val="20"/>
                <w:szCs w:val="20"/>
              </w:rPr>
              <w:t xml:space="preserve"> stärkeren Einfluss auf die Aktion gewinnen wollte, um die Auslese zu verbessern. […] </w:t>
            </w:r>
            <w:proofErr w:type="spellStart"/>
            <w:r w:rsidRPr="006345F7">
              <w:rPr>
                <w:rFonts w:ascii="Arial" w:hAnsi="Arial" w:cs="Arial"/>
                <w:sz w:val="20"/>
                <w:szCs w:val="20"/>
              </w:rPr>
              <w:t>Mauthe</w:t>
            </w:r>
            <w:proofErr w:type="spellEnd"/>
            <w:r w:rsidRPr="006345F7">
              <w:rPr>
                <w:rFonts w:ascii="Arial" w:hAnsi="Arial" w:cs="Arial"/>
                <w:sz w:val="20"/>
                <w:szCs w:val="20"/>
              </w:rPr>
              <w:t xml:space="preserve"> hatte die Tendenz, möglichst viel selbst zu unterschreiben, damit seine Person in den Vordergrund trat. […] Ich habe Grund anzunehmen, dass er mein Nachfolger werden wollte. […] </w:t>
            </w:r>
            <w:proofErr w:type="spellStart"/>
            <w:r w:rsidRPr="006345F7">
              <w:rPr>
                <w:rFonts w:ascii="Arial" w:hAnsi="Arial" w:cs="Arial"/>
                <w:sz w:val="20"/>
                <w:szCs w:val="20"/>
              </w:rPr>
              <w:t>Mauthe</w:t>
            </w:r>
            <w:proofErr w:type="spellEnd"/>
            <w:r w:rsidRPr="006345F7">
              <w:rPr>
                <w:rFonts w:ascii="Arial" w:hAnsi="Arial" w:cs="Arial"/>
                <w:sz w:val="20"/>
                <w:szCs w:val="20"/>
              </w:rPr>
              <w:t xml:space="preserve"> war äußerlich Nationalsozialist, innerlich nicht. Dazu war er ein viel zu krasser Egoist. </w:t>
            </w:r>
            <w:proofErr w:type="spellStart"/>
            <w:r w:rsidRPr="006345F7">
              <w:rPr>
                <w:rFonts w:ascii="Arial" w:hAnsi="Arial" w:cs="Arial"/>
                <w:sz w:val="20"/>
                <w:szCs w:val="20"/>
              </w:rPr>
              <w:t>Mauthe</w:t>
            </w:r>
            <w:proofErr w:type="spellEnd"/>
            <w:r w:rsidRPr="006345F7">
              <w:rPr>
                <w:rFonts w:ascii="Arial" w:hAnsi="Arial" w:cs="Arial"/>
                <w:sz w:val="20"/>
                <w:szCs w:val="20"/>
              </w:rPr>
              <w:t xml:space="preserve"> hat mir über seine gegnerische Einstellung zum Nationalsozialismus nie etwas gesagt. Er betonte seine positive Einstellung. </w:t>
            </w:r>
            <w:proofErr w:type="spellStart"/>
            <w:r w:rsidRPr="006345F7">
              <w:rPr>
                <w:rFonts w:ascii="Arial" w:hAnsi="Arial" w:cs="Arial"/>
                <w:sz w:val="20"/>
                <w:szCs w:val="20"/>
              </w:rPr>
              <w:t>Mauthe</w:t>
            </w:r>
            <w:proofErr w:type="spellEnd"/>
            <w:r w:rsidRPr="006345F7">
              <w:rPr>
                <w:rFonts w:ascii="Arial" w:hAnsi="Arial" w:cs="Arial"/>
                <w:sz w:val="20"/>
                <w:szCs w:val="20"/>
              </w:rPr>
              <w:t xml:space="preserve"> hat z.</w:t>
            </w:r>
            <w:r w:rsidR="00D01829">
              <w:rPr>
                <w:rFonts w:ascii="Arial" w:hAnsi="Arial" w:cs="Arial"/>
                <w:sz w:val="20"/>
                <w:szCs w:val="20"/>
              </w:rPr>
              <w:t xml:space="preserve"> </w:t>
            </w:r>
            <w:r w:rsidRPr="006345F7">
              <w:rPr>
                <w:rFonts w:ascii="Arial" w:hAnsi="Arial" w:cs="Arial"/>
                <w:sz w:val="20"/>
                <w:szCs w:val="20"/>
              </w:rPr>
              <w:t xml:space="preserve">B. jeden Vortrag, den er im Amt für Volksgesundheit […] gehalten hat, mit &gt;Heil Hitler&lt; begonnen. […] </w:t>
            </w:r>
            <w:proofErr w:type="spellStart"/>
            <w:r w:rsidRPr="006345F7">
              <w:rPr>
                <w:rFonts w:ascii="Arial" w:hAnsi="Arial" w:cs="Arial"/>
                <w:sz w:val="20"/>
                <w:szCs w:val="20"/>
              </w:rPr>
              <w:t>Mauthe</w:t>
            </w:r>
            <w:proofErr w:type="spellEnd"/>
            <w:r w:rsidRPr="006345F7">
              <w:rPr>
                <w:rFonts w:ascii="Arial" w:hAnsi="Arial" w:cs="Arial"/>
                <w:sz w:val="20"/>
                <w:szCs w:val="20"/>
              </w:rPr>
              <w:t xml:space="preserve"> hätte, wenn er innerlich gegen die Aktion eingestellt gewesen wäre, ruhig zu mir kommen und erklären können, dass er aus Gewissensgründen nicht mitmachen könne. Ich hätte von mir aus gegen </w:t>
            </w:r>
            <w:proofErr w:type="spellStart"/>
            <w:r w:rsidRPr="006345F7">
              <w:rPr>
                <w:rFonts w:ascii="Arial" w:hAnsi="Arial" w:cs="Arial"/>
                <w:sz w:val="20"/>
                <w:szCs w:val="20"/>
              </w:rPr>
              <w:t>Mauthe</w:t>
            </w:r>
            <w:proofErr w:type="spellEnd"/>
            <w:r w:rsidRPr="006345F7">
              <w:rPr>
                <w:rFonts w:ascii="Arial" w:hAnsi="Arial" w:cs="Arial"/>
                <w:sz w:val="20"/>
                <w:szCs w:val="20"/>
              </w:rPr>
              <w:t xml:space="preserve"> überhaupt nichts unternommen mit der Maßgabe, dass ich Berlin hätte unterrichten […] müssen. Ich glaube auch nicht, dass von oben her gegen Dr. </w:t>
            </w:r>
            <w:proofErr w:type="spellStart"/>
            <w:r w:rsidRPr="006345F7">
              <w:rPr>
                <w:rFonts w:ascii="Arial" w:hAnsi="Arial" w:cs="Arial"/>
                <w:sz w:val="20"/>
                <w:szCs w:val="20"/>
              </w:rPr>
              <w:t>Mauthe</w:t>
            </w:r>
            <w:proofErr w:type="spellEnd"/>
            <w:r w:rsidRPr="006345F7">
              <w:rPr>
                <w:rFonts w:ascii="Arial" w:hAnsi="Arial" w:cs="Arial"/>
                <w:sz w:val="20"/>
                <w:szCs w:val="20"/>
              </w:rPr>
              <w:t xml:space="preserve"> wirklich einschneidende Maßnahmen ergriffen worden wären, nachdem doch auch andere Ärzte ihre Mitwirkung abgelehnt hatten […]. </w:t>
            </w:r>
          </w:p>
          <w:p w:rsidR="006345F7" w:rsidRPr="00EE4A85" w:rsidRDefault="006345F7" w:rsidP="00A10297">
            <w:pPr>
              <w:pStyle w:val="KeinLeerraum"/>
              <w:jc w:val="both"/>
              <w:rPr>
                <w:rFonts w:ascii="Arial" w:hAnsi="Arial" w:cs="Arial"/>
                <w:sz w:val="20"/>
                <w:szCs w:val="20"/>
              </w:rPr>
            </w:pPr>
            <w:r w:rsidRPr="006345F7">
              <w:rPr>
                <w:rFonts w:ascii="Arial" w:hAnsi="Arial" w:cs="Arial"/>
                <w:sz w:val="20"/>
                <w:szCs w:val="20"/>
              </w:rPr>
              <w:t xml:space="preserve">Ich selbst habe die Listen nicht näher überprüft, kannte keine Namen, keine Erkrankung, konnte mit denselben nichts anfangen. Ich habe sie eben Dr. </w:t>
            </w:r>
            <w:proofErr w:type="spellStart"/>
            <w:r w:rsidRPr="006345F7">
              <w:rPr>
                <w:rFonts w:ascii="Arial" w:hAnsi="Arial" w:cs="Arial"/>
                <w:sz w:val="20"/>
                <w:szCs w:val="20"/>
              </w:rPr>
              <w:t>Mauthe</w:t>
            </w:r>
            <w:proofErr w:type="spellEnd"/>
            <w:r w:rsidRPr="006345F7">
              <w:rPr>
                <w:rFonts w:ascii="Arial" w:hAnsi="Arial" w:cs="Arial"/>
                <w:sz w:val="20"/>
                <w:szCs w:val="20"/>
              </w:rPr>
              <w:t xml:space="preserve"> weitergegeben</w:t>
            </w:r>
            <w:r w:rsidR="00D01829">
              <w:rPr>
                <w:rFonts w:ascii="Arial" w:hAnsi="Arial" w:cs="Arial"/>
                <w:sz w:val="20"/>
                <w:szCs w:val="20"/>
              </w:rPr>
              <w:t>. Ich kann mich nicht an einen F</w:t>
            </w:r>
            <w:r w:rsidRPr="006345F7">
              <w:rPr>
                <w:rFonts w:ascii="Arial" w:hAnsi="Arial" w:cs="Arial"/>
                <w:sz w:val="20"/>
                <w:szCs w:val="20"/>
              </w:rPr>
              <w:t xml:space="preserve">all erinnern, dass ich die Anordnung der Verlegung selbst bearbeitet habe. […] Über den Umfang der Verlegungen war ich nicht auf dem Laufenden. […] Ich kann auch nicht mehr sagen, ob ich </w:t>
            </w:r>
            <w:proofErr w:type="spellStart"/>
            <w:r w:rsidRPr="006345F7">
              <w:rPr>
                <w:rFonts w:ascii="Arial" w:hAnsi="Arial" w:cs="Arial"/>
                <w:sz w:val="20"/>
                <w:szCs w:val="20"/>
              </w:rPr>
              <w:t>Mauthe</w:t>
            </w:r>
            <w:proofErr w:type="spellEnd"/>
            <w:r w:rsidRPr="006345F7">
              <w:rPr>
                <w:rFonts w:ascii="Arial" w:hAnsi="Arial" w:cs="Arial"/>
                <w:sz w:val="20"/>
                <w:szCs w:val="20"/>
              </w:rPr>
              <w:t xml:space="preserve"> nach der Zahl der Verlegungen gefragt habe.“</w:t>
            </w:r>
            <w:r w:rsidR="00EE4A85">
              <w:rPr>
                <w:rFonts w:ascii="Arial" w:hAnsi="Arial" w:cs="Arial"/>
                <w:sz w:val="20"/>
                <w:szCs w:val="20"/>
              </w:rPr>
              <w:t xml:space="preserve"> (</w:t>
            </w:r>
            <w:r w:rsidR="00A10297">
              <w:rPr>
                <w:rFonts w:ascii="Arial" w:hAnsi="Arial" w:cs="Arial"/>
                <w:sz w:val="18"/>
                <w:szCs w:val="18"/>
              </w:rPr>
              <w:t>Staatsarchiv Sigmaringen</w:t>
            </w:r>
            <w:r w:rsidRPr="006345F7">
              <w:rPr>
                <w:rFonts w:ascii="Arial" w:hAnsi="Arial" w:cs="Arial"/>
                <w:sz w:val="18"/>
                <w:szCs w:val="18"/>
              </w:rPr>
              <w:t xml:space="preserve"> </w:t>
            </w:r>
            <w:proofErr w:type="spellStart"/>
            <w:r w:rsidRPr="006345F7">
              <w:rPr>
                <w:rFonts w:ascii="Arial" w:hAnsi="Arial" w:cs="Arial"/>
                <w:sz w:val="18"/>
                <w:szCs w:val="18"/>
              </w:rPr>
              <w:t>Wü</w:t>
            </w:r>
            <w:proofErr w:type="spellEnd"/>
            <w:r w:rsidRPr="006345F7">
              <w:rPr>
                <w:rFonts w:ascii="Arial" w:hAnsi="Arial" w:cs="Arial"/>
                <w:sz w:val="18"/>
                <w:szCs w:val="18"/>
              </w:rPr>
              <w:t xml:space="preserve"> 29/3 T1 Nr. 1754/01/17</w:t>
            </w:r>
            <w:r w:rsidR="00EE4A85">
              <w:rPr>
                <w:rFonts w:ascii="Arial" w:hAnsi="Arial" w:cs="Arial"/>
                <w:sz w:val="18"/>
                <w:szCs w:val="18"/>
              </w:rPr>
              <w:t>)</w:t>
            </w:r>
          </w:p>
        </w:tc>
      </w:tr>
    </w:tbl>
    <w:p w:rsidR="006345F7" w:rsidRDefault="006345F7" w:rsidP="00E44D67">
      <w:pPr>
        <w:pStyle w:val="KeinLeerraum"/>
        <w:rPr>
          <w:rFonts w:ascii="Arial" w:hAnsi="Arial" w:cs="Arial"/>
          <w:sz w:val="8"/>
          <w:szCs w:val="8"/>
        </w:rPr>
      </w:pPr>
    </w:p>
    <w:p w:rsidR="00EE4A85" w:rsidRDefault="00EE4A85" w:rsidP="00E44D67">
      <w:pPr>
        <w:pStyle w:val="KeinLeerraum"/>
        <w:rPr>
          <w:rFonts w:ascii="Arial" w:hAnsi="Arial" w:cs="Arial"/>
          <w:sz w:val="8"/>
          <w:szCs w:val="8"/>
        </w:rPr>
      </w:pPr>
    </w:p>
    <w:p w:rsidR="00EE4A85" w:rsidRPr="00EE4A85" w:rsidRDefault="00EE4A85" w:rsidP="00E44D67">
      <w:pPr>
        <w:pStyle w:val="KeinLeerraum"/>
        <w:rPr>
          <w:rFonts w:ascii="Arial" w:hAnsi="Arial" w:cs="Arial"/>
          <w:sz w:val="8"/>
          <w:szCs w:val="8"/>
        </w:rPr>
      </w:pPr>
    </w:p>
    <w:p w:rsidR="000A2B25" w:rsidRPr="00EE4A85" w:rsidRDefault="006345F7" w:rsidP="00E44D67">
      <w:pPr>
        <w:pStyle w:val="KeinLeerraum"/>
        <w:rPr>
          <w:rFonts w:ascii="Arial" w:hAnsi="Arial" w:cs="Arial"/>
          <w:b/>
          <w:sz w:val="20"/>
          <w:szCs w:val="20"/>
        </w:rPr>
      </w:pPr>
      <w:r w:rsidRPr="00EE4A85">
        <w:rPr>
          <w:rFonts w:ascii="Arial" w:hAnsi="Arial" w:cs="Arial"/>
          <w:b/>
          <w:sz w:val="20"/>
          <w:szCs w:val="20"/>
        </w:rPr>
        <w:t>Aufgaben:</w:t>
      </w:r>
    </w:p>
    <w:p w:rsidR="00EE4A85" w:rsidRDefault="00EE4A85" w:rsidP="00EE4A85">
      <w:pPr>
        <w:pStyle w:val="KeinLeerraum"/>
        <w:numPr>
          <w:ilvl w:val="0"/>
          <w:numId w:val="1"/>
        </w:numPr>
        <w:rPr>
          <w:rFonts w:ascii="Arial" w:hAnsi="Arial" w:cs="Arial"/>
          <w:sz w:val="20"/>
          <w:szCs w:val="20"/>
        </w:rPr>
      </w:pPr>
      <w:r>
        <w:rPr>
          <w:rFonts w:ascii="Arial" w:hAnsi="Arial" w:cs="Arial"/>
          <w:sz w:val="20"/>
          <w:szCs w:val="20"/>
        </w:rPr>
        <w:t>Markiere im Text alle Argumentationen zu</w:t>
      </w:r>
      <w:r w:rsidR="00C824A4">
        <w:rPr>
          <w:rFonts w:ascii="Arial" w:hAnsi="Arial" w:cs="Arial"/>
          <w:sz w:val="20"/>
          <w:szCs w:val="20"/>
        </w:rPr>
        <w:t>r</w:t>
      </w:r>
      <w:r>
        <w:rPr>
          <w:rFonts w:ascii="Arial" w:hAnsi="Arial" w:cs="Arial"/>
          <w:sz w:val="20"/>
          <w:szCs w:val="20"/>
        </w:rPr>
        <w:t xml:space="preserve"> eigenen Entlastung.</w:t>
      </w:r>
    </w:p>
    <w:p w:rsidR="00EE4A85" w:rsidRDefault="00EE4A85" w:rsidP="00EE4A85">
      <w:pPr>
        <w:pStyle w:val="KeinLeerraum"/>
        <w:numPr>
          <w:ilvl w:val="0"/>
          <w:numId w:val="1"/>
        </w:numPr>
        <w:rPr>
          <w:rFonts w:ascii="Arial" w:hAnsi="Arial" w:cs="Arial"/>
          <w:sz w:val="20"/>
          <w:szCs w:val="20"/>
        </w:rPr>
      </w:pPr>
      <w:r>
        <w:rPr>
          <w:rFonts w:ascii="Arial" w:hAnsi="Arial" w:cs="Arial"/>
          <w:sz w:val="20"/>
          <w:szCs w:val="20"/>
        </w:rPr>
        <w:t xml:space="preserve">Vergleiche die Argumentationen: Wo gibt es Übereinstimmungen, in welchen Punkten widersprechen sich </w:t>
      </w:r>
      <w:proofErr w:type="spellStart"/>
      <w:r>
        <w:rPr>
          <w:rFonts w:ascii="Arial" w:hAnsi="Arial" w:cs="Arial"/>
          <w:sz w:val="20"/>
          <w:szCs w:val="20"/>
        </w:rPr>
        <w:t>Mauthe</w:t>
      </w:r>
      <w:proofErr w:type="spellEnd"/>
      <w:r>
        <w:rPr>
          <w:rFonts w:ascii="Arial" w:hAnsi="Arial" w:cs="Arial"/>
          <w:sz w:val="20"/>
          <w:szCs w:val="20"/>
        </w:rPr>
        <w:t xml:space="preserve"> und Stähle?</w:t>
      </w:r>
    </w:p>
    <w:p w:rsidR="006345F7" w:rsidRPr="00EE4A85" w:rsidRDefault="00EE4A85" w:rsidP="00EE4A85">
      <w:pPr>
        <w:pStyle w:val="KeinLeerraum"/>
        <w:numPr>
          <w:ilvl w:val="0"/>
          <w:numId w:val="1"/>
        </w:numPr>
        <w:rPr>
          <w:rFonts w:ascii="Arial" w:hAnsi="Arial" w:cs="Arial"/>
          <w:sz w:val="20"/>
          <w:szCs w:val="20"/>
        </w:rPr>
      </w:pPr>
      <w:r>
        <w:rPr>
          <w:rFonts w:ascii="Arial" w:hAnsi="Arial" w:cs="Arial"/>
          <w:sz w:val="20"/>
          <w:szCs w:val="20"/>
        </w:rPr>
        <w:t>Formuliere schriftlich: Welche Erkenntnisse kann das Gericht aus einem Vergleich der beiden Aussagen ziehen?</w:t>
      </w:r>
    </w:p>
    <w:sectPr w:rsidR="006345F7" w:rsidRPr="00EE4A85" w:rsidSect="00EE4A85">
      <w:footerReference w:type="default" r:id="rId8"/>
      <w:pgSz w:w="11906" w:h="16838"/>
      <w:pgMar w:top="1134" w:right="1133"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754" w:rsidRDefault="00FC6754" w:rsidP="000A2B25">
      <w:pPr>
        <w:spacing w:after="0" w:line="240" w:lineRule="auto"/>
      </w:pPr>
      <w:r>
        <w:separator/>
      </w:r>
    </w:p>
  </w:endnote>
  <w:endnote w:type="continuationSeparator" w:id="0">
    <w:p w:rsidR="00FC6754" w:rsidRDefault="00FC6754" w:rsidP="000A2B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072" w:rsidRDefault="00957072" w:rsidP="00957072">
    <w:pPr>
      <w:pStyle w:val="Fuzeile"/>
      <w:jc w:val="center"/>
      <w:rPr>
        <w:rFonts w:ascii="Arial" w:hAnsi="Arial" w:cs="Arial"/>
        <w:sz w:val="16"/>
        <w:szCs w:val="16"/>
      </w:rPr>
    </w:pPr>
    <w:r>
      <w:rPr>
        <w:rFonts w:ascii="Arial" w:hAnsi="Arial" w:cs="Arial"/>
        <w:sz w:val="16"/>
        <w:szCs w:val="16"/>
      </w:rPr>
      <w:t>Arbeitskreis für Landeskunde/Landesgeschichte RP Tübingen</w:t>
    </w:r>
  </w:p>
  <w:p w:rsidR="00957072" w:rsidRPr="00957072" w:rsidRDefault="00957072" w:rsidP="00957072">
    <w:pPr>
      <w:pStyle w:val="Fuzeile"/>
      <w:jc w:val="center"/>
      <w:rPr>
        <w:rFonts w:ascii="Arial" w:hAnsi="Arial" w:cs="Arial"/>
        <w:sz w:val="16"/>
        <w:szCs w:val="16"/>
      </w:rPr>
    </w:pPr>
    <w:r>
      <w:rPr>
        <w:rFonts w:ascii="Arial" w:hAnsi="Arial" w:cs="Arial"/>
        <w:sz w:val="16"/>
        <w:szCs w:val="16"/>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754" w:rsidRDefault="00FC6754" w:rsidP="000A2B25">
      <w:pPr>
        <w:spacing w:after="0" w:line="240" w:lineRule="auto"/>
      </w:pPr>
      <w:r>
        <w:separator/>
      </w:r>
    </w:p>
  </w:footnote>
  <w:footnote w:type="continuationSeparator" w:id="0">
    <w:p w:rsidR="00FC6754" w:rsidRDefault="00FC6754" w:rsidP="000A2B25">
      <w:pPr>
        <w:spacing w:after="0" w:line="240" w:lineRule="auto"/>
      </w:pPr>
      <w:r>
        <w:continuationSeparator/>
      </w:r>
    </w:p>
  </w:footnote>
  <w:footnote w:id="1">
    <w:p w:rsidR="00DD2336" w:rsidRPr="000A2B25" w:rsidRDefault="00DD2336" w:rsidP="00DD2336">
      <w:pPr>
        <w:pStyle w:val="Funotentext"/>
        <w:rPr>
          <w:rFonts w:ascii="Arial" w:hAnsi="Arial" w:cs="Arial"/>
        </w:rPr>
      </w:pPr>
      <w:r w:rsidRPr="000A2B25">
        <w:rPr>
          <w:rStyle w:val="Funotenzeichen"/>
          <w:rFonts w:ascii="Arial" w:hAnsi="Arial" w:cs="Arial"/>
        </w:rPr>
        <w:footnoteRef/>
      </w:r>
      <w:r w:rsidRPr="000A2B25">
        <w:rPr>
          <w:rFonts w:ascii="Arial" w:hAnsi="Arial" w:cs="Arial"/>
        </w:rPr>
        <w:t xml:space="preserve"> Ein derartiger Fall ist in der Forschung nicht bekannt.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AA783B"/>
    <w:multiLevelType w:val="hybridMultilevel"/>
    <w:tmpl w:val="8D42997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D67"/>
    <w:rsid w:val="00021822"/>
    <w:rsid w:val="00046E64"/>
    <w:rsid w:val="00077D76"/>
    <w:rsid w:val="000A2B25"/>
    <w:rsid w:val="000C3C3F"/>
    <w:rsid w:val="00170CB4"/>
    <w:rsid w:val="001C449D"/>
    <w:rsid w:val="001D2CA4"/>
    <w:rsid w:val="001E61E0"/>
    <w:rsid w:val="00226F9E"/>
    <w:rsid w:val="003A42E2"/>
    <w:rsid w:val="004115B6"/>
    <w:rsid w:val="00543D29"/>
    <w:rsid w:val="006326CE"/>
    <w:rsid w:val="006345F7"/>
    <w:rsid w:val="00654D5E"/>
    <w:rsid w:val="006B2B86"/>
    <w:rsid w:val="006E5782"/>
    <w:rsid w:val="007A1621"/>
    <w:rsid w:val="00857F30"/>
    <w:rsid w:val="008B0FDD"/>
    <w:rsid w:val="00944702"/>
    <w:rsid w:val="00957072"/>
    <w:rsid w:val="00A10297"/>
    <w:rsid w:val="00B24682"/>
    <w:rsid w:val="00C72F85"/>
    <w:rsid w:val="00C824A4"/>
    <w:rsid w:val="00D01829"/>
    <w:rsid w:val="00DD2336"/>
    <w:rsid w:val="00DE52DA"/>
    <w:rsid w:val="00E208C9"/>
    <w:rsid w:val="00E44D67"/>
    <w:rsid w:val="00E45C70"/>
    <w:rsid w:val="00EE4A85"/>
    <w:rsid w:val="00F21917"/>
    <w:rsid w:val="00FA1CA6"/>
    <w:rsid w:val="00FC67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EAFD4"/>
  <w15:chartTrackingRefBased/>
  <w15:docId w15:val="{6E15DA9A-8B55-44D1-952C-1232CACA0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08C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E44D67"/>
    <w:pPr>
      <w:spacing w:after="0" w:line="240" w:lineRule="auto"/>
    </w:pPr>
  </w:style>
  <w:style w:type="paragraph" w:styleId="Funotentext">
    <w:name w:val="footnote text"/>
    <w:basedOn w:val="Standard"/>
    <w:link w:val="FunotentextZchn"/>
    <w:uiPriority w:val="99"/>
    <w:semiHidden/>
    <w:unhideWhenUsed/>
    <w:rsid w:val="000A2B2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A2B25"/>
    <w:rPr>
      <w:sz w:val="20"/>
      <w:szCs w:val="20"/>
    </w:rPr>
  </w:style>
  <w:style w:type="character" w:styleId="Funotenzeichen">
    <w:name w:val="footnote reference"/>
    <w:basedOn w:val="Absatz-Standardschriftart"/>
    <w:uiPriority w:val="99"/>
    <w:semiHidden/>
    <w:unhideWhenUsed/>
    <w:rsid w:val="000A2B25"/>
    <w:rPr>
      <w:vertAlign w:val="superscript"/>
    </w:rPr>
  </w:style>
  <w:style w:type="table" w:styleId="Tabellenraster">
    <w:name w:val="Table Grid"/>
    <w:basedOn w:val="NormaleTabelle"/>
    <w:uiPriority w:val="39"/>
    <w:rsid w:val="00634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95707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57072"/>
  </w:style>
  <w:style w:type="paragraph" w:styleId="Fuzeile">
    <w:name w:val="footer"/>
    <w:basedOn w:val="Standard"/>
    <w:link w:val="FuzeileZchn"/>
    <w:uiPriority w:val="99"/>
    <w:unhideWhenUsed/>
    <w:rsid w:val="0095707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570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240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22FF4F-51C6-4742-B5F6-7D4CFB49D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668</Words>
  <Characters>4209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Fiederer</dc:creator>
  <cp:keywords/>
  <dc:description/>
  <cp:lastModifiedBy>Fiederer</cp:lastModifiedBy>
  <cp:revision>20</cp:revision>
  <dcterms:created xsi:type="dcterms:W3CDTF">2019-07-29T14:01:00Z</dcterms:created>
  <dcterms:modified xsi:type="dcterms:W3CDTF">2019-08-20T08:14:00Z</dcterms:modified>
</cp:coreProperties>
</file>