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413E" w:rsidRDefault="0061413E" w:rsidP="0061413E">
      <w:pPr>
        <w:spacing w:after="0" w:line="240" w:lineRule="auto"/>
        <w:rPr>
          <w:rFonts w:cstheme="minorHAnsi"/>
          <w:b/>
          <w:i/>
          <w:sz w:val="16"/>
          <w:szCs w:val="16"/>
        </w:rPr>
      </w:pPr>
      <w:r w:rsidRPr="00BD0056">
        <w:rPr>
          <w:rFonts w:cstheme="minorHAnsi"/>
          <w:b/>
          <w:i/>
          <w:noProof/>
          <w:sz w:val="16"/>
          <w:szCs w:val="16"/>
        </w:rPr>
        <w:drawing>
          <wp:anchor distT="0" distB="0" distL="114300" distR="114300" simplePos="0" relativeHeight="251662336" behindDoc="0" locked="0" layoutInCell="1" allowOverlap="1">
            <wp:simplePos x="0" y="0"/>
            <wp:positionH relativeFrom="column">
              <wp:posOffset>4575810</wp:posOffset>
            </wp:positionH>
            <wp:positionV relativeFrom="paragraph">
              <wp:posOffset>-662940</wp:posOffset>
            </wp:positionV>
            <wp:extent cx="1724025" cy="1066800"/>
            <wp:effectExtent l="19050" t="0" r="9525" b="0"/>
            <wp:wrapNone/>
            <wp:docPr id="3" name="Bild 1" descr="C:\Users\ines\Desktop\Dateien_Ines\Landeskunde\AKL\Hohenzollern_Jüdisches_Leben\Bilder\Horb_Rexingen\Foto 10 -Klassenbild mit Lehrer Spat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es\Desktop\Dateien_Ines\Landeskunde\AKL\Hohenzollern_Jüdisches_Leben\Bilder\Horb_Rexingen\Foto 10 -Klassenbild mit Lehrer Spatz.jpg"/>
                    <pic:cNvPicPr>
                      <a:picLocks noChangeAspect="1" noChangeArrowheads="1"/>
                    </pic:cNvPicPr>
                  </pic:nvPicPr>
                  <pic:blipFill>
                    <a:blip r:embed="rId4" cstate="print"/>
                    <a:srcRect/>
                    <a:stretch>
                      <a:fillRect/>
                    </a:stretch>
                  </pic:blipFill>
                  <pic:spPr bwMode="auto">
                    <a:xfrm>
                      <a:off x="0" y="0"/>
                      <a:ext cx="1724025" cy="1066800"/>
                    </a:xfrm>
                    <a:prstGeom prst="rect">
                      <a:avLst/>
                    </a:prstGeom>
                    <a:noFill/>
                    <a:ln w="9525">
                      <a:noFill/>
                      <a:miter lim="800000"/>
                      <a:headEnd/>
                      <a:tailEnd/>
                    </a:ln>
                  </pic:spPr>
                </pic:pic>
              </a:graphicData>
            </a:graphic>
          </wp:anchor>
        </w:drawing>
      </w:r>
    </w:p>
    <w:p w:rsidR="0061413E" w:rsidRPr="00E720EA" w:rsidRDefault="0061413E" w:rsidP="0061413E">
      <w:pPr>
        <w:spacing w:after="0" w:line="240" w:lineRule="auto"/>
        <w:rPr>
          <w:rFonts w:cstheme="minorHAnsi"/>
          <w:b/>
          <w:i/>
          <w:sz w:val="16"/>
          <w:szCs w:val="16"/>
        </w:rPr>
      </w:pPr>
    </w:p>
    <w:p w:rsidR="0061413E" w:rsidRPr="00E720EA" w:rsidRDefault="0061413E" w:rsidP="0061413E">
      <w:pPr>
        <w:spacing w:after="0" w:line="240" w:lineRule="auto"/>
        <w:rPr>
          <w:rFonts w:cstheme="minorHAnsi"/>
          <w:b/>
          <w:i/>
        </w:rPr>
      </w:pPr>
      <w:r w:rsidRPr="000075CF">
        <w:rPr>
          <w:rFonts w:cstheme="minorHAnsi"/>
          <w:b/>
          <w:noProof/>
        </w:rPr>
        <w:pict>
          <v:line id="_x0000_s1027" style="position:absolute;z-index:251661312" from="0,15.55pt" to="495pt,15.55pt"/>
        </w:pict>
      </w:r>
      <w:r w:rsidRPr="00E720EA">
        <w:rPr>
          <w:rFonts w:cstheme="minorHAnsi"/>
          <w:b/>
        </w:rPr>
        <w:t>Jüdische Lebenswelten in Hohenzollern und am Oberen Neckar</w:t>
      </w:r>
      <w:r w:rsidRPr="00E720EA">
        <w:rPr>
          <w:rFonts w:cstheme="minorHAnsi"/>
          <w:b/>
          <w:i/>
        </w:rPr>
        <w:tab/>
      </w:r>
      <w:r w:rsidRPr="00E720EA">
        <w:rPr>
          <w:rFonts w:cstheme="minorHAnsi"/>
          <w:b/>
          <w:i/>
        </w:rPr>
        <w:tab/>
      </w:r>
    </w:p>
    <w:p w:rsidR="0061413E" w:rsidRPr="0061413E" w:rsidRDefault="0061413E" w:rsidP="0061413E">
      <w:pPr>
        <w:spacing w:after="0" w:line="240" w:lineRule="auto"/>
        <w:rPr>
          <w:sz w:val="28"/>
          <w:szCs w:val="28"/>
        </w:rPr>
      </w:pPr>
      <w:r w:rsidRPr="0061413E">
        <w:rPr>
          <w:rFonts w:cstheme="minorHAnsi"/>
          <w:b/>
          <w:noProof/>
          <w:sz w:val="28"/>
          <w:szCs w:val="28"/>
        </w:rPr>
        <w:pict>
          <v:shapetype id="_x0000_t202" coordsize="21600,21600" o:spt="202" path="m,l,21600r21600,l21600,xe">
            <v:stroke joinstyle="miter"/>
            <v:path gradientshapeok="t" o:connecttype="rect"/>
          </v:shapetype>
          <v:shape id="_x0000_s1026" type="#_x0000_t202" style="position:absolute;margin-left:358.5pt;margin-top:.85pt;width:129pt;height:28.75pt;z-index:251660288" stroked="f">
            <v:textbox>
              <w:txbxContent>
                <w:p w:rsidR="0061413E" w:rsidRPr="00E720EA" w:rsidRDefault="0061413E" w:rsidP="0061413E">
                  <w:pPr>
                    <w:spacing w:after="0" w:line="240" w:lineRule="auto"/>
                    <w:rPr>
                      <w:rFonts w:cstheme="minorHAnsi"/>
                      <w:sz w:val="16"/>
                      <w:szCs w:val="16"/>
                    </w:rPr>
                  </w:pPr>
                  <w:r w:rsidRPr="00E720EA">
                    <w:rPr>
                      <w:rFonts w:cstheme="minorHAnsi"/>
                      <w:sz w:val="16"/>
                      <w:szCs w:val="16"/>
                    </w:rPr>
                    <w:t xml:space="preserve">© Träger- und Förderverein </w:t>
                  </w:r>
                </w:p>
                <w:p w:rsidR="0061413E" w:rsidRPr="00E720EA" w:rsidRDefault="0061413E" w:rsidP="0061413E">
                  <w:pPr>
                    <w:spacing w:after="0" w:line="240" w:lineRule="auto"/>
                    <w:rPr>
                      <w:rFonts w:cstheme="minorHAnsi"/>
                      <w:sz w:val="16"/>
                      <w:szCs w:val="16"/>
                    </w:rPr>
                  </w:pPr>
                  <w:r w:rsidRPr="00E720EA">
                    <w:rPr>
                      <w:rFonts w:cstheme="minorHAnsi"/>
                      <w:sz w:val="16"/>
                      <w:szCs w:val="16"/>
                    </w:rPr>
                    <w:t>Ehemalige</w:t>
                  </w:r>
                  <w:r w:rsidRPr="00E720EA">
                    <w:rPr>
                      <w:rFonts w:cstheme="minorHAnsi"/>
                    </w:rPr>
                    <w:t xml:space="preserve"> </w:t>
                  </w:r>
                  <w:r w:rsidRPr="00E720EA">
                    <w:rPr>
                      <w:rFonts w:cstheme="minorHAnsi"/>
                      <w:sz w:val="16"/>
                      <w:szCs w:val="16"/>
                    </w:rPr>
                    <w:t xml:space="preserve">Synagoge </w:t>
                  </w:r>
                  <w:proofErr w:type="spellStart"/>
                  <w:r w:rsidRPr="00E720EA">
                    <w:rPr>
                      <w:rFonts w:cstheme="minorHAnsi"/>
                      <w:sz w:val="16"/>
                      <w:szCs w:val="16"/>
                    </w:rPr>
                    <w:t>Rexingen</w:t>
                  </w:r>
                  <w:proofErr w:type="spellEnd"/>
                  <w:r w:rsidRPr="00E720EA">
                    <w:rPr>
                      <w:rFonts w:cstheme="minorHAnsi"/>
                      <w:sz w:val="16"/>
                      <w:szCs w:val="16"/>
                    </w:rPr>
                    <w:t xml:space="preserve"> e.V.</w:t>
                  </w:r>
                </w:p>
              </w:txbxContent>
            </v:textbox>
          </v:shape>
        </w:pict>
      </w:r>
    </w:p>
    <w:p w:rsidR="0061413E" w:rsidRPr="0061413E" w:rsidRDefault="0061413E" w:rsidP="0061413E">
      <w:pPr>
        <w:spacing w:after="0" w:line="240" w:lineRule="auto"/>
        <w:rPr>
          <w:rFonts w:cstheme="minorHAnsi"/>
        </w:rPr>
      </w:pPr>
      <w:r w:rsidRPr="0061413E">
        <w:rPr>
          <w:rFonts w:eastAsia="Times New Roman" w:cstheme="minorHAnsi"/>
          <w:sz w:val="24"/>
          <w:szCs w:val="24"/>
          <w:lang w:eastAsia="de-DE"/>
        </w:rPr>
        <w:t xml:space="preserve">Franz-Josef </w:t>
      </w:r>
      <w:proofErr w:type="spellStart"/>
      <w:r w:rsidRPr="0061413E">
        <w:rPr>
          <w:rFonts w:eastAsia="Times New Roman" w:cstheme="minorHAnsi"/>
          <w:sz w:val="24"/>
          <w:szCs w:val="24"/>
          <w:lang w:eastAsia="de-DE"/>
        </w:rPr>
        <w:t>Ziwes</w:t>
      </w:r>
      <w:proofErr w:type="spellEnd"/>
    </w:p>
    <w:p w:rsidR="0061413E" w:rsidRPr="0061413E" w:rsidRDefault="0061413E" w:rsidP="0061413E">
      <w:pPr>
        <w:spacing w:after="0" w:line="240" w:lineRule="auto"/>
        <w:outlineLvl w:val="0"/>
        <w:rPr>
          <w:rFonts w:eastAsia="Times New Roman" w:cstheme="minorHAnsi"/>
          <w:b/>
          <w:bCs/>
          <w:kern w:val="36"/>
          <w:sz w:val="26"/>
          <w:szCs w:val="26"/>
          <w:lang w:eastAsia="de-DE"/>
        </w:rPr>
      </w:pPr>
      <w:r w:rsidRPr="0061413E">
        <w:rPr>
          <w:rFonts w:eastAsia="Times New Roman" w:cstheme="minorHAnsi"/>
          <w:b/>
          <w:bCs/>
          <w:kern w:val="36"/>
          <w:sz w:val="26"/>
          <w:szCs w:val="26"/>
          <w:lang w:eastAsia="de-DE"/>
        </w:rPr>
        <w:t>Zwischen Autonomie und Obrigkeit - Jüdisches Leben in Südwestdeutschland</w:t>
      </w:r>
    </w:p>
    <w:p w:rsidR="0061413E" w:rsidRPr="0061413E" w:rsidRDefault="0061413E" w:rsidP="0061413E">
      <w:pPr>
        <w:spacing w:after="0" w:line="240" w:lineRule="auto"/>
        <w:rPr>
          <w:rFonts w:ascii="Times New Roman" w:eastAsia="Times New Roman" w:hAnsi="Times New Roman" w:cs="Times New Roman"/>
          <w:sz w:val="16"/>
          <w:szCs w:val="16"/>
          <w:lang w:eastAsia="de-DE"/>
        </w:rPr>
      </w:pPr>
    </w:p>
    <w:tbl>
      <w:tblPr>
        <w:tblStyle w:val="Tabellengitternetz"/>
        <w:tblW w:w="100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
        <w:gridCol w:w="9497"/>
      </w:tblGrid>
      <w:tr w:rsidR="0061413E" w:rsidRPr="00494162" w:rsidTr="001A5681">
        <w:tc>
          <w:tcPr>
            <w:tcW w:w="534" w:type="dxa"/>
          </w:tcPr>
          <w:p w:rsidR="0061413E" w:rsidRDefault="00494162" w:rsidP="0061413E">
            <w:pPr>
              <w:rPr>
                <w:rFonts w:eastAsia="Times New Roman" w:cstheme="minorHAnsi"/>
                <w:i/>
                <w:sz w:val="24"/>
                <w:szCs w:val="24"/>
                <w:lang w:eastAsia="de-DE"/>
              </w:rPr>
            </w:pPr>
            <w:r>
              <w:rPr>
                <w:rFonts w:eastAsia="Times New Roman" w:cstheme="minorHAnsi"/>
                <w:i/>
                <w:sz w:val="24"/>
                <w:szCs w:val="24"/>
                <w:lang w:eastAsia="de-DE"/>
              </w:rPr>
              <w:t>1</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10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15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20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25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30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35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lastRenderedPageBreak/>
              <w:t>40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45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50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55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60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65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70</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75</w:t>
            </w: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p>
          <w:p w:rsidR="00494162" w:rsidRDefault="00494162" w:rsidP="0061413E">
            <w:pPr>
              <w:rPr>
                <w:rFonts w:eastAsia="Times New Roman" w:cstheme="minorHAnsi"/>
                <w:i/>
                <w:sz w:val="24"/>
                <w:szCs w:val="24"/>
                <w:lang w:eastAsia="de-DE"/>
              </w:rPr>
            </w:pPr>
            <w:r>
              <w:rPr>
                <w:rFonts w:eastAsia="Times New Roman" w:cstheme="minorHAnsi"/>
                <w:i/>
                <w:sz w:val="24"/>
                <w:szCs w:val="24"/>
                <w:lang w:eastAsia="de-DE"/>
              </w:rPr>
              <w:t>80</w:t>
            </w:r>
          </w:p>
          <w:p w:rsidR="00494162" w:rsidRPr="00494162" w:rsidRDefault="00494162" w:rsidP="0061413E">
            <w:pPr>
              <w:rPr>
                <w:rFonts w:eastAsia="Times New Roman" w:cstheme="minorHAnsi"/>
                <w:i/>
                <w:sz w:val="24"/>
                <w:szCs w:val="24"/>
                <w:lang w:eastAsia="de-DE"/>
              </w:rPr>
            </w:pPr>
          </w:p>
        </w:tc>
        <w:tc>
          <w:tcPr>
            <w:tcW w:w="9497" w:type="dxa"/>
          </w:tcPr>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lastRenderedPageBreak/>
              <w:t xml:space="preserve">Das geistige und kulturelle Zentrum des </w:t>
            </w:r>
            <w:proofErr w:type="spellStart"/>
            <w:r w:rsidRPr="0061413E">
              <w:rPr>
                <w:rFonts w:eastAsia="Times New Roman" w:cstheme="minorHAnsi"/>
                <w:sz w:val="24"/>
                <w:szCs w:val="24"/>
                <w:lang w:eastAsia="de-DE"/>
              </w:rPr>
              <w:t>aschkenasischen</w:t>
            </w:r>
            <w:proofErr w:type="spellEnd"/>
            <w:r w:rsidRPr="0061413E">
              <w:rPr>
                <w:rFonts w:eastAsia="Times New Roman" w:cstheme="minorHAnsi"/>
                <w:sz w:val="24"/>
                <w:szCs w:val="24"/>
                <w:lang w:eastAsia="de-DE"/>
              </w:rPr>
              <w:t xml:space="preserve"> Judentums im deutschen Sprachraum lag in den jüdischen Gemeinden Mainz, Worms und Speyer. Von dort breiteten sich jüdische Siedlungen seit dem 11./12. Jahrhundert in die rechtsrheinischen Regionen aus. Sie bildeten somit die Keimzelle für die jüdischen Niederlassungen im Gebiet des heutigen Baden-Württemberg. </w:t>
            </w:r>
            <w:r w:rsidRPr="00494162">
              <w:rPr>
                <w:rFonts w:eastAsia="Times New Roman" w:cstheme="minorHAnsi"/>
                <w:sz w:val="24"/>
                <w:szCs w:val="24"/>
                <w:lang w:eastAsia="de-DE"/>
              </w:rPr>
              <w:t xml:space="preserve">[…] </w:t>
            </w:r>
          </w:p>
          <w:p w:rsidR="0061413E" w:rsidRPr="0061413E" w:rsidRDefault="0061413E"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Zunächst beschränkten sich die Juden bei der Wahl ihrer neuen Wohnorte auf Reichs- und B</w:t>
            </w:r>
            <w:r w:rsidRPr="0061413E">
              <w:rPr>
                <w:rFonts w:eastAsia="Times New Roman" w:cstheme="minorHAnsi"/>
                <w:sz w:val="24"/>
                <w:szCs w:val="24"/>
                <w:lang w:eastAsia="de-DE"/>
              </w:rPr>
              <w:t>i</w:t>
            </w:r>
            <w:r w:rsidRPr="0061413E">
              <w:rPr>
                <w:rFonts w:eastAsia="Times New Roman" w:cstheme="minorHAnsi"/>
                <w:sz w:val="24"/>
                <w:szCs w:val="24"/>
                <w:lang w:eastAsia="de-DE"/>
              </w:rPr>
              <w:t>schofsstädte. Mit dem Ausbau des Städtewesens und der Übertragung des Judenregals, des königlichen Judenschutzrechts, auf territoriale Herrschaftsträger veränderte sich auch das Siedlungsgefüge. Im Zeitraum von der Mitte bis zum Ende des 13. Jahrhunderts sollte sich die Zahl der jüdischen Siedlungsorte in unserer Region mehr als vervierfachen, um sich in der a</w:t>
            </w:r>
            <w:r w:rsidRPr="0061413E">
              <w:rPr>
                <w:rFonts w:eastAsia="Times New Roman" w:cstheme="minorHAnsi"/>
                <w:sz w:val="24"/>
                <w:szCs w:val="24"/>
                <w:lang w:eastAsia="de-DE"/>
              </w:rPr>
              <w:t>n</w:t>
            </w:r>
            <w:r w:rsidRPr="0061413E">
              <w:rPr>
                <w:rFonts w:eastAsia="Times New Roman" w:cstheme="minorHAnsi"/>
                <w:sz w:val="24"/>
                <w:szCs w:val="24"/>
                <w:lang w:eastAsia="de-DE"/>
              </w:rPr>
              <w:t>schließenden Jahrhunderthälfte nochmals auf etwas mehr als 100 Orte zu verdoppeln.</w:t>
            </w:r>
          </w:p>
          <w:p w:rsidR="0061413E" w:rsidRPr="0061413E" w:rsidRDefault="0061413E"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Die Zuwachsraten wären noch höher ausgefallen, wenn nicht regionale Pogrome für empfin</w:t>
            </w:r>
            <w:r w:rsidRPr="0061413E">
              <w:rPr>
                <w:rFonts w:eastAsia="Times New Roman" w:cstheme="minorHAnsi"/>
                <w:sz w:val="24"/>
                <w:szCs w:val="24"/>
                <w:lang w:eastAsia="de-DE"/>
              </w:rPr>
              <w:t>d</w:t>
            </w:r>
            <w:r w:rsidRPr="0061413E">
              <w:rPr>
                <w:rFonts w:eastAsia="Times New Roman" w:cstheme="minorHAnsi"/>
                <w:sz w:val="24"/>
                <w:szCs w:val="24"/>
                <w:lang w:eastAsia="de-DE"/>
              </w:rPr>
              <w:t>liche Rückschläge gesorgt hätten. Jüdische Gemeinden fanden sich nunmehr auch in Territor</w:t>
            </w:r>
            <w:r w:rsidRPr="0061413E">
              <w:rPr>
                <w:rFonts w:eastAsia="Times New Roman" w:cstheme="minorHAnsi"/>
                <w:sz w:val="24"/>
                <w:szCs w:val="24"/>
                <w:lang w:eastAsia="de-DE"/>
              </w:rPr>
              <w:t>i</w:t>
            </w:r>
            <w:r w:rsidRPr="0061413E">
              <w:rPr>
                <w:rFonts w:eastAsia="Times New Roman" w:cstheme="minorHAnsi"/>
                <w:sz w:val="24"/>
                <w:szCs w:val="24"/>
                <w:lang w:eastAsia="de-DE"/>
              </w:rPr>
              <w:t>alstädten und selbst in dörflich geprägten Siedlungen, vor allem dort, wo landwirtschaftliche Monokulturen wie der Weinbau eine funktionierende Kreditwirtschaft verlangten. Diesen Markt konnten die auf Geldleihe und -handel spezialisierten Juden, denen nach ihrem Abdrä</w:t>
            </w:r>
            <w:r w:rsidRPr="0061413E">
              <w:rPr>
                <w:rFonts w:eastAsia="Times New Roman" w:cstheme="minorHAnsi"/>
                <w:sz w:val="24"/>
                <w:szCs w:val="24"/>
                <w:lang w:eastAsia="de-DE"/>
              </w:rPr>
              <w:t>n</w:t>
            </w:r>
            <w:r w:rsidRPr="0061413E">
              <w:rPr>
                <w:rFonts w:eastAsia="Times New Roman" w:cstheme="minorHAnsi"/>
                <w:sz w:val="24"/>
                <w:szCs w:val="24"/>
                <w:lang w:eastAsia="de-DE"/>
              </w:rPr>
              <w:t>gen aus dem Fernhandel der Zugang zu Gilden und Zünften verwehrt war, erfolgreich bedi</w:t>
            </w:r>
            <w:r w:rsidRPr="0061413E">
              <w:rPr>
                <w:rFonts w:eastAsia="Times New Roman" w:cstheme="minorHAnsi"/>
                <w:sz w:val="24"/>
                <w:szCs w:val="24"/>
                <w:lang w:eastAsia="de-DE"/>
              </w:rPr>
              <w:t>e</w:t>
            </w:r>
            <w:r w:rsidRPr="0061413E">
              <w:rPr>
                <w:rFonts w:eastAsia="Times New Roman" w:cstheme="minorHAnsi"/>
                <w:sz w:val="24"/>
                <w:szCs w:val="24"/>
                <w:lang w:eastAsia="de-DE"/>
              </w:rPr>
              <w:t>nen. Nicht zuletzt wegen ihrer herausragenden Kenntnis der Münz- und Währungssysteme und aufgrund ihrer vergleichsweise hohen Finanzkraft waren jüdische Finanziers bei Stadt- und Landesherren gleichermaßen begehrt, wenn es um den Ausbau von Städten und Märkten ging.</w:t>
            </w:r>
          </w:p>
          <w:p w:rsidR="0061413E" w:rsidRPr="0061413E" w:rsidRDefault="0061413E"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Mit dem räumlichen Ausgreifen erwuchsen den Juden allerdings auch neue Abhängigkeiten und Gefährdungen, die in wirtschaftlichen und politischen Krisenzeiten existenzbedrohend werden konnten. Dennoch bewahrten sich die jüdischen Gemeinden ein beachtliches Maß an Selbstständigkeit. Rechtsprechung, Steuerumlage und die Zuzugskontrolle bei neuen Mitbü</w:t>
            </w:r>
            <w:r w:rsidRPr="0061413E">
              <w:rPr>
                <w:rFonts w:eastAsia="Times New Roman" w:cstheme="minorHAnsi"/>
                <w:sz w:val="24"/>
                <w:szCs w:val="24"/>
                <w:lang w:eastAsia="de-DE"/>
              </w:rPr>
              <w:t>r</w:t>
            </w:r>
            <w:r w:rsidRPr="0061413E">
              <w:rPr>
                <w:rFonts w:eastAsia="Times New Roman" w:cstheme="minorHAnsi"/>
                <w:sz w:val="24"/>
                <w:szCs w:val="24"/>
                <w:lang w:eastAsia="de-DE"/>
              </w:rPr>
              <w:t xml:space="preserve">gern fiel bei den größeren Gemeinden in deren Autonomie. Nur diese </w:t>
            </w:r>
            <w:r w:rsidRPr="00494162">
              <w:rPr>
                <w:rFonts w:eastAsia="Times New Roman" w:cstheme="minorHAnsi"/>
                <w:sz w:val="24"/>
                <w:szCs w:val="24"/>
                <w:lang w:eastAsia="de-DE"/>
              </w:rPr>
              <w:t xml:space="preserve">[…] </w:t>
            </w:r>
            <w:r w:rsidRPr="0061413E">
              <w:rPr>
                <w:rFonts w:eastAsia="Times New Roman" w:cstheme="minorHAnsi"/>
                <w:sz w:val="24"/>
                <w:szCs w:val="24"/>
                <w:lang w:eastAsia="de-DE"/>
              </w:rPr>
              <w:t>verfügten über e</w:t>
            </w:r>
            <w:r w:rsidRPr="0061413E">
              <w:rPr>
                <w:rFonts w:eastAsia="Times New Roman" w:cstheme="minorHAnsi"/>
                <w:sz w:val="24"/>
                <w:szCs w:val="24"/>
                <w:lang w:eastAsia="de-DE"/>
              </w:rPr>
              <w:t>i</w:t>
            </w:r>
            <w:r w:rsidRPr="0061413E">
              <w:rPr>
                <w:rFonts w:eastAsia="Times New Roman" w:cstheme="minorHAnsi"/>
                <w:sz w:val="24"/>
                <w:szCs w:val="24"/>
                <w:lang w:eastAsia="de-DE"/>
              </w:rPr>
              <w:t xml:space="preserve">nen eigenen Friedhof, der von den umliegenden Tochtergemeinden </w:t>
            </w:r>
            <w:r w:rsidRPr="00494162">
              <w:rPr>
                <w:rFonts w:eastAsia="Times New Roman" w:cstheme="minorHAnsi"/>
                <w:sz w:val="24"/>
                <w:szCs w:val="24"/>
                <w:lang w:eastAsia="de-DE"/>
              </w:rPr>
              <w:t xml:space="preserve">[…] </w:t>
            </w:r>
            <w:r w:rsidRPr="0061413E">
              <w:rPr>
                <w:rFonts w:eastAsia="Times New Roman" w:cstheme="minorHAnsi"/>
                <w:sz w:val="24"/>
                <w:szCs w:val="24"/>
                <w:lang w:eastAsia="de-DE"/>
              </w:rPr>
              <w:t xml:space="preserve">mit genutzt wurde. </w:t>
            </w:r>
            <w:r w:rsidRPr="00494162">
              <w:rPr>
                <w:rFonts w:eastAsia="Times New Roman" w:cstheme="minorHAnsi"/>
                <w:sz w:val="24"/>
                <w:szCs w:val="24"/>
                <w:lang w:eastAsia="de-DE"/>
              </w:rPr>
              <w:t xml:space="preserve">[…] </w:t>
            </w:r>
          </w:p>
          <w:p w:rsidR="0061413E" w:rsidRPr="0061413E" w:rsidRDefault="0061413E" w:rsidP="0061413E">
            <w:pPr>
              <w:rPr>
                <w:rFonts w:eastAsia="Times New Roman" w:cstheme="minorHAnsi"/>
                <w:sz w:val="24"/>
                <w:szCs w:val="24"/>
                <w:lang w:eastAsia="de-DE"/>
              </w:rPr>
            </w:pPr>
          </w:p>
          <w:p w:rsidR="0061413E" w:rsidRPr="0061413E"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Nach der Katastrophe der Pestverfolgungen 1348/49, der fast alle Gemeinden in Südwes</w:t>
            </w:r>
            <w:r w:rsidRPr="0061413E">
              <w:rPr>
                <w:rFonts w:eastAsia="Times New Roman" w:cstheme="minorHAnsi"/>
                <w:sz w:val="24"/>
                <w:szCs w:val="24"/>
                <w:lang w:eastAsia="de-DE"/>
              </w:rPr>
              <w:t>t</w:t>
            </w:r>
            <w:r w:rsidRPr="0061413E">
              <w:rPr>
                <w:rFonts w:eastAsia="Times New Roman" w:cstheme="minorHAnsi"/>
                <w:sz w:val="24"/>
                <w:szCs w:val="24"/>
                <w:lang w:eastAsia="de-DE"/>
              </w:rPr>
              <w:t>deutschland zum Opfer fielen, hatte sich die Situation für die Überlebenden grundlegend g</w:t>
            </w:r>
            <w:r w:rsidRPr="0061413E">
              <w:rPr>
                <w:rFonts w:eastAsia="Times New Roman" w:cstheme="minorHAnsi"/>
                <w:sz w:val="24"/>
                <w:szCs w:val="24"/>
                <w:lang w:eastAsia="de-DE"/>
              </w:rPr>
              <w:t>e</w:t>
            </w:r>
            <w:r w:rsidRPr="0061413E">
              <w:rPr>
                <w:rFonts w:eastAsia="Times New Roman" w:cstheme="minorHAnsi"/>
                <w:sz w:val="24"/>
                <w:szCs w:val="24"/>
                <w:lang w:eastAsia="de-DE"/>
              </w:rPr>
              <w:t>wandelt. An die Stelle der Gemeindeautonomie trat die Obrigkeit. Das erste Landesrabbinat im Reich, das 1366 in der rechtsrheinischen Pfalzgrafschaft eingerichtet wurde, ging auf die Initi</w:t>
            </w:r>
            <w:r w:rsidRPr="0061413E">
              <w:rPr>
                <w:rFonts w:eastAsia="Times New Roman" w:cstheme="minorHAnsi"/>
                <w:sz w:val="24"/>
                <w:szCs w:val="24"/>
                <w:lang w:eastAsia="de-DE"/>
              </w:rPr>
              <w:t>a</w:t>
            </w:r>
            <w:r w:rsidRPr="0061413E">
              <w:rPr>
                <w:rFonts w:eastAsia="Times New Roman" w:cstheme="minorHAnsi"/>
                <w:sz w:val="24"/>
                <w:szCs w:val="24"/>
                <w:lang w:eastAsia="de-DE"/>
              </w:rPr>
              <w:t xml:space="preserve">tive des Pfalzgrafen </w:t>
            </w:r>
            <w:hyperlink r:id="rId5" w:history="1">
              <w:r w:rsidRPr="00494162">
                <w:rPr>
                  <w:rFonts w:eastAsia="Times New Roman" w:cstheme="minorHAnsi"/>
                  <w:sz w:val="24"/>
                  <w:szCs w:val="24"/>
                  <w:lang w:eastAsia="de-DE"/>
                </w:rPr>
                <w:t>Ruprecht I</w:t>
              </w:r>
            </w:hyperlink>
            <w:r w:rsidRPr="0061413E">
              <w:rPr>
                <w:rFonts w:eastAsia="Times New Roman" w:cstheme="minorHAnsi"/>
                <w:sz w:val="24"/>
                <w:szCs w:val="24"/>
                <w:lang w:eastAsia="de-DE"/>
              </w:rPr>
              <w:t xml:space="preserve">. zurück. Sein Nachfolger </w:t>
            </w:r>
            <w:hyperlink r:id="rId6" w:history="1">
              <w:r w:rsidRPr="00494162">
                <w:rPr>
                  <w:rFonts w:eastAsia="Times New Roman" w:cstheme="minorHAnsi"/>
                  <w:sz w:val="24"/>
                  <w:szCs w:val="24"/>
                  <w:lang w:eastAsia="de-DE"/>
                </w:rPr>
                <w:t>Ruprecht II</w:t>
              </w:r>
            </w:hyperlink>
            <w:r w:rsidRPr="0061413E">
              <w:rPr>
                <w:rFonts w:eastAsia="Times New Roman" w:cstheme="minorHAnsi"/>
                <w:sz w:val="24"/>
                <w:szCs w:val="24"/>
                <w:lang w:eastAsia="de-DE"/>
              </w:rPr>
              <w:t>. war es, der 1390 die erste territoriale Judenvertreibung auf deutschem Boden in Gang brachte. Dem Beispiel folgten bald zahlreiche Städte und weitere Territorien. Die Folge war eine dauerhafte Verlagerung der jüd</w:t>
            </w:r>
            <w:r w:rsidRPr="0061413E">
              <w:rPr>
                <w:rFonts w:eastAsia="Times New Roman" w:cstheme="minorHAnsi"/>
                <w:sz w:val="24"/>
                <w:szCs w:val="24"/>
                <w:lang w:eastAsia="de-DE"/>
              </w:rPr>
              <w:t>i</w:t>
            </w:r>
            <w:r w:rsidRPr="0061413E">
              <w:rPr>
                <w:rFonts w:eastAsia="Times New Roman" w:cstheme="minorHAnsi"/>
                <w:sz w:val="24"/>
                <w:szCs w:val="24"/>
                <w:lang w:eastAsia="de-DE"/>
              </w:rPr>
              <w:t xml:space="preserve">schen Niederlassungen in die ländlichen Randzonen oftmals </w:t>
            </w:r>
            <w:proofErr w:type="spellStart"/>
            <w:r w:rsidRPr="0061413E">
              <w:rPr>
                <w:rFonts w:eastAsia="Times New Roman" w:cstheme="minorHAnsi"/>
                <w:sz w:val="24"/>
                <w:szCs w:val="24"/>
                <w:lang w:eastAsia="de-DE"/>
              </w:rPr>
              <w:t>ritterschaftlicher</w:t>
            </w:r>
            <w:proofErr w:type="spellEnd"/>
            <w:r w:rsidRPr="0061413E">
              <w:rPr>
                <w:rFonts w:eastAsia="Times New Roman" w:cstheme="minorHAnsi"/>
                <w:sz w:val="24"/>
                <w:szCs w:val="24"/>
                <w:lang w:eastAsia="de-DE"/>
              </w:rPr>
              <w:t xml:space="preserve"> Territorien bzw. nach Osteuropa. Die verbliebenen Gemeinden bestanden meist nur aus wenigen Familien, d</w:t>
            </w:r>
            <w:r w:rsidRPr="0061413E">
              <w:rPr>
                <w:rFonts w:eastAsia="Times New Roman" w:cstheme="minorHAnsi"/>
                <w:sz w:val="24"/>
                <w:szCs w:val="24"/>
                <w:lang w:eastAsia="de-DE"/>
              </w:rPr>
              <w:t>e</w:t>
            </w:r>
            <w:r w:rsidRPr="0061413E">
              <w:rPr>
                <w:rFonts w:eastAsia="Times New Roman" w:cstheme="minorHAnsi"/>
                <w:sz w:val="24"/>
                <w:szCs w:val="24"/>
                <w:lang w:eastAsia="de-DE"/>
              </w:rPr>
              <w:t xml:space="preserve">ren Aufenthaltserlaubnis von befristeten Schutzbriefen abhing und über denen dauernd das Damoklesschwert der Vertreibung hing. Unter den schwäbischen Reichsstädten war </w:t>
            </w:r>
            <w:hyperlink r:id="rId7" w:history="1">
              <w:proofErr w:type="spellStart"/>
              <w:r w:rsidRPr="00494162">
                <w:rPr>
                  <w:rFonts w:eastAsia="Times New Roman" w:cstheme="minorHAnsi"/>
                  <w:sz w:val="24"/>
                  <w:szCs w:val="24"/>
                  <w:u w:val="single"/>
                  <w:lang w:eastAsia="de-DE"/>
                </w:rPr>
                <w:t>Buchau</w:t>
              </w:r>
              <w:proofErr w:type="spellEnd"/>
            </w:hyperlink>
            <w:r w:rsidRPr="0061413E">
              <w:rPr>
                <w:rFonts w:eastAsia="Times New Roman" w:cstheme="minorHAnsi"/>
                <w:sz w:val="24"/>
                <w:szCs w:val="24"/>
                <w:lang w:eastAsia="de-DE"/>
              </w:rPr>
              <w:t xml:space="preserve"> die einzige, in der vom 16. Jahrhundert bis zum Ende des Alten Reichs ununterbrochen Juden leben konnten.</w:t>
            </w: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lastRenderedPageBreak/>
              <w:t>Die stark eingeschränkte räumliche Mobilität, zahlreiche Handelsbeschränkungen, unzählige Sonderabgaben sowie religiöse und soziale Diffamierung ließen breite Schichten der israelit</w:t>
            </w:r>
            <w:r w:rsidRPr="0061413E">
              <w:rPr>
                <w:rFonts w:eastAsia="Times New Roman" w:cstheme="minorHAnsi"/>
                <w:sz w:val="24"/>
                <w:szCs w:val="24"/>
                <w:lang w:eastAsia="de-DE"/>
              </w:rPr>
              <w:t>i</w:t>
            </w:r>
            <w:r w:rsidRPr="0061413E">
              <w:rPr>
                <w:rFonts w:eastAsia="Times New Roman" w:cstheme="minorHAnsi"/>
                <w:sz w:val="24"/>
                <w:szCs w:val="24"/>
                <w:lang w:eastAsia="de-DE"/>
              </w:rPr>
              <w:t>schen Bevölkerung zusehends verarmen. Wer sein Auskommen nicht in einem jüdischen G</w:t>
            </w:r>
            <w:r w:rsidRPr="0061413E">
              <w:rPr>
                <w:rFonts w:eastAsia="Times New Roman" w:cstheme="minorHAnsi"/>
                <w:sz w:val="24"/>
                <w:szCs w:val="24"/>
                <w:lang w:eastAsia="de-DE"/>
              </w:rPr>
              <w:t>e</w:t>
            </w:r>
            <w:r w:rsidRPr="0061413E">
              <w:rPr>
                <w:rFonts w:eastAsia="Times New Roman" w:cstheme="minorHAnsi"/>
                <w:sz w:val="24"/>
                <w:szCs w:val="24"/>
                <w:lang w:eastAsia="de-DE"/>
              </w:rPr>
              <w:t xml:space="preserve">meindeamt oder im Handel mit Vieh, Getreide, Wein und Hopfen fand, musste sich vom Pfand- und Trödelhandel ernähren. </w:t>
            </w:r>
            <w:r w:rsidRPr="0061413E">
              <w:rPr>
                <w:rFonts w:eastAsia="Times New Roman" w:cstheme="minorHAnsi"/>
                <w:i/>
                <w:iCs/>
                <w:sz w:val="24"/>
                <w:szCs w:val="24"/>
                <w:lang w:eastAsia="de-DE"/>
              </w:rPr>
              <w:t>Schacher-</w:t>
            </w:r>
            <w:r w:rsidRPr="0061413E">
              <w:rPr>
                <w:rFonts w:eastAsia="Times New Roman" w:cstheme="minorHAnsi"/>
                <w:sz w:val="24"/>
                <w:szCs w:val="24"/>
                <w:lang w:eastAsia="de-DE"/>
              </w:rPr>
              <w:t xml:space="preserve"> und </w:t>
            </w:r>
            <w:r w:rsidRPr="0061413E">
              <w:rPr>
                <w:rFonts w:eastAsia="Times New Roman" w:cstheme="minorHAnsi"/>
                <w:i/>
                <w:iCs/>
                <w:sz w:val="24"/>
                <w:szCs w:val="24"/>
                <w:lang w:eastAsia="de-DE"/>
              </w:rPr>
              <w:t>Betteljuden</w:t>
            </w:r>
            <w:r w:rsidRPr="0061413E">
              <w:rPr>
                <w:rFonts w:eastAsia="Times New Roman" w:cstheme="minorHAnsi"/>
                <w:sz w:val="24"/>
                <w:szCs w:val="24"/>
                <w:lang w:eastAsia="de-DE"/>
              </w:rPr>
              <w:t xml:space="preserve"> waren keineswegs nur begriffliche Pr</w:t>
            </w:r>
            <w:r w:rsidRPr="0061413E">
              <w:rPr>
                <w:rFonts w:eastAsia="Times New Roman" w:cstheme="minorHAnsi"/>
                <w:sz w:val="24"/>
                <w:szCs w:val="24"/>
                <w:lang w:eastAsia="de-DE"/>
              </w:rPr>
              <w:t>o</w:t>
            </w:r>
            <w:r w:rsidRPr="0061413E">
              <w:rPr>
                <w:rFonts w:eastAsia="Times New Roman" w:cstheme="minorHAnsi"/>
                <w:sz w:val="24"/>
                <w:szCs w:val="24"/>
                <w:lang w:eastAsia="de-DE"/>
              </w:rPr>
              <w:t>dukte antijüdischer Stereotype, sondern vor allem seit dem 18. Jahrhundert konkreter Ausfluss bitterer Realität.</w:t>
            </w:r>
          </w:p>
          <w:p w:rsidR="008E452D" w:rsidRPr="0061413E" w:rsidRDefault="008E452D"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Nur wenigen Juden gelang der Aufstieg in die wirtschaftliche Elite. Als Hoffaktoren konnten j</w:t>
            </w:r>
            <w:r w:rsidRPr="0061413E">
              <w:rPr>
                <w:rFonts w:eastAsia="Times New Roman" w:cstheme="minorHAnsi"/>
                <w:sz w:val="24"/>
                <w:szCs w:val="24"/>
                <w:lang w:eastAsia="de-DE"/>
              </w:rPr>
              <w:t>ü</w:t>
            </w:r>
            <w:r w:rsidRPr="0061413E">
              <w:rPr>
                <w:rFonts w:eastAsia="Times New Roman" w:cstheme="minorHAnsi"/>
                <w:sz w:val="24"/>
                <w:szCs w:val="24"/>
                <w:lang w:eastAsia="de-DE"/>
              </w:rPr>
              <w:t xml:space="preserve">dische Finanziers an den Fürstenresidenzen einflussreiche Positionen erlangen und beachtliche Vermögen bilden. Die so steile wie tragische Karriere des </w:t>
            </w:r>
            <w:hyperlink r:id="rId8" w:history="1">
              <w:r w:rsidRPr="00494162">
                <w:rPr>
                  <w:rFonts w:eastAsia="Times New Roman" w:cstheme="minorHAnsi"/>
                  <w:sz w:val="24"/>
                  <w:szCs w:val="24"/>
                  <w:lang w:eastAsia="de-DE"/>
                </w:rPr>
                <w:t xml:space="preserve">Joseph </w:t>
              </w:r>
              <w:proofErr w:type="spellStart"/>
              <w:r w:rsidRPr="00494162">
                <w:rPr>
                  <w:rFonts w:eastAsia="Times New Roman" w:cstheme="minorHAnsi"/>
                  <w:sz w:val="24"/>
                  <w:szCs w:val="24"/>
                  <w:lang w:eastAsia="de-DE"/>
                </w:rPr>
                <w:t>Süßkind</w:t>
              </w:r>
              <w:proofErr w:type="spellEnd"/>
              <w:r w:rsidRPr="00494162">
                <w:rPr>
                  <w:rFonts w:eastAsia="Times New Roman" w:cstheme="minorHAnsi"/>
                  <w:sz w:val="24"/>
                  <w:szCs w:val="24"/>
                  <w:lang w:eastAsia="de-DE"/>
                </w:rPr>
                <w:t xml:space="preserve"> Oppenheimer</w:t>
              </w:r>
            </w:hyperlink>
            <w:r w:rsidRPr="0061413E">
              <w:rPr>
                <w:rFonts w:eastAsia="Times New Roman" w:cstheme="minorHAnsi"/>
                <w:sz w:val="24"/>
                <w:szCs w:val="24"/>
                <w:lang w:eastAsia="de-DE"/>
              </w:rPr>
              <w:t xml:space="preserve">, der als Bankier und einflussreicher Berater </w:t>
            </w:r>
            <w:hyperlink r:id="rId9" w:history="1">
              <w:r w:rsidRPr="00494162">
                <w:rPr>
                  <w:rFonts w:eastAsia="Times New Roman" w:cstheme="minorHAnsi"/>
                  <w:sz w:val="24"/>
                  <w:szCs w:val="24"/>
                  <w:lang w:eastAsia="de-DE"/>
                </w:rPr>
                <w:t>Herzog Karl Alexanders von Württemberg</w:t>
              </w:r>
            </w:hyperlink>
            <w:r w:rsidRPr="0061413E">
              <w:rPr>
                <w:rFonts w:eastAsia="Times New Roman" w:cstheme="minorHAnsi"/>
                <w:sz w:val="24"/>
                <w:szCs w:val="24"/>
                <w:lang w:eastAsia="de-DE"/>
              </w:rPr>
              <w:t xml:space="preserve"> nach dem Tod seines Gönners für dessen autokratische Herrschaft 1738 am Galgen büßen musste, ist dafür ebenso ein Beispiel wie das Leben der in </w:t>
            </w:r>
            <w:hyperlink r:id="rId10" w:history="1">
              <w:proofErr w:type="spellStart"/>
              <w:r w:rsidRPr="00494162">
                <w:rPr>
                  <w:rFonts w:eastAsia="Times New Roman" w:cstheme="minorHAnsi"/>
                  <w:sz w:val="24"/>
                  <w:szCs w:val="24"/>
                  <w:lang w:eastAsia="de-DE"/>
                </w:rPr>
                <w:t>Buchau</w:t>
              </w:r>
              <w:proofErr w:type="spellEnd"/>
              <w:r w:rsidRPr="00494162">
                <w:rPr>
                  <w:rFonts w:eastAsia="Times New Roman" w:cstheme="minorHAnsi"/>
                  <w:sz w:val="24"/>
                  <w:szCs w:val="24"/>
                  <w:lang w:eastAsia="de-DE"/>
                </w:rPr>
                <w:t xml:space="preserve"> am </w:t>
              </w:r>
              <w:proofErr w:type="spellStart"/>
              <w:r w:rsidRPr="00494162">
                <w:rPr>
                  <w:rFonts w:eastAsia="Times New Roman" w:cstheme="minorHAnsi"/>
                  <w:sz w:val="24"/>
                  <w:szCs w:val="24"/>
                  <w:lang w:eastAsia="de-DE"/>
                </w:rPr>
                <w:t>Federsee</w:t>
              </w:r>
              <w:proofErr w:type="spellEnd"/>
            </w:hyperlink>
            <w:r w:rsidRPr="0061413E">
              <w:rPr>
                <w:rFonts w:eastAsia="Times New Roman" w:cstheme="minorHAnsi"/>
                <w:sz w:val="24"/>
                <w:szCs w:val="24"/>
                <w:lang w:eastAsia="de-DE"/>
              </w:rPr>
              <w:t xml:space="preserve"> geborenen </w:t>
            </w:r>
            <w:proofErr w:type="spellStart"/>
            <w:r w:rsidRPr="0061413E">
              <w:rPr>
                <w:rFonts w:eastAsia="Times New Roman" w:cstheme="minorHAnsi"/>
                <w:sz w:val="24"/>
                <w:szCs w:val="24"/>
                <w:lang w:eastAsia="de-DE"/>
              </w:rPr>
              <w:t>Chaile</w:t>
            </w:r>
            <w:proofErr w:type="spellEnd"/>
            <w:r w:rsidRPr="0061413E">
              <w:rPr>
                <w:rFonts w:eastAsia="Times New Roman" w:cstheme="minorHAnsi"/>
                <w:sz w:val="24"/>
                <w:szCs w:val="24"/>
                <w:lang w:eastAsia="de-DE"/>
              </w:rPr>
              <w:t xml:space="preserve"> </w:t>
            </w:r>
            <w:proofErr w:type="spellStart"/>
            <w:r w:rsidRPr="0061413E">
              <w:rPr>
                <w:rFonts w:eastAsia="Times New Roman" w:cstheme="minorHAnsi"/>
                <w:sz w:val="24"/>
                <w:szCs w:val="24"/>
                <w:lang w:eastAsia="de-DE"/>
              </w:rPr>
              <w:t>Kaulla</w:t>
            </w:r>
            <w:proofErr w:type="spellEnd"/>
            <w:r w:rsidRPr="0061413E">
              <w:rPr>
                <w:rFonts w:eastAsia="Times New Roman" w:cstheme="minorHAnsi"/>
                <w:sz w:val="24"/>
                <w:szCs w:val="24"/>
                <w:lang w:eastAsia="de-DE"/>
              </w:rPr>
              <w:t xml:space="preserve">, die es Ende des 18. Jahrhunderts als </w:t>
            </w:r>
            <w:proofErr w:type="spellStart"/>
            <w:r w:rsidRPr="0061413E">
              <w:rPr>
                <w:rFonts w:eastAsia="Times New Roman" w:cstheme="minorHAnsi"/>
                <w:sz w:val="24"/>
                <w:szCs w:val="24"/>
                <w:lang w:eastAsia="de-DE"/>
              </w:rPr>
              <w:t>Hoffaktorin</w:t>
            </w:r>
            <w:proofErr w:type="spellEnd"/>
            <w:r w:rsidRPr="0061413E">
              <w:rPr>
                <w:rFonts w:eastAsia="Times New Roman" w:cstheme="minorHAnsi"/>
                <w:sz w:val="24"/>
                <w:szCs w:val="24"/>
                <w:lang w:eastAsia="de-DE"/>
              </w:rPr>
              <w:t xml:space="preserve"> in </w:t>
            </w:r>
            <w:hyperlink r:id="rId11" w:history="1">
              <w:proofErr w:type="spellStart"/>
              <w:r w:rsidRPr="00494162">
                <w:rPr>
                  <w:rFonts w:eastAsia="Times New Roman" w:cstheme="minorHAnsi"/>
                  <w:sz w:val="24"/>
                  <w:szCs w:val="24"/>
                  <w:lang w:eastAsia="de-DE"/>
                </w:rPr>
                <w:t>Hechingen</w:t>
              </w:r>
              <w:proofErr w:type="spellEnd"/>
            </w:hyperlink>
            <w:r w:rsidRPr="0061413E">
              <w:rPr>
                <w:rFonts w:eastAsia="Times New Roman" w:cstheme="minorHAnsi"/>
                <w:sz w:val="24"/>
                <w:szCs w:val="24"/>
                <w:lang w:eastAsia="de-DE"/>
              </w:rPr>
              <w:t xml:space="preserve">, </w:t>
            </w:r>
            <w:hyperlink r:id="rId12" w:history="1">
              <w:r w:rsidRPr="00494162">
                <w:rPr>
                  <w:rFonts w:eastAsia="Times New Roman" w:cstheme="minorHAnsi"/>
                  <w:sz w:val="24"/>
                  <w:szCs w:val="24"/>
                  <w:lang w:eastAsia="de-DE"/>
                </w:rPr>
                <w:t>Donaueschingen</w:t>
              </w:r>
            </w:hyperlink>
            <w:r w:rsidRPr="0061413E">
              <w:rPr>
                <w:rFonts w:eastAsia="Times New Roman" w:cstheme="minorHAnsi"/>
                <w:sz w:val="24"/>
                <w:szCs w:val="24"/>
                <w:lang w:eastAsia="de-DE"/>
              </w:rPr>
              <w:t xml:space="preserve"> und </w:t>
            </w:r>
            <w:hyperlink r:id="rId13" w:history="1">
              <w:r w:rsidRPr="00494162">
                <w:rPr>
                  <w:rFonts w:eastAsia="Times New Roman" w:cstheme="minorHAnsi"/>
                  <w:sz w:val="24"/>
                  <w:szCs w:val="24"/>
                  <w:lang w:eastAsia="de-DE"/>
                </w:rPr>
                <w:t>Stuttgart</w:t>
              </w:r>
            </w:hyperlink>
            <w:r w:rsidRPr="0061413E">
              <w:rPr>
                <w:rFonts w:eastAsia="Times New Roman" w:cstheme="minorHAnsi"/>
                <w:sz w:val="24"/>
                <w:szCs w:val="24"/>
                <w:lang w:eastAsia="de-DE"/>
              </w:rPr>
              <w:t xml:space="preserve"> zur damals reichsten Frau in Deutschland brachte.  </w:t>
            </w:r>
          </w:p>
          <w:p w:rsidR="008E452D" w:rsidRPr="0061413E" w:rsidRDefault="008E452D"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 xml:space="preserve">Bemühungen um </w:t>
            </w:r>
            <w:r w:rsidRPr="0061413E">
              <w:rPr>
                <w:rFonts w:eastAsia="Times New Roman" w:cstheme="minorHAnsi"/>
                <w:i/>
                <w:iCs/>
                <w:sz w:val="24"/>
                <w:szCs w:val="24"/>
                <w:lang w:eastAsia="de-DE"/>
              </w:rPr>
              <w:t>die bürgerliche Verbesserung unter den Juden</w:t>
            </w:r>
            <w:r w:rsidRPr="0061413E">
              <w:rPr>
                <w:rFonts w:eastAsia="Times New Roman" w:cstheme="minorHAnsi"/>
                <w:sz w:val="24"/>
                <w:szCs w:val="24"/>
                <w:lang w:eastAsia="de-DE"/>
              </w:rPr>
              <w:t xml:space="preserve"> wurden erst gegen Ende des 18. Jahrhunderts Gegenstand ernsthafter Betrachtungen. Ein Wegbereiter waren die Toleran</w:t>
            </w:r>
            <w:r w:rsidRPr="0061413E">
              <w:rPr>
                <w:rFonts w:eastAsia="Times New Roman" w:cstheme="minorHAnsi"/>
                <w:sz w:val="24"/>
                <w:szCs w:val="24"/>
                <w:lang w:eastAsia="de-DE"/>
              </w:rPr>
              <w:t>z</w:t>
            </w:r>
            <w:r w:rsidRPr="0061413E">
              <w:rPr>
                <w:rFonts w:eastAsia="Times New Roman" w:cstheme="minorHAnsi"/>
                <w:sz w:val="24"/>
                <w:szCs w:val="24"/>
                <w:lang w:eastAsia="de-DE"/>
              </w:rPr>
              <w:t xml:space="preserve">edikte Kaiser Josephs II. von 1781, in deren Folge unter anderem die vorderösterreichische Universität Freiburg für jüdische Studenten geöffnet wurde. Nach der </w:t>
            </w:r>
            <w:hyperlink r:id="rId14" w:history="1">
              <w:r w:rsidRPr="00494162">
                <w:rPr>
                  <w:rFonts w:eastAsia="Times New Roman" w:cstheme="minorHAnsi"/>
                  <w:sz w:val="24"/>
                  <w:szCs w:val="24"/>
                  <w:lang w:eastAsia="de-DE"/>
                </w:rPr>
                <w:t>napoleonischen Ne</w:t>
              </w:r>
              <w:r w:rsidRPr="00494162">
                <w:rPr>
                  <w:rFonts w:eastAsia="Times New Roman" w:cstheme="minorHAnsi"/>
                  <w:sz w:val="24"/>
                  <w:szCs w:val="24"/>
                  <w:lang w:eastAsia="de-DE"/>
                </w:rPr>
                <w:t>u</w:t>
              </w:r>
              <w:r w:rsidRPr="00494162">
                <w:rPr>
                  <w:rFonts w:eastAsia="Times New Roman" w:cstheme="minorHAnsi"/>
                  <w:sz w:val="24"/>
                  <w:szCs w:val="24"/>
                  <w:lang w:eastAsia="de-DE"/>
                </w:rPr>
                <w:t>ordnung</w:t>
              </w:r>
            </w:hyperlink>
            <w:r w:rsidRPr="0061413E">
              <w:rPr>
                <w:rFonts w:eastAsia="Times New Roman" w:cstheme="minorHAnsi"/>
                <w:sz w:val="24"/>
                <w:szCs w:val="24"/>
                <w:lang w:eastAsia="de-DE"/>
              </w:rPr>
              <w:t xml:space="preserve"> Südwestdeutschlands folgten 1809 mit dem Konstitutionsedikt im </w:t>
            </w:r>
            <w:hyperlink r:id="rId15" w:history="1">
              <w:r w:rsidRPr="00494162">
                <w:rPr>
                  <w:rFonts w:eastAsia="Times New Roman" w:cstheme="minorHAnsi"/>
                  <w:sz w:val="24"/>
                  <w:szCs w:val="24"/>
                  <w:lang w:eastAsia="de-DE"/>
                </w:rPr>
                <w:t>Großherzogtum Baden</w:t>
              </w:r>
            </w:hyperlink>
            <w:r w:rsidRPr="0061413E">
              <w:rPr>
                <w:rFonts w:eastAsia="Times New Roman" w:cstheme="minorHAnsi"/>
                <w:sz w:val="24"/>
                <w:szCs w:val="24"/>
                <w:lang w:eastAsia="de-DE"/>
              </w:rPr>
              <w:t xml:space="preserve"> und 1828 mit dem </w:t>
            </w:r>
            <w:r w:rsidRPr="0061413E">
              <w:rPr>
                <w:rFonts w:eastAsia="Times New Roman" w:cstheme="minorHAnsi"/>
                <w:i/>
                <w:iCs/>
                <w:sz w:val="24"/>
                <w:szCs w:val="24"/>
                <w:lang w:eastAsia="de-DE"/>
              </w:rPr>
              <w:t>Gesetz in Betreff der öffentlichen Verhältnisse der israelitischen Glaubensgenossen</w:t>
            </w:r>
            <w:r w:rsidRPr="0061413E">
              <w:rPr>
                <w:rFonts w:eastAsia="Times New Roman" w:cstheme="minorHAnsi"/>
                <w:sz w:val="24"/>
                <w:szCs w:val="24"/>
                <w:lang w:eastAsia="de-DE"/>
              </w:rPr>
              <w:t xml:space="preserve"> im </w:t>
            </w:r>
            <w:hyperlink r:id="rId16" w:history="1">
              <w:r w:rsidRPr="00494162">
                <w:rPr>
                  <w:rFonts w:eastAsia="Times New Roman" w:cstheme="minorHAnsi"/>
                  <w:sz w:val="24"/>
                  <w:szCs w:val="24"/>
                  <w:lang w:eastAsia="de-DE"/>
                </w:rPr>
                <w:t>Königreich Württemberg</w:t>
              </w:r>
            </w:hyperlink>
            <w:r w:rsidRPr="0061413E">
              <w:rPr>
                <w:rFonts w:eastAsia="Times New Roman" w:cstheme="minorHAnsi"/>
                <w:sz w:val="24"/>
                <w:szCs w:val="24"/>
                <w:lang w:eastAsia="de-DE"/>
              </w:rPr>
              <w:t xml:space="preserve"> weitere entscheidende Verbesserungen, die freilich erst 1862 (Baden) bzw. 1864 (Württemberg) in der bürgerlichen Gleichberechtigung gipfeln sollten. Den Juden in Hohenzollern war diese Aufwertung bereits 1850 nach dem Übe</w:t>
            </w:r>
            <w:r w:rsidRPr="0061413E">
              <w:rPr>
                <w:rFonts w:eastAsia="Times New Roman" w:cstheme="minorHAnsi"/>
                <w:sz w:val="24"/>
                <w:szCs w:val="24"/>
                <w:lang w:eastAsia="de-DE"/>
              </w:rPr>
              <w:t>r</w:t>
            </w:r>
            <w:r w:rsidRPr="0061413E">
              <w:rPr>
                <w:rFonts w:eastAsia="Times New Roman" w:cstheme="minorHAnsi"/>
                <w:sz w:val="24"/>
                <w:szCs w:val="24"/>
                <w:lang w:eastAsia="de-DE"/>
              </w:rPr>
              <w:t>gang der beiden Fürstentümer an Preußen vergönnt.</w:t>
            </w:r>
          </w:p>
          <w:p w:rsidR="008E452D" w:rsidRPr="0061413E" w:rsidRDefault="008E452D"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Erst jetzt, gut 400 Jahre nach den spätmittelalterlichen Vertreibungen, sollten jüdische und u</w:t>
            </w:r>
            <w:r w:rsidRPr="0061413E">
              <w:rPr>
                <w:rFonts w:eastAsia="Times New Roman" w:cstheme="minorHAnsi"/>
                <w:sz w:val="24"/>
                <w:szCs w:val="24"/>
                <w:lang w:eastAsia="de-DE"/>
              </w:rPr>
              <w:t>r</w:t>
            </w:r>
            <w:r w:rsidRPr="0061413E">
              <w:rPr>
                <w:rFonts w:eastAsia="Times New Roman" w:cstheme="minorHAnsi"/>
                <w:sz w:val="24"/>
                <w:szCs w:val="24"/>
                <w:lang w:eastAsia="de-DE"/>
              </w:rPr>
              <w:t>bane Lebenswelt wieder dauerhaft zueinanderfinden. Das ausgeprägte Nord-Süd-Gefälle der jüdischen Niederlassungen in Baden und Württemberg blieb zwar bestehen, viele dörfliche Gemeinden aber wurden zugunsten größerer Städte aufgegeben. So wie die Städte standen den Juden nunmehr auch politische Ämter offen. 1868 bekleidete mit dem badischen Finan</w:t>
            </w:r>
            <w:r w:rsidRPr="0061413E">
              <w:rPr>
                <w:rFonts w:eastAsia="Times New Roman" w:cstheme="minorHAnsi"/>
                <w:sz w:val="24"/>
                <w:szCs w:val="24"/>
                <w:lang w:eastAsia="de-DE"/>
              </w:rPr>
              <w:t>z</w:t>
            </w:r>
            <w:r w:rsidRPr="0061413E">
              <w:rPr>
                <w:rFonts w:eastAsia="Times New Roman" w:cstheme="minorHAnsi"/>
                <w:sz w:val="24"/>
                <w:szCs w:val="24"/>
                <w:lang w:eastAsia="de-DE"/>
              </w:rPr>
              <w:t>minister Moritz Ellstädter erstmals in Deutschland ein Jude ein Regierungsamt. Zwei Jahre sp</w:t>
            </w:r>
            <w:r w:rsidRPr="0061413E">
              <w:rPr>
                <w:rFonts w:eastAsia="Times New Roman" w:cstheme="minorHAnsi"/>
                <w:sz w:val="24"/>
                <w:szCs w:val="24"/>
                <w:lang w:eastAsia="de-DE"/>
              </w:rPr>
              <w:t>ä</w:t>
            </w:r>
            <w:r w:rsidRPr="0061413E">
              <w:rPr>
                <w:rFonts w:eastAsia="Times New Roman" w:cstheme="minorHAnsi"/>
                <w:sz w:val="24"/>
                <w:szCs w:val="24"/>
                <w:lang w:eastAsia="de-DE"/>
              </w:rPr>
              <w:t xml:space="preserve">ter trat in </w:t>
            </w:r>
            <w:hyperlink r:id="rId17" w:history="1">
              <w:proofErr w:type="spellStart"/>
              <w:r w:rsidRPr="00494162">
                <w:rPr>
                  <w:rFonts w:eastAsia="Times New Roman" w:cstheme="minorHAnsi"/>
                  <w:sz w:val="24"/>
                  <w:szCs w:val="24"/>
                  <w:lang w:eastAsia="de-DE"/>
                </w:rPr>
                <w:t>Gailingen</w:t>
              </w:r>
              <w:proofErr w:type="spellEnd"/>
            </w:hyperlink>
            <w:r w:rsidRPr="0061413E">
              <w:rPr>
                <w:rFonts w:eastAsia="Times New Roman" w:cstheme="minorHAnsi"/>
                <w:sz w:val="24"/>
                <w:szCs w:val="24"/>
                <w:lang w:eastAsia="de-DE"/>
              </w:rPr>
              <w:t xml:space="preserve"> am Hochrhein der erste jüdische Bürgermeister Deutschlands sein Amt an.</w:t>
            </w:r>
          </w:p>
          <w:p w:rsidR="008E452D" w:rsidRPr="0061413E" w:rsidRDefault="008E452D" w:rsidP="0061413E">
            <w:pPr>
              <w:rPr>
                <w:rFonts w:eastAsia="Times New Roman" w:cstheme="minorHAnsi"/>
                <w:sz w:val="24"/>
                <w:szCs w:val="24"/>
                <w:lang w:eastAsia="de-DE"/>
              </w:rPr>
            </w:pPr>
          </w:p>
          <w:p w:rsidR="0061413E" w:rsidRPr="00494162" w:rsidRDefault="0061413E" w:rsidP="0061413E">
            <w:pPr>
              <w:rPr>
                <w:rFonts w:eastAsia="Times New Roman" w:cstheme="minorHAnsi"/>
                <w:sz w:val="24"/>
                <w:szCs w:val="24"/>
                <w:lang w:eastAsia="de-DE"/>
              </w:rPr>
            </w:pPr>
            <w:r w:rsidRPr="0061413E">
              <w:rPr>
                <w:rFonts w:eastAsia="Times New Roman" w:cstheme="minorHAnsi"/>
                <w:sz w:val="24"/>
                <w:szCs w:val="24"/>
                <w:lang w:eastAsia="de-DE"/>
              </w:rPr>
              <w:t>Die kurze jüdische Blütephase sollte jedoch schon bald vom rassischen Antisemitismus übe</w:t>
            </w:r>
            <w:r w:rsidRPr="0061413E">
              <w:rPr>
                <w:rFonts w:eastAsia="Times New Roman" w:cstheme="minorHAnsi"/>
                <w:sz w:val="24"/>
                <w:szCs w:val="24"/>
                <w:lang w:eastAsia="de-DE"/>
              </w:rPr>
              <w:t>r</w:t>
            </w:r>
            <w:r w:rsidRPr="0061413E">
              <w:rPr>
                <w:rFonts w:eastAsia="Times New Roman" w:cstheme="minorHAnsi"/>
                <w:sz w:val="24"/>
                <w:szCs w:val="24"/>
                <w:lang w:eastAsia="de-DE"/>
              </w:rPr>
              <w:t>schattet und schließlich durch die Barbarei des Nationalsozialismus jäh beendet werden. Wä</w:t>
            </w:r>
            <w:r w:rsidRPr="0061413E">
              <w:rPr>
                <w:rFonts w:eastAsia="Times New Roman" w:cstheme="minorHAnsi"/>
                <w:sz w:val="24"/>
                <w:szCs w:val="24"/>
                <w:lang w:eastAsia="de-DE"/>
              </w:rPr>
              <w:t>h</w:t>
            </w:r>
            <w:r w:rsidRPr="0061413E">
              <w:rPr>
                <w:rFonts w:eastAsia="Times New Roman" w:cstheme="minorHAnsi"/>
                <w:sz w:val="24"/>
                <w:szCs w:val="24"/>
                <w:lang w:eastAsia="de-DE"/>
              </w:rPr>
              <w:t xml:space="preserve">rend der Reichspogromnacht im November 1938 gingen zahlreiche Synagogen in Flammen auf. Knapp zwei Jahre später begannen mit dem Abtransport von 6500 Juden aus Baden, der Pfalz und der Saar in das französische Lager </w:t>
            </w:r>
            <w:proofErr w:type="spellStart"/>
            <w:r w:rsidRPr="0061413E">
              <w:rPr>
                <w:rFonts w:eastAsia="Times New Roman" w:cstheme="minorHAnsi"/>
                <w:sz w:val="24"/>
                <w:szCs w:val="24"/>
                <w:lang w:eastAsia="de-DE"/>
              </w:rPr>
              <w:t>Gurs</w:t>
            </w:r>
            <w:proofErr w:type="spellEnd"/>
            <w:r w:rsidRPr="0061413E">
              <w:rPr>
                <w:rFonts w:eastAsia="Times New Roman" w:cstheme="minorHAnsi"/>
                <w:sz w:val="24"/>
                <w:szCs w:val="24"/>
                <w:lang w:eastAsia="de-DE"/>
              </w:rPr>
              <w:t xml:space="preserve"> die großen Deportationen aus dem Reichsgebiet. Im Dezember 1941 traten die ersten Juden aus Württemberg und Hohenzollern den Weg in die Vernichtungslager an. Von den Überlebenden des Holocaust sind nur wenige nach 1945 in i</w:t>
            </w:r>
            <w:r w:rsidRPr="0061413E">
              <w:rPr>
                <w:rFonts w:eastAsia="Times New Roman" w:cstheme="minorHAnsi"/>
                <w:sz w:val="24"/>
                <w:szCs w:val="24"/>
                <w:lang w:eastAsia="de-DE"/>
              </w:rPr>
              <w:t>h</w:t>
            </w:r>
            <w:r w:rsidRPr="0061413E">
              <w:rPr>
                <w:rFonts w:eastAsia="Times New Roman" w:cstheme="minorHAnsi"/>
                <w:sz w:val="24"/>
                <w:szCs w:val="24"/>
                <w:lang w:eastAsia="de-DE"/>
              </w:rPr>
              <w:t>rer Heimat geblieben. Diese gründeten in Nordbaden den Oberrat der Israeliten, der sich 1953 mit der jüdischen Landesgemeinde in Südbaden zur Israelitischen Religionsgemeinschaft Baden zusammengeschlossen hat. 1948 erfolgte die Anerkennung der Israelitischen Kultusgemeinde Württembergs, die heute als Israelitische Religionsgemeinschaft Württembergs fortbesteht.</w:t>
            </w:r>
          </w:p>
        </w:tc>
      </w:tr>
    </w:tbl>
    <w:p w:rsidR="0061413E" w:rsidRPr="00494162" w:rsidRDefault="0061413E" w:rsidP="0061413E">
      <w:pPr>
        <w:spacing w:after="0" w:line="240" w:lineRule="auto"/>
        <w:rPr>
          <w:sz w:val="16"/>
          <w:szCs w:val="16"/>
        </w:rPr>
      </w:pPr>
    </w:p>
    <w:p w:rsidR="0061413E" w:rsidRDefault="008E452D" w:rsidP="0061413E">
      <w:pPr>
        <w:spacing w:after="0" w:line="240" w:lineRule="auto"/>
      </w:pPr>
      <w:hyperlink r:id="rId18" w:history="1">
        <w:r w:rsidRPr="00DB547D">
          <w:rPr>
            <w:rStyle w:val="Hyperlink"/>
          </w:rPr>
          <w:t>https://www.leo-bw.de/web/guest/themen/landesgeschichte/judisches-leben-in-sudwestdeutschland</w:t>
        </w:r>
      </w:hyperlink>
    </w:p>
    <w:p w:rsidR="00494162" w:rsidRDefault="00494162" w:rsidP="00EA3DAC">
      <w:pPr>
        <w:rPr>
          <w:rStyle w:val="mw-mmv-title"/>
          <w:b/>
          <w:sz w:val="24"/>
          <w:szCs w:val="24"/>
        </w:rPr>
      </w:pPr>
    </w:p>
    <w:p w:rsidR="00EA3DAC" w:rsidRPr="00EA3DAC" w:rsidRDefault="00EA3DAC" w:rsidP="00EA3DAC">
      <w:pPr>
        <w:rPr>
          <w:b/>
          <w:sz w:val="24"/>
          <w:szCs w:val="24"/>
        </w:rPr>
      </w:pPr>
      <w:r w:rsidRPr="00EA3DAC">
        <w:rPr>
          <w:rStyle w:val="mw-mmv-title"/>
          <w:b/>
          <w:sz w:val="24"/>
          <w:szCs w:val="24"/>
        </w:rPr>
        <w:lastRenderedPageBreak/>
        <w:t>Verbreitung der Juden in Südwestdeutschland, ca. 1895</w:t>
      </w:r>
    </w:p>
    <w:p w:rsidR="00EA3DAC" w:rsidRDefault="00EA3DAC" w:rsidP="0061413E">
      <w:pPr>
        <w:spacing w:after="0" w:line="240" w:lineRule="auto"/>
      </w:pPr>
      <w:r w:rsidRPr="00EA3DAC">
        <w:drawing>
          <wp:inline distT="0" distB="0" distL="0" distR="0">
            <wp:extent cx="5626985" cy="4133850"/>
            <wp:effectExtent l="19050" t="0" r="0"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srcRect/>
                    <a:stretch>
                      <a:fillRect/>
                    </a:stretch>
                  </pic:blipFill>
                  <pic:spPr bwMode="auto">
                    <a:xfrm>
                      <a:off x="0" y="0"/>
                      <a:ext cx="5627408" cy="4134161"/>
                    </a:xfrm>
                    <a:prstGeom prst="rect">
                      <a:avLst/>
                    </a:prstGeom>
                    <a:noFill/>
                    <a:ln w="9525">
                      <a:noFill/>
                      <a:miter lim="800000"/>
                      <a:headEnd/>
                      <a:tailEnd/>
                    </a:ln>
                  </pic:spPr>
                </pic:pic>
              </a:graphicData>
            </a:graphic>
          </wp:inline>
        </w:drawing>
      </w:r>
    </w:p>
    <w:p w:rsidR="00EA3DAC" w:rsidRDefault="00EA3DAC" w:rsidP="0061413E">
      <w:pPr>
        <w:spacing w:after="0" w:line="240" w:lineRule="auto"/>
      </w:pPr>
      <w:r>
        <w:rPr>
          <w:noProof/>
          <w:lang w:eastAsia="de-DE"/>
        </w:rPr>
        <w:drawing>
          <wp:inline distT="0" distB="0" distL="0" distR="0">
            <wp:extent cx="3590925" cy="1353028"/>
            <wp:effectExtent l="19050" t="0" r="9525" b="0"/>
            <wp:docPr id="4"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3594925" cy="1354535"/>
                    </a:xfrm>
                    <a:prstGeom prst="rect">
                      <a:avLst/>
                    </a:prstGeom>
                    <a:noFill/>
                    <a:ln w="9525">
                      <a:noFill/>
                      <a:miter lim="800000"/>
                      <a:headEnd/>
                      <a:tailEnd/>
                    </a:ln>
                  </pic:spPr>
                </pic:pic>
              </a:graphicData>
            </a:graphic>
          </wp:inline>
        </w:drawing>
      </w:r>
    </w:p>
    <w:p w:rsidR="0061413E" w:rsidRDefault="00EA3DAC" w:rsidP="00EA3DAC">
      <w:pPr>
        <w:spacing w:after="0" w:line="240" w:lineRule="auto"/>
      </w:pPr>
      <w:hyperlink r:id="rId21" w:history="1">
        <w:r w:rsidRPr="009F609F">
          <w:rPr>
            <w:rStyle w:val="Hyperlink"/>
          </w:rPr>
          <w:t>https://upload.wikimedia.org/wikipedia/commons/2/23/Verbreitung_der_Juden_im_deutschen_Reich.jpg</w:t>
        </w:r>
      </w:hyperlink>
    </w:p>
    <w:p w:rsidR="00EA3DAC" w:rsidRDefault="00EA3DAC" w:rsidP="00EA3DAC">
      <w:pPr>
        <w:spacing w:after="0" w:line="240" w:lineRule="auto"/>
      </w:pPr>
      <w:r>
        <w:t>gemeinfrei</w:t>
      </w:r>
    </w:p>
    <w:p w:rsidR="00EA3DAC" w:rsidRDefault="00EA3DAC" w:rsidP="00EA3DAC">
      <w:pPr>
        <w:spacing w:after="0" w:line="240" w:lineRule="auto"/>
      </w:pPr>
    </w:p>
    <w:p w:rsidR="00EA3DAC" w:rsidRDefault="00EA3DAC" w:rsidP="00EA3DAC">
      <w:pPr>
        <w:spacing w:after="0" w:line="240" w:lineRule="auto"/>
      </w:pPr>
      <w:r>
        <w:rPr>
          <w:noProof/>
        </w:rPr>
        <w:pict>
          <v:shape id="_x0000_s1028" type="#_x0000_t202" style="position:absolute;margin-left:309.2pt;margin-top:196.4pt;width:192.75pt;height:34.05pt;z-index:251664384;mso-width-percent:400;mso-height-percent:200;mso-width-percent:400;mso-height-percent:200;mso-width-relative:margin;mso-height-relative:margin" stroked="f">
            <v:textbox style="mso-fit-shape-to-text:t">
              <w:txbxContent>
                <w:p w:rsidR="00EA3DAC" w:rsidRDefault="00EA3DAC" w:rsidP="00EA3DAC">
                  <w:pPr>
                    <w:spacing w:after="0" w:line="240" w:lineRule="auto"/>
                  </w:pPr>
                  <w:proofErr w:type="spellStart"/>
                  <w:r>
                    <w:t>Yad</w:t>
                  </w:r>
                  <w:proofErr w:type="spellEnd"/>
                  <w:r>
                    <w:t xml:space="preserve"> </w:t>
                  </w:r>
                  <w:proofErr w:type="spellStart"/>
                  <w:r>
                    <w:t>Vashem</w:t>
                  </w:r>
                  <w:proofErr w:type="spellEnd"/>
                  <w:r>
                    <w:t>, Tal der Gemeinden</w:t>
                  </w:r>
                </w:p>
                <w:p w:rsidR="00EA3DAC" w:rsidRDefault="00EA3DAC" w:rsidP="00EA3DAC">
                  <w:pPr>
                    <w:spacing w:after="0" w:line="240" w:lineRule="auto"/>
                  </w:pPr>
                  <w:r>
                    <w:t>© Dr. Ines Mayer, 2016</w:t>
                  </w:r>
                </w:p>
              </w:txbxContent>
            </v:textbox>
          </v:shape>
        </w:pict>
      </w:r>
      <w:r w:rsidRPr="00EA3DAC">
        <w:drawing>
          <wp:inline distT="0" distB="0" distL="0" distR="0">
            <wp:extent cx="3809349" cy="2857500"/>
            <wp:effectExtent l="19050" t="0" r="651" b="0"/>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3813750" cy="2860801"/>
                    </a:xfrm>
                    <a:prstGeom prst="rect">
                      <a:avLst/>
                    </a:prstGeom>
                    <a:noFill/>
                    <a:ln w="9525">
                      <a:noFill/>
                      <a:miter lim="800000"/>
                      <a:headEnd/>
                      <a:tailEnd/>
                    </a:ln>
                  </pic:spPr>
                </pic:pic>
              </a:graphicData>
            </a:graphic>
          </wp:inline>
        </w:drawing>
      </w:r>
    </w:p>
    <w:sectPr w:rsidR="00EA3DAC" w:rsidSect="001E146C">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autoHyphenation/>
  <w:hyphenationZone w:val="142"/>
  <w:drawingGridHorizontalSpacing w:val="120"/>
  <w:displayHorizontalDrawingGridEvery w:val="2"/>
  <w:displayVerticalDrawingGridEvery w:val="2"/>
  <w:characterSpacingControl w:val="doNotCompress"/>
  <w:compat/>
  <w:rsids>
    <w:rsidRoot w:val="0061413E"/>
    <w:rsid w:val="001A5681"/>
    <w:rsid w:val="001E146C"/>
    <w:rsid w:val="00314A41"/>
    <w:rsid w:val="00494162"/>
    <w:rsid w:val="0061413E"/>
    <w:rsid w:val="008C033C"/>
    <w:rsid w:val="008E452D"/>
    <w:rsid w:val="00CB5D05"/>
    <w:rsid w:val="00EA3DAC"/>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CB5D05"/>
  </w:style>
  <w:style w:type="paragraph" w:styleId="berschrift1">
    <w:name w:val="heading 1"/>
    <w:basedOn w:val="Standard"/>
    <w:link w:val="berschrift1Zchn"/>
    <w:uiPriority w:val="9"/>
    <w:qFormat/>
    <w:rsid w:val="0061413E"/>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1413E"/>
    <w:rPr>
      <w:rFonts w:ascii="Times New Roman" w:eastAsia="Times New Roman" w:hAnsi="Times New Roman" w:cs="Times New Roman"/>
      <w:b/>
      <w:bCs/>
      <w:kern w:val="36"/>
      <w:sz w:val="48"/>
      <w:szCs w:val="48"/>
      <w:lang w:eastAsia="de-DE"/>
    </w:rPr>
  </w:style>
  <w:style w:type="character" w:styleId="Hyperlink">
    <w:name w:val="Hyperlink"/>
    <w:basedOn w:val="Absatz-Standardschriftart"/>
    <w:uiPriority w:val="99"/>
    <w:unhideWhenUsed/>
    <w:rsid w:val="0061413E"/>
    <w:rPr>
      <w:color w:val="0000FF"/>
      <w:u w:val="single"/>
    </w:rPr>
  </w:style>
  <w:style w:type="paragraph" w:customStyle="1" w:styleId="description">
    <w:name w:val="description"/>
    <w:basedOn w:val="Standard"/>
    <w:rsid w:val="0061413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tandardWeb">
    <w:name w:val="Normal (Web)"/>
    <w:basedOn w:val="Standard"/>
    <w:uiPriority w:val="99"/>
    <w:semiHidden/>
    <w:unhideWhenUsed/>
    <w:rsid w:val="0061413E"/>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Sprechblasentext">
    <w:name w:val="Balloon Text"/>
    <w:basedOn w:val="Standard"/>
    <w:link w:val="SprechblasentextZchn"/>
    <w:uiPriority w:val="99"/>
    <w:semiHidden/>
    <w:unhideWhenUsed/>
    <w:rsid w:val="0061413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1413E"/>
    <w:rPr>
      <w:rFonts w:ascii="Tahoma" w:hAnsi="Tahoma" w:cs="Tahoma"/>
      <w:sz w:val="16"/>
      <w:szCs w:val="16"/>
    </w:rPr>
  </w:style>
  <w:style w:type="table" w:styleId="Tabellengitternetz">
    <w:name w:val="Table Grid"/>
    <w:basedOn w:val="NormaleTabelle"/>
    <w:uiPriority w:val="59"/>
    <w:rsid w:val="0061413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mmv-title">
    <w:name w:val="mw-mmv-title"/>
    <w:basedOn w:val="Absatz-Standardschriftart"/>
    <w:rsid w:val="00EA3DAC"/>
  </w:style>
</w:styles>
</file>

<file path=word/webSettings.xml><?xml version="1.0" encoding="utf-8"?>
<w:webSettings xmlns:r="http://schemas.openxmlformats.org/officeDocument/2006/relationships" xmlns:w="http://schemas.openxmlformats.org/wordprocessingml/2006/main">
  <w:divs>
    <w:div w:id="1056972563">
      <w:bodyDiv w:val="1"/>
      <w:marLeft w:val="0"/>
      <w:marRight w:val="0"/>
      <w:marTop w:val="0"/>
      <w:marBottom w:val="0"/>
      <w:divBdr>
        <w:top w:val="none" w:sz="0" w:space="0" w:color="auto"/>
        <w:left w:val="none" w:sz="0" w:space="0" w:color="auto"/>
        <w:bottom w:val="none" w:sz="0" w:space="0" w:color="auto"/>
        <w:right w:val="none" w:sz="0" w:space="0" w:color="auto"/>
      </w:divBdr>
      <w:divsChild>
        <w:div w:id="6685992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leo-bw.de/detail/-/Detail/details/PERSON/wlbblb_personen/118757733/S%C3%BC%C3%9F-Oppenheimer+Joseph" TargetMode="External"/><Relationship Id="rId13" Type="http://schemas.openxmlformats.org/officeDocument/2006/relationships/hyperlink" Target="https://www.leo-bw.de/detail-gis/-/Detail/details/ORT/labw_ortslexikon/55/Stuttgart-Mitte+%5BAltgemeinde-Teilort%5D" TargetMode="External"/><Relationship Id="rId18" Type="http://schemas.openxmlformats.org/officeDocument/2006/relationships/hyperlink" Target="https://www.leo-bw.de/web/guest/themen/landesgeschichte/judisches-leben-in-sudwestdeutschland" TargetMode="External"/><Relationship Id="rId3" Type="http://schemas.openxmlformats.org/officeDocument/2006/relationships/webSettings" Target="webSettings.xml"/><Relationship Id="rId21" Type="http://schemas.openxmlformats.org/officeDocument/2006/relationships/hyperlink" Target="https://upload.wikimedia.org/wikipedia/commons/2/23/Verbreitung_der_Juden_im_deutschen_Reich.jpg" TargetMode="External"/><Relationship Id="rId7" Type="http://schemas.openxmlformats.org/officeDocument/2006/relationships/hyperlink" Target="https://www.leo-bw.de/detail-gis/-/Detail/details/ORT/labw_ortslexikon/17062/Bad+Buchau+%5BAltgemeinde-Teilort%5D" TargetMode="External"/><Relationship Id="rId12" Type="http://schemas.openxmlformats.org/officeDocument/2006/relationships/hyperlink" Target="https://www.leo-bw.de/detail-gis/-/Detail/details/ORT/labw_ortslexikon/12928/Donaueschingen+%5BAltgemeinde-Teilort%5D" TargetMode="External"/><Relationship Id="rId17" Type="http://schemas.openxmlformats.org/officeDocument/2006/relationships/hyperlink" Target="https://www.leo-bw.de/detail-gis/-/Detail/details/ORT/labw_ortslexikon/14368/Gailingen+am+Hochrhein+%5BAltgemeinde-Teilort%5D" TargetMode="External"/><Relationship Id="rId2" Type="http://schemas.openxmlformats.org/officeDocument/2006/relationships/settings" Target="settings.xml"/><Relationship Id="rId16" Type="http://schemas.openxmlformats.org/officeDocument/2006/relationships/hyperlink" Target="https://www.leo-bw.de/themen/landesgeschichte/wurttemberg-im-19./20.jahrhundert" TargetMode="External"/><Relationship Id="rId20" Type="http://schemas.openxmlformats.org/officeDocument/2006/relationships/image" Target="media/image3.png"/><Relationship Id="rId1" Type="http://schemas.openxmlformats.org/officeDocument/2006/relationships/styles" Target="styles.xml"/><Relationship Id="rId6" Type="http://schemas.openxmlformats.org/officeDocument/2006/relationships/hyperlink" Target="https://www.leo-bw.de/detail/-/Detail/details/PERSON/wlbblb_personen/118791613/Pfalz+Ruprecht+II%3B+Kurf%C3%BCrst+von+der" TargetMode="External"/><Relationship Id="rId11" Type="http://schemas.openxmlformats.org/officeDocument/2006/relationships/hyperlink" Target="https://www.leo-bw.de/detail-gis/-/Detail/details/ORT/labw_ortslexikon/16424/Hechingen+%5BAltgemeinde-Teilort%5D" TargetMode="External"/><Relationship Id="rId24" Type="http://schemas.openxmlformats.org/officeDocument/2006/relationships/theme" Target="theme/theme1.xml"/><Relationship Id="rId5" Type="http://schemas.openxmlformats.org/officeDocument/2006/relationships/hyperlink" Target="https://www.leo-bw.de/detail/-/Detail/details/PERSON/wlbblb_personen/119515016/Pfalz+Ruprecht+I%3B+Kurf%C3%BCrst+von+der" TargetMode="External"/><Relationship Id="rId15" Type="http://schemas.openxmlformats.org/officeDocument/2006/relationships/hyperlink" Target="https://www.leo-bw.de/themen/landesgeschichte/baden-im-19./20.-jahrhundert" TargetMode="External"/><Relationship Id="rId23" Type="http://schemas.openxmlformats.org/officeDocument/2006/relationships/fontTable" Target="fontTable.xml"/><Relationship Id="rId10" Type="http://schemas.openxmlformats.org/officeDocument/2006/relationships/hyperlink" Target="https://www.leo-bw.de/detail-gis/-/Detail/details/ORT/labw_ortslexikon/17062/Bad+Buchau+%5BAltgemeinde-Teilort%5D" TargetMode="External"/><Relationship Id="rId19"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hyperlink" Target="https://www.leo-bw.de/detail/-/Detail/details/PERSON/wlbblb_personen/100636209/W%C3%BCrttemberg+Karl+Alexander%3B+Herzog+von" TargetMode="External"/><Relationship Id="rId14" Type="http://schemas.openxmlformats.org/officeDocument/2006/relationships/hyperlink" Target="https://www.leo-bw.de/themen/landesgeschichte/die-neuordnung-in-der-napoleonischen-zeit" TargetMode="External"/><Relationship Id="rId22"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1296</Words>
  <Characters>8169</Characters>
  <Application>Microsoft Office Word</Application>
  <DocSecurity>0</DocSecurity>
  <Lines>68</Lines>
  <Paragraphs>18</Paragraphs>
  <ScaleCrop>false</ScaleCrop>
  <Company>Huawei Technologies Co.,Ltd.</Company>
  <LinksUpToDate>false</LinksUpToDate>
  <CharactersWithSpaces>9447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ines</dc:creator>
  <cp:lastModifiedBy>ines</cp:lastModifiedBy>
  <cp:revision>5</cp:revision>
  <dcterms:created xsi:type="dcterms:W3CDTF">2017-07-01T14:40:00Z</dcterms:created>
  <dcterms:modified xsi:type="dcterms:W3CDTF">2017-07-01T15:14:00Z</dcterms:modified>
</cp:coreProperties>
</file>