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31A" w:rsidRPr="0039715A" w:rsidRDefault="00AF400B" w:rsidP="00FB131A">
      <w:pPr>
        <w:rPr>
          <w:rFonts w:ascii="Arial" w:hAnsi="Arial" w:cs="Arial"/>
          <w:b/>
          <w:i/>
          <w:sz w:val="16"/>
          <w:szCs w:val="16"/>
        </w:rPr>
      </w:pPr>
      <w:r>
        <w:rPr>
          <w:rFonts w:ascii="Arial" w:hAnsi="Arial" w:cs="Arial"/>
          <w:b/>
          <w:i/>
          <w:noProof/>
          <w:sz w:val="16"/>
          <w:szCs w:val="16"/>
          <w:lang w:eastAsia="de-DE"/>
        </w:rPr>
        <w:drawing>
          <wp:anchor distT="0" distB="0" distL="114300" distR="114300" simplePos="0" relativeHeight="251663360" behindDoc="0" locked="0" layoutInCell="1" allowOverlap="1">
            <wp:simplePos x="0" y="0"/>
            <wp:positionH relativeFrom="column">
              <wp:posOffset>4576543</wp:posOffset>
            </wp:positionH>
            <wp:positionV relativeFrom="paragraph">
              <wp:posOffset>-643890</wp:posOffset>
            </wp:positionV>
            <wp:extent cx="1723292" cy="1066800"/>
            <wp:effectExtent l="19050" t="0" r="0" b="0"/>
            <wp:wrapNone/>
            <wp:docPr id="2"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4" cstate="print"/>
                    <a:srcRect/>
                    <a:stretch>
                      <a:fillRect/>
                    </a:stretch>
                  </pic:blipFill>
                  <pic:spPr bwMode="auto">
                    <a:xfrm>
                      <a:off x="0" y="0"/>
                      <a:ext cx="1723292" cy="1066800"/>
                    </a:xfrm>
                    <a:prstGeom prst="rect">
                      <a:avLst/>
                    </a:prstGeom>
                    <a:noFill/>
                    <a:ln w="9525">
                      <a:noFill/>
                      <a:miter lim="800000"/>
                      <a:headEnd/>
                      <a:tailEnd/>
                    </a:ln>
                  </pic:spPr>
                </pic:pic>
              </a:graphicData>
            </a:graphic>
          </wp:anchor>
        </w:drawing>
      </w:r>
    </w:p>
    <w:p w:rsidR="00FB131A" w:rsidRPr="004F41DD" w:rsidRDefault="00344DC5" w:rsidP="00FB131A">
      <w:pPr>
        <w:rPr>
          <w:rFonts w:ascii="Arial" w:hAnsi="Arial" w:cs="Arial"/>
          <w:b/>
          <w:i/>
        </w:rPr>
      </w:pPr>
      <w:r w:rsidRPr="00344DC5">
        <w:rPr>
          <w:rFonts w:ascii="Arial" w:hAnsi="Arial" w:cs="Arial"/>
          <w:b/>
          <w:noProof/>
        </w:rPr>
        <w:pict>
          <v:shapetype id="_x0000_t202" coordsize="21600,21600" o:spt="202" path="m,l,21600r21600,l21600,xe">
            <v:stroke joinstyle="miter"/>
            <v:path gradientshapeok="t" o:connecttype="rect"/>
          </v:shapetype>
          <v:shape id="_x0000_s1028" type="#_x0000_t202" style="position:absolute;margin-left:357.75pt;margin-top:17.8pt;width:129pt;height:36.9pt;z-index:251662336" stroked="f">
            <v:textbox>
              <w:txbxContent>
                <w:p w:rsidR="00A9485F" w:rsidRDefault="00A9485F" w:rsidP="00287AB3">
                  <w:pPr>
                    <w:spacing w:after="0"/>
                    <w:rPr>
                      <w:sz w:val="16"/>
                      <w:szCs w:val="16"/>
                    </w:rPr>
                  </w:pPr>
                  <w:r w:rsidRPr="004F41DD">
                    <w:rPr>
                      <w:rFonts w:ascii="Arial" w:hAnsi="Arial" w:cs="Arial"/>
                      <w:sz w:val="16"/>
                      <w:szCs w:val="16"/>
                    </w:rPr>
                    <w:t xml:space="preserve">© </w:t>
                  </w:r>
                  <w:r w:rsidRPr="00287AB3">
                    <w:rPr>
                      <w:sz w:val="16"/>
                      <w:szCs w:val="16"/>
                    </w:rPr>
                    <w:t xml:space="preserve">Träger- und Förderverein </w:t>
                  </w:r>
                </w:p>
                <w:p w:rsidR="00A9485F" w:rsidRPr="00287AB3" w:rsidRDefault="00A9485F" w:rsidP="00287AB3">
                  <w:pPr>
                    <w:spacing w:after="0"/>
                    <w:rPr>
                      <w:rFonts w:ascii="Arial" w:hAnsi="Arial" w:cs="Arial"/>
                      <w:sz w:val="16"/>
                      <w:szCs w:val="16"/>
                    </w:rPr>
                  </w:pPr>
                  <w:r w:rsidRPr="00287AB3">
                    <w:rPr>
                      <w:sz w:val="16"/>
                      <w:szCs w:val="16"/>
                    </w:rPr>
                    <w:t>Ehemalige</w:t>
                  </w:r>
                  <w:r>
                    <w:t xml:space="preserve"> </w:t>
                  </w:r>
                  <w:r w:rsidRPr="00287AB3">
                    <w:rPr>
                      <w:sz w:val="16"/>
                      <w:szCs w:val="16"/>
                    </w:rPr>
                    <w:t xml:space="preserve">Synagoge </w:t>
                  </w:r>
                  <w:proofErr w:type="spellStart"/>
                  <w:r w:rsidRPr="00287AB3">
                    <w:rPr>
                      <w:sz w:val="16"/>
                      <w:szCs w:val="16"/>
                    </w:rPr>
                    <w:t>Rexingen</w:t>
                  </w:r>
                  <w:proofErr w:type="spellEnd"/>
                  <w:r w:rsidRPr="00287AB3">
                    <w:rPr>
                      <w:sz w:val="16"/>
                      <w:szCs w:val="16"/>
                    </w:rPr>
                    <w:t xml:space="preserve"> e.V.</w:t>
                  </w:r>
                </w:p>
              </w:txbxContent>
            </v:textbox>
          </v:shape>
        </w:pict>
      </w:r>
      <w:r w:rsidRPr="00344DC5">
        <w:rPr>
          <w:rFonts w:ascii="Arial" w:hAnsi="Arial" w:cs="Arial"/>
          <w:b/>
          <w:noProof/>
        </w:rPr>
        <w:pict>
          <v:line id="_x0000_s1027" style="position:absolute;z-index:251661312" from="0,15.55pt" to="495pt,15.55pt"/>
        </w:pict>
      </w:r>
      <w:r w:rsidR="00FB131A">
        <w:rPr>
          <w:rFonts w:ascii="Arial" w:hAnsi="Arial" w:cs="Arial"/>
          <w:b/>
        </w:rPr>
        <w:t>Jüdische Lebenswelten in Hohenzollern und am Oberen Neckar</w:t>
      </w:r>
      <w:r w:rsidR="00FB131A" w:rsidRPr="004F2E8D">
        <w:rPr>
          <w:rFonts w:ascii="Arial" w:hAnsi="Arial" w:cs="Arial"/>
          <w:b/>
          <w:i/>
        </w:rPr>
        <w:tab/>
      </w:r>
      <w:r w:rsidR="00FB131A" w:rsidRPr="004F2E8D">
        <w:rPr>
          <w:rFonts w:ascii="Arial" w:hAnsi="Arial" w:cs="Arial"/>
          <w:b/>
          <w:i/>
        </w:rPr>
        <w:tab/>
      </w:r>
    </w:p>
    <w:p w:rsidR="004854E0" w:rsidRDefault="004854E0" w:rsidP="00FB131A">
      <w:pPr>
        <w:spacing w:after="0"/>
        <w:rPr>
          <w:b/>
        </w:rPr>
      </w:pPr>
      <w:r w:rsidRPr="004854E0">
        <w:rPr>
          <w:b/>
        </w:rPr>
        <w:t xml:space="preserve">Alfred Weil </w:t>
      </w:r>
    </w:p>
    <w:p w:rsidR="00FB131A" w:rsidRPr="00FB131A" w:rsidRDefault="00FB131A" w:rsidP="00FB131A">
      <w:pPr>
        <w:spacing w:after="0"/>
        <w:rPr>
          <w:b/>
          <w:sz w:val="8"/>
          <w:szCs w:val="8"/>
        </w:rPr>
      </w:pPr>
    </w:p>
    <w:p w:rsidR="00443BE2" w:rsidRPr="00FB131A" w:rsidRDefault="00443BE2" w:rsidP="00FB131A">
      <w:pPr>
        <w:spacing w:after="0"/>
        <w:rPr>
          <w:sz w:val="24"/>
          <w:szCs w:val="24"/>
        </w:rPr>
      </w:pPr>
      <w:r w:rsidRPr="00FB131A">
        <w:rPr>
          <w:sz w:val="24"/>
          <w:szCs w:val="24"/>
        </w:rPr>
        <w:t xml:space="preserve">Leopold </w:t>
      </w:r>
      <w:r w:rsidR="004B0D95">
        <w:rPr>
          <w:sz w:val="24"/>
          <w:szCs w:val="24"/>
        </w:rPr>
        <w:t xml:space="preserve">[Bausinger] </w:t>
      </w:r>
      <w:r w:rsidRPr="00FB131A">
        <w:rPr>
          <w:sz w:val="24"/>
          <w:szCs w:val="24"/>
        </w:rPr>
        <w:t>und Alfred</w:t>
      </w:r>
      <w:r w:rsidR="004B0D95">
        <w:rPr>
          <w:sz w:val="24"/>
          <w:szCs w:val="24"/>
        </w:rPr>
        <w:t xml:space="preserve"> [Weil]</w:t>
      </w:r>
    </w:p>
    <w:tbl>
      <w:tblPr>
        <w:tblStyle w:val="Tabellengitternetz"/>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497"/>
      </w:tblGrid>
      <w:tr w:rsidR="00FB131A" w:rsidRPr="00A9485F" w:rsidTr="005328C6">
        <w:tc>
          <w:tcPr>
            <w:tcW w:w="534" w:type="dxa"/>
          </w:tcPr>
          <w:p w:rsidR="00FB131A" w:rsidRPr="00A9485F" w:rsidRDefault="005328C6" w:rsidP="00282B9B">
            <w:pPr>
              <w:rPr>
                <w:i/>
              </w:rPr>
            </w:pPr>
            <w:r w:rsidRPr="00A9485F">
              <w:rPr>
                <w:i/>
              </w:rPr>
              <w:t>1</w:t>
            </w: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r w:rsidRPr="00A9485F">
              <w:rPr>
                <w:i/>
              </w:rPr>
              <w:t>5</w:t>
            </w: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r w:rsidRPr="00A9485F">
              <w:rPr>
                <w:i/>
              </w:rPr>
              <w:t>10</w:t>
            </w: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r w:rsidRPr="00A9485F">
              <w:rPr>
                <w:i/>
              </w:rPr>
              <w:t>15</w:t>
            </w: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r w:rsidRPr="00A9485F">
              <w:rPr>
                <w:i/>
              </w:rPr>
              <w:t>20</w:t>
            </w: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r w:rsidRPr="00A9485F">
              <w:rPr>
                <w:i/>
              </w:rPr>
              <w:t>25</w:t>
            </w: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r w:rsidRPr="00A9485F">
              <w:rPr>
                <w:i/>
              </w:rPr>
              <w:t>30</w:t>
            </w: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r w:rsidRPr="00A9485F">
              <w:rPr>
                <w:i/>
              </w:rPr>
              <w:t>35</w:t>
            </w: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p>
          <w:p w:rsidR="005328C6" w:rsidRPr="00A9485F" w:rsidRDefault="005328C6" w:rsidP="00282B9B">
            <w:pPr>
              <w:rPr>
                <w:i/>
              </w:rPr>
            </w:pPr>
            <w:r w:rsidRPr="00A9485F">
              <w:rPr>
                <w:i/>
              </w:rPr>
              <w:t>40</w:t>
            </w:r>
          </w:p>
          <w:p w:rsidR="005328C6" w:rsidRDefault="005328C6" w:rsidP="00282B9B">
            <w:pPr>
              <w:rPr>
                <w:i/>
              </w:rPr>
            </w:pPr>
          </w:p>
          <w:p w:rsidR="004814F0" w:rsidRDefault="004814F0" w:rsidP="00282B9B">
            <w:pPr>
              <w:rPr>
                <w:i/>
              </w:rPr>
            </w:pPr>
          </w:p>
          <w:p w:rsidR="004814F0" w:rsidRDefault="004814F0" w:rsidP="00282B9B">
            <w:pPr>
              <w:rPr>
                <w:i/>
              </w:rPr>
            </w:pPr>
          </w:p>
          <w:p w:rsidR="004814F0" w:rsidRDefault="004814F0" w:rsidP="00282B9B">
            <w:pPr>
              <w:rPr>
                <w:i/>
              </w:rPr>
            </w:pPr>
          </w:p>
          <w:p w:rsidR="004814F0" w:rsidRPr="00A9485F" w:rsidRDefault="004814F0" w:rsidP="00282B9B">
            <w:pPr>
              <w:rPr>
                <w:i/>
              </w:rPr>
            </w:pPr>
            <w:r>
              <w:rPr>
                <w:i/>
              </w:rPr>
              <w:t>45</w:t>
            </w:r>
          </w:p>
          <w:p w:rsidR="005328C6" w:rsidRPr="00A9485F" w:rsidRDefault="005328C6" w:rsidP="00282B9B">
            <w:pPr>
              <w:rPr>
                <w:i/>
              </w:rPr>
            </w:pPr>
          </w:p>
        </w:tc>
        <w:tc>
          <w:tcPr>
            <w:tcW w:w="9497" w:type="dxa"/>
          </w:tcPr>
          <w:p w:rsidR="00FB131A" w:rsidRPr="00A9485F" w:rsidRDefault="00FB131A" w:rsidP="00FB131A">
            <w:r w:rsidRPr="00A9485F">
              <w:t xml:space="preserve">Im Jahr 1909 wurden Leopold und Alfred Schulkameraden. Als noch nicht ganz zehnjährige Sextaner zogen sie Hand in Hand in feierlicher Prozession aus der königlichen </w:t>
            </w:r>
            <w:proofErr w:type="spellStart"/>
            <w:r w:rsidRPr="00A9485F">
              <w:t>Präparandie</w:t>
            </w:r>
            <w:proofErr w:type="spellEnd"/>
            <w:r w:rsidR="004814F0">
              <w:t xml:space="preserve"> [= untere Stufe der Volksschullehrerausbildung]</w:t>
            </w:r>
            <w:r w:rsidRPr="00A9485F">
              <w:t xml:space="preserve">, dem alten Gebäude in der Neustraße, hinauf in ihre neu gebaute Schule auf der </w:t>
            </w:r>
            <w:proofErr w:type="spellStart"/>
            <w:r w:rsidRPr="00A9485F">
              <w:t>Lichtenau</w:t>
            </w:r>
            <w:proofErr w:type="spellEnd"/>
            <w:r w:rsidRPr="00A9485F">
              <w:t xml:space="preserve">: Leopold Bausinger, Sohn des Landwirts Kaspar Bausinger aus Stetten, und Alfred Weil, einziger Sohn des </w:t>
            </w:r>
            <w:proofErr w:type="spellStart"/>
            <w:r w:rsidRPr="00A9485F">
              <w:t>Hechinger</w:t>
            </w:r>
            <w:proofErr w:type="spellEnd"/>
            <w:r w:rsidRPr="00A9485F">
              <w:t xml:space="preserve"> Fabrikanten Emil Weil, der in der Hofapotheke wohnte. Aus Leibe</w:t>
            </w:r>
            <w:r w:rsidRPr="00A9485F">
              <w:t>s</w:t>
            </w:r>
            <w:r w:rsidRPr="00A9485F">
              <w:t xml:space="preserve">kräften sangen sie das Kaiserlied: „Der Kaiser ist ein lieber Mann, er wohnet in Berlin, und wär‘ das nicht so weit von hier, so ging ich heut‘ noch hin!“ </w:t>
            </w:r>
          </w:p>
          <w:p w:rsidR="00FB131A" w:rsidRPr="00A9485F" w:rsidRDefault="00FB131A" w:rsidP="00FB131A">
            <w:r w:rsidRPr="00A9485F">
              <w:t>Leopold sollte Pfarrer werden, wie sein Onkel. „Ein Bub wird in unserm Hause immer Pfarrer“, hatte Leopolds Vater zu Direktor Seitz gesagt, als er seinen Sohn im Gymnasium anmeldete. „Alfred soll st</w:t>
            </w:r>
            <w:r w:rsidRPr="00A9485F">
              <w:t>u</w:t>
            </w:r>
            <w:r w:rsidRPr="00A9485F">
              <w:t>dieren“, sagte Emil Weil zu Professor Seitz. „Wir leben in einer neuen Zeit, mein Sohn soll dabei sein.“</w:t>
            </w:r>
          </w:p>
          <w:p w:rsidR="00FB131A" w:rsidRPr="00A9485F" w:rsidRDefault="00FB131A" w:rsidP="00FB131A">
            <w:r w:rsidRPr="00A9485F">
              <w:t xml:space="preserve">Aus zwei Schulkameraden wurden Freunde. Ging es in die nächste Klasse, kauften beide gemeinsam die neuen, farbigen Schülermützen. Wurde es Sommer, schwammen sie um die Wette in der Badeanstalt im Prinzling, jenem Wiesenrund an der </w:t>
            </w:r>
            <w:proofErr w:type="spellStart"/>
            <w:r w:rsidRPr="00A9485F">
              <w:t>Starzel</w:t>
            </w:r>
            <w:proofErr w:type="spellEnd"/>
            <w:r w:rsidRPr="00A9485F">
              <w:t xml:space="preserve">, der auf halbem Wege zwischen </w:t>
            </w:r>
            <w:proofErr w:type="spellStart"/>
            <w:r w:rsidRPr="00A9485F">
              <w:t>Hechingen</w:t>
            </w:r>
            <w:proofErr w:type="spellEnd"/>
            <w:r w:rsidRPr="00A9485F">
              <w:t xml:space="preserve"> und Stetten liegt. Auf dem </w:t>
            </w:r>
            <w:proofErr w:type="spellStart"/>
            <w:r w:rsidRPr="00A9485F">
              <w:t>Säuweiherle</w:t>
            </w:r>
            <w:proofErr w:type="spellEnd"/>
            <w:r w:rsidRPr="00A9485F">
              <w:t>, unterhalb des Martinsberges, lagen sie an heißen Sommertagen in einem Kahn, der den Bauern beim Schneiden des Schilfes diente, dösten und träumten. Sie sehnten sich nach der Ferne und gaben sich dem Gefühl hin, auf hoher See zu sein. Ihren Militärdienst wollten sie einmal bei der kaiserlichen Kriegsmarine leisten.</w:t>
            </w:r>
          </w:p>
          <w:p w:rsidR="00FB131A" w:rsidRPr="00A9485F" w:rsidRDefault="00FB131A" w:rsidP="00FB131A">
            <w:r w:rsidRPr="00A9485F">
              <w:t>Als der Krieg kam und die älteren Schüler und die jungen Lehrer an die Front mussten, wich ihr abe</w:t>
            </w:r>
            <w:r w:rsidRPr="00A9485F">
              <w:t>n</w:t>
            </w:r>
            <w:r w:rsidRPr="00A9485F">
              <w:t>teuerliches Fernweh. Gewiss, sie würden auch gehen, wenn der Kaiser sie brauchte. Wohin, das würde man sehen. 1917 machte die Klasse in Unterprima das Notabitur. Alle zwölf Jungen bestanden, neun wurden einberufen. Leopold und Alfred kamen zu einem Pionier-Luftschiffer-Ersatzbataillon an die Westfront. In den Zeppelinen sind sie nicht mitgeflogen; sie mussten als Kuriere Nachrichten von einem Truppenteil zum anderen bringen.</w:t>
            </w:r>
          </w:p>
          <w:p w:rsidR="00FB131A" w:rsidRPr="00A9485F" w:rsidRDefault="00FB131A" w:rsidP="00FB131A">
            <w:r w:rsidRPr="00A9485F">
              <w:t>Eines Nachts wurde Leopold verwundet. Das Feuer eines Scharfschützen traf ihn. „Ein glatter Obe</w:t>
            </w:r>
            <w:r w:rsidRPr="00A9485F">
              <w:t>r</w:t>
            </w:r>
            <w:r w:rsidRPr="00A9485F">
              <w:t>schenkeldurchschuss“, sagte der Sanitäter, der ihn aus dem Laufgraben holte, in den Alfred ihn gezogen hatte. Leopold kam ins Lazarett. Alfred hatte das Gefühl, allein auf der Welt zu sein.</w:t>
            </w:r>
          </w:p>
          <w:p w:rsidR="00FB131A" w:rsidRPr="00A9485F" w:rsidRDefault="00FB131A" w:rsidP="00FB131A">
            <w:r w:rsidRPr="00A9485F">
              <w:t>Nach dem Krieg studierten beide. Aber Leopold wurde kein Pfa</w:t>
            </w:r>
            <w:r w:rsidRPr="00A9485F">
              <w:t>r</w:t>
            </w:r>
            <w:r w:rsidRPr="00A9485F">
              <w:t>rer. Er schrieb sich, zum Kummer seines Vaters, bei den Juristen ein. Doch das er wenigstens ins katholische Freiburg ging und nicht mit Alfred nach Tübingen, davon ließ sich der alte Bausinger nicht abbringen!</w:t>
            </w:r>
          </w:p>
          <w:p w:rsidR="00FB131A" w:rsidRPr="00A9485F" w:rsidRDefault="00FB131A" w:rsidP="00FB131A">
            <w:r w:rsidRPr="00A9485F">
              <w:t>Als Leopold das Examen in der Tasche hatte, nahm er eine Stelle im Verwaltungsdienst bei der preuß</w:t>
            </w:r>
            <w:r w:rsidRPr="00A9485F">
              <w:t>i</w:t>
            </w:r>
            <w:r w:rsidRPr="00A9485F">
              <w:t>schen Provinzial-Regierung in Aachen an. Ein Jahr später wurde er ins Regierungspräsidium nach Sigm</w:t>
            </w:r>
            <w:r w:rsidRPr="00A9485F">
              <w:t>a</w:t>
            </w:r>
            <w:r w:rsidRPr="00A9485F">
              <w:t>ringen versetzt.  […]</w:t>
            </w:r>
          </w:p>
          <w:p w:rsidR="004814F0" w:rsidRDefault="00A9485F" w:rsidP="00FB131A">
            <w:r>
              <w:rPr>
                <w:noProof/>
                <w:lang w:eastAsia="de-DE"/>
              </w:rPr>
              <w:drawing>
                <wp:anchor distT="0" distB="0" distL="114300" distR="114300" simplePos="0" relativeHeight="251664384" behindDoc="0" locked="0" layoutInCell="1" allowOverlap="1">
                  <wp:simplePos x="0" y="0"/>
                  <wp:positionH relativeFrom="margin">
                    <wp:posOffset>3865245</wp:posOffset>
                  </wp:positionH>
                  <wp:positionV relativeFrom="margin">
                    <wp:posOffset>4330700</wp:posOffset>
                  </wp:positionV>
                  <wp:extent cx="2095500" cy="3095625"/>
                  <wp:effectExtent l="1905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95500" cy="3095625"/>
                          </a:xfrm>
                          <a:prstGeom prst="rect">
                            <a:avLst/>
                          </a:prstGeom>
                          <a:noFill/>
                          <a:ln w="9525">
                            <a:noFill/>
                            <a:miter lim="800000"/>
                            <a:headEnd/>
                            <a:tailEnd/>
                          </a:ln>
                        </pic:spPr>
                      </pic:pic>
                    </a:graphicData>
                  </a:graphic>
                </wp:anchor>
              </w:drawing>
            </w:r>
            <w:r w:rsidR="00FB131A" w:rsidRPr="00A9485F">
              <w:t>Alfred machte an der Tübinger Universität Examen und prom</w:t>
            </w:r>
            <w:r w:rsidR="00FB131A" w:rsidRPr="00A9485F">
              <w:t>o</w:t>
            </w:r>
            <w:r w:rsidR="00FB131A" w:rsidRPr="00A9485F">
              <w:t>vierte summa cum laude zum Doktor der Staatswissenschaft. Weil er als einziger Sohn die väterliche Zwirn- und Nähfadenfa</w:t>
            </w:r>
            <w:r w:rsidR="00FB131A" w:rsidRPr="00A9485F">
              <w:t>b</w:t>
            </w:r>
            <w:r w:rsidR="00AC5664">
              <w:t>rik Julius Levi &amp; Co. i</w:t>
            </w:r>
            <w:r w:rsidR="00FB131A" w:rsidRPr="00A9485F">
              <w:t xml:space="preserve">n der oberen Mühlgasse übernehmen sollte, besuchte er anschließend das </w:t>
            </w:r>
            <w:proofErr w:type="spellStart"/>
            <w:r w:rsidR="00FB131A" w:rsidRPr="00A9485F">
              <w:t>Textiltechnikum</w:t>
            </w:r>
            <w:proofErr w:type="spellEnd"/>
            <w:r w:rsidR="00FB131A" w:rsidRPr="00A9485F">
              <w:t xml:space="preserve"> in Reutlingen. „Unser Doktor lernt jetzt noch sein Handwerk“, pflegte Alfreds Vater damals zu sagen, wenn er nach seinem Sohn gefragt wu</w:t>
            </w:r>
            <w:r w:rsidR="00FB131A" w:rsidRPr="00A9485F">
              <w:t>r</w:t>
            </w:r>
            <w:r w:rsidR="00FB131A" w:rsidRPr="00A9485F">
              <w:t>de. Er war sehr stolz auf den Jungen. 1931 trat Alfre</w:t>
            </w:r>
            <w:r w:rsidR="00AC5664">
              <w:t>d bei Levi &amp; Co. a</w:t>
            </w:r>
            <w:r w:rsidR="00FB131A" w:rsidRPr="00A9485F">
              <w:t>ls Prokurist ein. Er war der „junge Herr“, im Gegensatz zum</w:t>
            </w:r>
            <w:r w:rsidR="004814F0" w:rsidRPr="009F6C78">
              <w:t xml:space="preserve"> </w:t>
            </w:r>
            <w:r w:rsidR="004814F0">
              <w:t xml:space="preserve">        </w:t>
            </w:r>
            <w:r w:rsidR="004814F0" w:rsidRPr="00205A9C">
              <w:rPr>
                <w:sz w:val="20"/>
                <w:szCs w:val="20"/>
              </w:rPr>
              <w:t>Hochzeitsfoto von Charlotte und</w:t>
            </w:r>
          </w:p>
          <w:p w:rsidR="00FB131A" w:rsidRPr="00A9485F" w:rsidRDefault="00FB131A" w:rsidP="00205A9C">
            <w:r w:rsidRPr="00A9485F">
              <w:t>Vater, den man von nun an den „alten Herrn“ nannte. […]</w:t>
            </w:r>
            <w:r w:rsidR="004814F0">
              <w:t xml:space="preserve">                    </w:t>
            </w:r>
            <w:r w:rsidR="004814F0" w:rsidRPr="00205A9C">
              <w:rPr>
                <w:sz w:val="20"/>
                <w:szCs w:val="20"/>
              </w:rPr>
              <w:t xml:space="preserve">Alfred Weil </w:t>
            </w:r>
            <w:r w:rsidR="004814F0" w:rsidRPr="009F6C78">
              <w:t xml:space="preserve">          </w:t>
            </w:r>
            <w:r w:rsidR="004814F0">
              <w:t xml:space="preserve">  </w:t>
            </w:r>
            <w:r w:rsidR="004814F0" w:rsidRPr="009F6C78">
              <w:t xml:space="preserve"> </w:t>
            </w:r>
            <w:r w:rsidR="004814F0" w:rsidRPr="009F6C78">
              <w:rPr>
                <w:sz w:val="20"/>
                <w:szCs w:val="20"/>
              </w:rPr>
              <w:t xml:space="preserve">© Adolf </w:t>
            </w:r>
            <w:proofErr w:type="spellStart"/>
            <w:r w:rsidR="004814F0" w:rsidRPr="009F6C78">
              <w:rPr>
                <w:sz w:val="20"/>
                <w:szCs w:val="20"/>
              </w:rPr>
              <w:t>Vees</w:t>
            </w:r>
            <w:proofErr w:type="spellEnd"/>
          </w:p>
        </w:tc>
      </w:tr>
    </w:tbl>
    <w:p w:rsidR="00FB131A" w:rsidRPr="00FB131A" w:rsidRDefault="00FB131A" w:rsidP="00282B9B">
      <w:pPr>
        <w:spacing w:after="0"/>
        <w:rPr>
          <w:i/>
          <w:sz w:val="16"/>
          <w:szCs w:val="16"/>
        </w:rPr>
      </w:pPr>
    </w:p>
    <w:p w:rsidR="00A9485F" w:rsidRPr="00443BE2" w:rsidRDefault="00443BE2" w:rsidP="00282B9B">
      <w:pPr>
        <w:spacing w:after="0"/>
        <w:rPr>
          <w:i/>
        </w:rPr>
      </w:pPr>
      <w:r w:rsidRPr="00443BE2">
        <w:rPr>
          <w:i/>
        </w:rPr>
        <w:t xml:space="preserve">Aus: Adolf </w:t>
      </w:r>
      <w:proofErr w:type="spellStart"/>
      <w:r w:rsidRPr="00443BE2">
        <w:rPr>
          <w:i/>
        </w:rPr>
        <w:t>Vees</w:t>
      </w:r>
      <w:proofErr w:type="spellEnd"/>
      <w:r w:rsidRPr="00443BE2">
        <w:rPr>
          <w:i/>
        </w:rPr>
        <w:t xml:space="preserve">, Das </w:t>
      </w:r>
      <w:proofErr w:type="spellStart"/>
      <w:r w:rsidRPr="00443BE2">
        <w:rPr>
          <w:i/>
        </w:rPr>
        <w:t>Hechinger</w:t>
      </w:r>
      <w:proofErr w:type="spellEnd"/>
      <w:r w:rsidRPr="00443BE2">
        <w:rPr>
          <w:i/>
        </w:rPr>
        <w:t xml:space="preserve"> Heimweh. Begegnungen mit Juden. Tübingen 1997, S.61f.</w:t>
      </w:r>
    </w:p>
    <w:sectPr w:rsidR="00A9485F" w:rsidRPr="00443BE2" w:rsidSect="001E14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170"/>
  <w:drawingGridHorizontalSpacing w:val="120"/>
  <w:displayHorizontalDrawingGridEvery w:val="2"/>
  <w:displayVerticalDrawingGridEvery w:val="2"/>
  <w:characterSpacingControl w:val="doNotCompress"/>
  <w:compat/>
  <w:rsids>
    <w:rsidRoot w:val="004854E0"/>
    <w:rsid w:val="000116F5"/>
    <w:rsid w:val="000B2BD4"/>
    <w:rsid w:val="001E146C"/>
    <w:rsid w:val="00205A9C"/>
    <w:rsid w:val="00210816"/>
    <w:rsid w:val="002533BA"/>
    <w:rsid w:val="00267507"/>
    <w:rsid w:val="002772A8"/>
    <w:rsid w:val="00282B9B"/>
    <w:rsid w:val="00287AB3"/>
    <w:rsid w:val="00344DC5"/>
    <w:rsid w:val="003728BF"/>
    <w:rsid w:val="00443BE2"/>
    <w:rsid w:val="004814F0"/>
    <w:rsid w:val="004854E0"/>
    <w:rsid w:val="004B0D95"/>
    <w:rsid w:val="005328C6"/>
    <w:rsid w:val="005B629E"/>
    <w:rsid w:val="005F6D3C"/>
    <w:rsid w:val="006108D1"/>
    <w:rsid w:val="006A4F22"/>
    <w:rsid w:val="0075760A"/>
    <w:rsid w:val="007832B5"/>
    <w:rsid w:val="00982DDA"/>
    <w:rsid w:val="009F6C78"/>
    <w:rsid w:val="00A9485F"/>
    <w:rsid w:val="00AC5664"/>
    <w:rsid w:val="00AF400B"/>
    <w:rsid w:val="00B249E6"/>
    <w:rsid w:val="00BC23F3"/>
    <w:rsid w:val="00CB5D05"/>
    <w:rsid w:val="00D7026A"/>
    <w:rsid w:val="00E3151D"/>
    <w:rsid w:val="00E96E2F"/>
    <w:rsid w:val="00FB131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5D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B131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B131A"/>
    <w:rPr>
      <w:rFonts w:ascii="Tahoma" w:hAnsi="Tahoma" w:cs="Tahoma"/>
      <w:sz w:val="16"/>
      <w:szCs w:val="16"/>
    </w:rPr>
  </w:style>
  <w:style w:type="table" w:styleId="Tabellengitternetz">
    <w:name w:val="Table Grid"/>
    <w:basedOn w:val="NormaleTabelle"/>
    <w:uiPriority w:val="59"/>
    <w:rsid w:val="00FB13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530</Words>
  <Characters>3343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18</cp:revision>
  <dcterms:created xsi:type="dcterms:W3CDTF">2017-03-25T14:52:00Z</dcterms:created>
  <dcterms:modified xsi:type="dcterms:W3CDTF">2017-07-12T20:05:00Z</dcterms:modified>
</cp:coreProperties>
</file>