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08F" w:rsidRPr="00EE58A1" w:rsidRDefault="00EE58A1" w:rsidP="00EE58A1">
      <w:pPr>
        <w:jc w:val="center"/>
        <w:rPr>
          <w:b/>
        </w:rPr>
      </w:pPr>
      <w:r w:rsidRPr="00EE58A1">
        <w:rPr>
          <w:b/>
        </w:rPr>
        <w:t>Wie werden die Vorfälle in Stuttgart erklärt bzw. wer oder was trägt die Verantwortung dafür?</w:t>
      </w:r>
    </w:p>
    <w:p w:rsidR="00EE58A1" w:rsidRDefault="00EE58A1">
      <w:r>
        <w:t>Analysieren Sie folgende Bewertungen und verfassen Sie anschließend ein eigenes Urteil:</w:t>
      </w:r>
    </w:p>
    <w:tbl>
      <w:tblPr>
        <w:tblStyle w:val="Tabellenraster"/>
        <w:tblW w:w="0" w:type="auto"/>
        <w:tblLook w:val="04A0" w:firstRow="1" w:lastRow="0" w:firstColumn="1" w:lastColumn="0" w:noHBand="0" w:noVBand="1"/>
      </w:tblPr>
      <w:tblGrid>
        <w:gridCol w:w="5807"/>
        <w:gridCol w:w="3119"/>
        <w:gridCol w:w="3118"/>
        <w:gridCol w:w="2233"/>
      </w:tblGrid>
      <w:tr w:rsidR="00EE58A1" w:rsidTr="007D6649">
        <w:tc>
          <w:tcPr>
            <w:tcW w:w="5807" w:type="dxa"/>
          </w:tcPr>
          <w:p w:rsidR="00EE58A1" w:rsidRDefault="00EE58A1">
            <w:r>
              <w:t>Zitat</w:t>
            </w:r>
          </w:p>
        </w:tc>
        <w:tc>
          <w:tcPr>
            <w:tcW w:w="3119" w:type="dxa"/>
          </w:tcPr>
          <w:p w:rsidR="00EE58A1" w:rsidRDefault="00EE58A1">
            <w:r>
              <w:t>Wem oder Was wird die Verantwortung zugewiesen?</w:t>
            </w:r>
          </w:p>
        </w:tc>
        <w:tc>
          <w:tcPr>
            <w:tcW w:w="3118" w:type="dxa"/>
          </w:tcPr>
          <w:p w:rsidR="00EE58A1" w:rsidRDefault="00EE58A1">
            <w:r>
              <w:t>Aus welcher Perspektive (politisch, sozial, Interesse</w:t>
            </w:r>
            <w:r w:rsidR="006B3156">
              <w:t>nlage</w:t>
            </w:r>
            <w:r>
              <w:t xml:space="preserve">) ist die Aussage verfasst </w:t>
            </w:r>
            <w:r w:rsidR="006B3156">
              <w:t>?</w:t>
            </w:r>
          </w:p>
        </w:tc>
        <w:tc>
          <w:tcPr>
            <w:tcW w:w="2233" w:type="dxa"/>
          </w:tcPr>
          <w:p w:rsidR="00EE58A1" w:rsidRDefault="00EE58A1">
            <w:r>
              <w:t xml:space="preserve">Überzeugt Sie die Bewertung? </w:t>
            </w:r>
          </w:p>
          <w:p w:rsidR="00EE58A1" w:rsidRDefault="00EE58A1">
            <w:r>
              <w:t>Ja/nein weil …</w:t>
            </w:r>
          </w:p>
        </w:tc>
      </w:tr>
      <w:tr w:rsidR="00EE58A1" w:rsidTr="007D6649">
        <w:tc>
          <w:tcPr>
            <w:tcW w:w="5807" w:type="dxa"/>
          </w:tcPr>
          <w:p w:rsidR="00EE58A1" w:rsidRPr="007D6649" w:rsidRDefault="006B3156" w:rsidP="007D6649">
            <w:pPr>
              <w:autoSpaceDE w:val="0"/>
              <w:autoSpaceDN w:val="0"/>
              <w:adjustRightInd w:val="0"/>
              <w:rPr>
                <w:rFonts w:ascii="Arial" w:hAnsi="Arial" w:cs="Arial"/>
                <w:i/>
                <w:iCs/>
                <w:sz w:val="24"/>
                <w:szCs w:val="24"/>
              </w:rPr>
            </w:pPr>
            <w:r w:rsidRPr="007D6649">
              <w:rPr>
                <w:rFonts w:ascii="Arial" w:hAnsi="Arial" w:cs="Arial"/>
                <w:i/>
                <w:iCs/>
                <w:sz w:val="24"/>
                <w:szCs w:val="24"/>
              </w:rPr>
              <w:t>„Wir bedauern die Ausschreitungen am Schluss der Kundgebung. Die Schuld trifft aber jene, die die Not der werteschaffenden Menschen missbrauchen und sie sogar</w:t>
            </w:r>
            <w:r w:rsidR="007D6649">
              <w:rPr>
                <w:rFonts w:ascii="Arial" w:hAnsi="Arial" w:cs="Arial"/>
                <w:i/>
                <w:iCs/>
                <w:sz w:val="24"/>
                <w:szCs w:val="24"/>
              </w:rPr>
              <w:t xml:space="preserve"> </w:t>
            </w:r>
            <w:r w:rsidRPr="007D6649">
              <w:rPr>
                <w:rFonts w:ascii="Arial" w:hAnsi="Arial" w:cs="Arial"/>
                <w:i/>
                <w:iCs/>
                <w:sz w:val="24"/>
                <w:szCs w:val="24"/>
              </w:rPr>
              <w:t>noch verhöhnen“.</w:t>
            </w:r>
          </w:p>
          <w:p w:rsidR="006B3156" w:rsidRPr="007D6649" w:rsidRDefault="006B3156" w:rsidP="006B3156">
            <w:pPr>
              <w:rPr>
                <w:rFonts w:ascii="Arial" w:hAnsi="Arial" w:cs="Arial"/>
              </w:rPr>
            </w:pPr>
            <w:r w:rsidRPr="007D6649">
              <w:rPr>
                <w:rFonts w:ascii="Arial" w:hAnsi="Arial" w:cs="Arial"/>
              </w:rPr>
              <w:t>Solidaritätsbrief der Nürnberger Industriegewerkschaft an die Stuttgarter Kollegen, 6.11.1948</w:t>
            </w:r>
          </w:p>
        </w:tc>
        <w:tc>
          <w:tcPr>
            <w:tcW w:w="3119" w:type="dxa"/>
          </w:tcPr>
          <w:p w:rsidR="00EE58A1" w:rsidRPr="007D6649" w:rsidRDefault="00EE58A1">
            <w:pPr>
              <w:rPr>
                <w:rFonts w:ascii="Arial" w:hAnsi="Arial" w:cs="Arial"/>
                <w:sz w:val="20"/>
                <w:szCs w:val="20"/>
              </w:rPr>
            </w:pPr>
          </w:p>
        </w:tc>
        <w:tc>
          <w:tcPr>
            <w:tcW w:w="3118" w:type="dxa"/>
          </w:tcPr>
          <w:p w:rsidR="00EE58A1" w:rsidRDefault="00EE58A1"/>
        </w:tc>
        <w:tc>
          <w:tcPr>
            <w:tcW w:w="2233" w:type="dxa"/>
          </w:tcPr>
          <w:p w:rsidR="00EE58A1" w:rsidRDefault="00EE58A1"/>
        </w:tc>
      </w:tr>
      <w:tr w:rsidR="00EE58A1" w:rsidTr="007D6649">
        <w:tc>
          <w:tcPr>
            <w:tcW w:w="5807" w:type="dxa"/>
          </w:tcPr>
          <w:p w:rsidR="00EE58A1" w:rsidRPr="007D6649" w:rsidRDefault="006B3156" w:rsidP="006B3156">
            <w:pPr>
              <w:autoSpaceDE w:val="0"/>
              <w:autoSpaceDN w:val="0"/>
              <w:adjustRightInd w:val="0"/>
              <w:rPr>
                <w:rFonts w:ascii="Arial" w:hAnsi="Arial" w:cs="Arial"/>
                <w:i/>
                <w:iCs/>
                <w:sz w:val="24"/>
                <w:szCs w:val="24"/>
              </w:rPr>
            </w:pPr>
            <w:r w:rsidRPr="007D6649">
              <w:rPr>
                <w:rFonts w:ascii="Arial" w:hAnsi="Arial" w:cs="Arial"/>
                <w:i/>
                <w:iCs/>
                <w:sz w:val="24"/>
                <w:szCs w:val="24"/>
              </w:rPr>
              <w:t>„Bei der Verhöhnung der arbeitenden Bevölkerung durch die hohen Preise sind solche Exzesse verständlich. Wieviel Scherbenhaufen sind schon entstanden durch den Preiswucher beim Menschen!“</w:t>
            </w:r>
          </w:p>
          <w:p w:rsidR="006B3156" w:rsidRPr="007D6649" w:rsidRDefault="006B3156" w:rsidP="006B3156">
            <w:pPr>
              <w:autoSpaceDE w:val="0"/>
              <w:autoSpaceDN w:val="0"/>
              <w:adjustRightInd w:val="0"/>
              <w:rPr>
                <w:rFonts w:ascii="Arial" w:hAnsi="Arial" w:cs="Arial"/>
                <w:sz w:val="20"/>
                <w:szCs w:val="20"/>
              </w:rPr>
            </w:pPr>
            <w:r w:rsidRPr="007D6649">
              <w:rPr>
                <w:rFonts w:ascii="Arial" w:hAnsi="Arial" w:cs="Arial"/>
                <w:sz w:val="20"/>
                <w:szCs w:val="20"/>
              </w:rPr>
              <w:t>Wilhelm Kleinknecht, Gewerkschaftsbund Stuttgart, in: Stuttgarter Zeitung, 1. November 1948.</w:t>
            </w:r>
          </w:p>
        </w:tc>
        <w:tc>
          <w:tcPr>
            <w:tcW w:w="3119" w:type="dxa"/>
          </w:tcPr>
          <w:p w:rsidR="00EE58A1" w:rsidRPr="007D6649" w:rsidRDefault="00EE58A1">
            <w:pPr>
              <w:rPr>
                <w:rFonts w:ascii="Arial" w:hAnsi="Arial" w:cs="Arial"/>
                <w:sz w:val="20"/>
                <w:szCs w:val="20"/>
              </w:rPr>
            </w:pPr>
          </w:p>
        </w:tc>
        <w:tc>
          <w:tcPr>
            <w:tcW w:w="3118" w:type="dxa"/>
          </w:tcPr>
          <w:p w:rsidR="00EE58A1" w:rsidRDefault="00EE58A1"/>
        </w:tc>
        <w:tc>
          <w:tcPr>
            <w:tcW w:w="2233" w:type="dxa"/>
          </w:tcPr>
          <w:p w:rsidR="00EE58A1" w:rsidRDefault="00EE58A1"/>
        </w:tc>
      </w:tr>
      <w:tr w:rsidR="00EE58A1" w:rsidTr="007D6649">
        <w:tc>
          <w:tcPr>
            <w:tcW w:w="5807" w:type="dxa"/>
          </w:tcPr>
          <w:p w:rsidR="00EE58A1" w:rsidRPr="007D6649" w:rsidRDefault="00736A84">
            <w:pPr>
              <w:rPr>
                <w:rFonts w:ascii="Arial" w:hAnsi="Arial" w:cs="Arial"/>
                <w:sz w:val="24"/>
                <w:szCs w:val="24"/>
              </w:rPr>
            </w:pPr>
            <w:r w:rsidRPr="007D6649">
              <w:rPr>
                <w:rFonts w:ascii="Arial" w:hAnsi="Arial" w:cs="Arial"/>
                <w:sz w:val="24"/>
                <w:szCs w:val="24"/>
              </w:rPr>
              <w:t>„</w:t>
            </w:r>
            <w:r w:rsidRPr="007D6649">
              <w:rPr>
                <w:rFonts w:ascii="Arial" w:hAnsi="Arial" w:cs="Arial"/>
                <w:i/>
                <w:sz w:val="24"/>
                <w:szCs w:val="24"/>
              </w:rPr>
              <w:t>Was tatsächlich geschehen ist, sind ein paar zerbrochene Fensterscheiben</w:t>
            </w:r>
            <w:r w:rsidRPr="007D6649">
              <w:rPr>
                <w:rFonts w:ascii="Arial" w:hAnsi="Arial" w:cs="Arial"/>
                <w:sz w:val="24"/>
                <w:szCs w:val="24"/>
              </w:rPr>
              <w:t>“</w:t>
            </w:r>
          </w:p>
          <w:p w:rsidR="00736A84" w:rsidRPr="007D6649" w:rsidRDefault="00736A84" w:rsidP="00736A84">
            <w:pPr>
              <w:rPr>
                <w:rFonts w:ascii="Arial" w:hAnsi="Arial" w:cs="Arial"/>
                <w:sz w:val="20"/>
                <w:szCs w:val="20"/>
              </w:rPr>
            </w:pPr>
            <w:r w:rsidRPr="007D6649">
              <w:rPr>
                <w:rFonts w:ascii="Arial" w:hAnsi="Arial" w:cs="Arial"/>
                <w:sz w:val="20"/>
                <w:szCs w:val="20"/>
              </w:rPr>
              <w:t>Arnulf Klett, Oberbürgermeister der Stadt Stuttgart 30.10.1948</w:t>
            </w:r>
          </w:p>
        </w:tc>
        <w:tc>
          <w:tcPr>
            <w:tcW w:w="3119" w:type="dxa"/>
          </w:tcPr>
          <w:p w:rsidR="00EE58A1" w:rsidRPr="007D6649" w:rsidRDefault="00EE58A1">
            <w:pPr>
              <w:rPr>
                <w:rFonts w:ascii="Arial" w:hAnsi="Arial" w:cs="Arial"/>
                <w:sz w:val="20"/>
                <w:szCs w:val="20"/>
              </w:rPr>
            </w:pPr>
          </w:p>
        </w:tc>
        <w:tc>
          <w:tcPr>
            <w:tcW w:w="3118" w:type="dxa"/>
          </w:tcPr>
          <w:p w:rsidR="00EE58A1" w:rsidRDefault="00EE58A1"/>
        </w:tc>
        <w:tc>
          <w:tcPr>
            <w:tcW w:w="2233" w:type="dxa"/>
          </w:tcPr>
          <w:p w:rsidR="00EE58A1" w:rsidRDefault="00EE58A1"/>
        </w:tc>
      </w:tr>
      <w:tr w:rsidR="00EE58A1" w:rsidTr="007D6649">
        <w:tc>
          <w:tcPr>
            <w:tcW w:w="5807" w:type="dxa"/>
          </w:tcPr>
          <w:p w:rsidR="007D6649" w:rsidRDefault="00736A84">
            <w:pPr>
              <w:rPr>
                <w:rFonts w:ascii="Arial" w:hAnsi="Arial" w:cs="Arial"/>
                <w:sz w:val="24"/>
                <w:szCs w:val="24"/>
              </w:rPr>
            </w:pPr>
            <w:r w:rsidRPr="007D6649">
              <w:rPr>
                <w:rFonts w:ascii="Arial" w:hAnsi="Arial" w:cs="Arial"/>
                <w:sz w:val="24"/>
                <w:szCs w:val="24"/>
              </w:rPr>
              <w:t>„</w:t>
            </w:r>
            <w:r w:rsidRPr="007D6649">
              <w:rPr>
                <w:rFonts w:ascii="Arial" w:hAnsi="Arial" w:cs="Arial"/>
                <w:i/>
                <w:sz w:val="24"/>
                <w:szCs w:val="24"/>
              </w:rPr>
              <w:t xml:space="preserve">Ein paar </w:t>
            </w:r>
            <w:proofErr w:type="spellStart"/>
            <w:r w:rsidRPr="007D6649">
              <w:rPr>
                <w:rFonts w:ascii="Arial" w:hAnsi="Arial" w:cs="Arial"/>
                <w:i/>
                <w:sz w:val="24"/>
                <w:szCs w:val="24"/>
              </w:rPr>
              <w:t>Krakeler</w:t>
            </w:r>
            <w:proofErr w:type="spellEnd"/>
            <w:r w:rsidRPr="007D6649">
              <w:rPr>
                <w:rFonts w:ascii="Arial" w:hAnsi="Arial" w:cs="Arial"/>
                <w:i/>
                <w:sz w:val="24"/>
                <w:szCs w:val="24"/>
              </w:rPr>
              <w:t xml:space="preserve"> und Lausbuben haben sich eine Gaudi gemacht</w:t>
            </w:r>
            <w:r w:rsidRPr="007D6649">
              <w:rPr>
                <w:rFonts w:ascii="Arial" w:hAnsi="Arial" w:cs="Arial"/>
                <w:sz w:val="24"/>
                <w:szCs w:val="24"/>
              </w:rPr>
              <w:t xml:space="preserve">“ </w:t>
            </w:r>
          </w:p>
          <w:p w:rsidR="00736A84" w:rsidRPr="007D6649" w:rsidRDefault="00736A84" w:rsidP="007D6649">
            <w:pPr>
              <w:rPr>
                <w:rFonts w:ascii="Arial" w:hAnsi="Arial" w:cs="Arial"/>
                <w:sz w:val="20"/>
                <w:szCs w:val="20"/>
              </w:rPr>
            </w:pPr>
            <w:r w:rsidRPr="007D6649">
              <w:rPr>
                <w:rFonts w:ascii="Arial" w:hAnsi="Arial" w:cs="Arial"/>
                <w:sz w:val="20"/>
                <w:szCs w:val="20"/>
              </w:rPr>
              <w:t>CDU-Landesvorsitzender Josef André 30.10.1948</w:t>
            </w:r>
          </w:p>
        </w:tc>
        <w:tc>
          <w:tcPr>
            <w:tcW w:w="3119" w:type="dxa"/>
          </w:tcPr>
          <w:p w:rsidR="00EE58A1" w:rsidRPr="007D6649" w:rsidRDefault="00EE58A1">
            <w:pPr>
              <w:rPr>
                <w:rFonts w:ascii="Arial" w:hAnsi="Arial" w:cs="Arial"/>
                <w:sz w:val="20"/>
                <w:szCs w:val="20"/>
              </w:rPr>
            </w:pPr>
          </w:p>
        </w:tc>
        <w:tc>
          <w:tcPr>
            <w:tcW w:w="3118" w:type="dxa"/>
          </w:tcPr>
          <w:p w:rsidR="00EE58A1" w:rsidRDefault="00EE58A1"/>
        </w:tc>
        <w:tc>
          <w:tcPr>
            <w:tcW w:w="2233" w:type="dxa"/>
          </w:tcPr>
          <w:p w:rsidR="00EE58A1" w:rsidRDefault="00EE58A1"/>
        </w:tc>
      </w:tr>
      <w:tr w:rsidR="00EE58A1" w:rsidTr="007D6649">
        <w:tc>
          <w:tcPr>
            <w:tcW w:w="5807" w:type="dxa"/>
          </w:tcPr>
          <w:p w:rsidR="00736A84" w:rsidRPr="007D6649" w:rsidRDefault="00736A84" w:rsidP="00736A84">
            <w:pPr>
              <w:rPr>
                <w:rFonts w:ascii="Arial" w:hAnsi="Arial" w:cs="Arial"/>
                <w:sz w:val="24"/>
                <w:szCs w:val="24"/>
              </w:rPr>
            </w:pPr>
            <w:r w:rsidRPr="007D6649">
              <w:rPr>
                <w:rFonts w:ascii="Arial" w:hAnsi="Arial" w:cs="Arial"/>
                <w:sz w:val="24"/>
                <w:szCs w:val="24"/>
              </w:rPr>
              <w:t>„</w:t>
            </w:r>
            <w:r w:rsidRPr="007D6649">
              <w:rPr>
                <w:rFonts w:ascii="Arial" w:hAnsi="Arial" w:cs="Arial"/>
                <w:i/>
                <w:sz w:val="24"/>
                <w:szCs w:val="24"/>
              </w:rPr>
              <w:t>Die Verantwortung für die Steinwürfe und die Scherben tragen nicht die Randalierer (…</w:t>
            </w:r>
            <w:proofErr w:type="gramStart"/>
            <w:r w:rsidRPr="007D6649">
              <w:rPr>
                <w:rFonts w:ascii="Arial" w:hAnsi="Arial" w:cs="Arial"/>
                <w:i/>
                <w:sz w:val="24"/>
                <w:szCs w:val="24"/>
              </w:rPr>
              <w:t>) .</w:t>
            </w:r>
            <w:proofErr w:type="gramEnd"/>
            <w:r w:rsidRPr="007D6649">
              <w:rPr>
                <w:rFonts w:ascii="Arial" w:hAnsi="Arial" w:cs="Arial"/>
                <w:i/>
                <w:sz w:val="24"/>
                <w:szCs w:val="24"/>
              </w:rPr>
              <w:t xml:space="preserve"> Man darf gewiss vermuten, dass der Text der Resolution im Voraus, im Bewusstsein der Bedeutung der Worte und auch ihrer Bedeutung für die Massen formuliert worden ist. Nachher, als die Scherben geklirrt hatten, wurde die Verantwortung abgelehnt</w:t>
            </w:r>
            <w:r w:rsidRPr="007D6649">
              <w:rPr>
                <w:rFonts w:ascii="Arial" w:hAnsi="Arial" w:cs="Arial"/>
                <w:sz w:val="24"/>
                <w:szCs w:val="24"/>
              </w:rPr>
              <w:t>.“</w:t>
            </w:r>
          </w:p>
          <w:p w:rsidR="00736A84" w:rsidRPr="007D6649" w:rsidRDefault="00736A84" w:rsidP="00736A84">
            <w:pPr>
              <w:rPr>
                <w:rFonts w:ascii="Arial" w:hAnsi="Arial" w:cs="Arial"/>
                <w:sz w:val="20"/>
                <w:szCs w:val="20"/>
              </w:rPr>
            </w:pPr>
            <w:r w:rsidRPr="007D6649">
              <w:rPr>
                <w:rFonts w:ascii="Arial" w:hAnsi="Arial" w:cs="Arial"/>
                <w:sz w:val="20"/>
                <w:szCs w:val="20"/>
              </w:rPr>
              <w:t xml:space="preserve">Aus: Die Wirtschaftszeitung (liberal) 1.11.1948 </w:t>
            </w:r>
          </w:p>
        </w:tc>
        <w:tc>
          <w:tcPr>
            <w:tcW w:w="3119" w:type="dxa"/>
          </w:tcPr>
          <w:p w:rsidR="00EE58A1" w:rsidRPr="007D6649" w:rsidRDefault="00EE58A1">
            <w:pPr>
              <w:rPr>
                <w:rFonts w:ascii="Arial" w:hAnsi="Arial" w:cs="Arial"/>
                <w:sz w:val="20"/>
                <w:szCs w:val="20"/>
              </w:rPr>
            </w:pPr>
          </w:p>
        </w:tc>
        <w:tc>
          <w:tcPr>
            <w:tcW w:w="3118" w:type="dxa"/>
          </w:tcPr>
          <w:p w:rsidR="00EE58A1" w:rsidRDefault="00EE58A1"/>
        </w:tc>
        <w:tc>
          <w:tcPr>
            <w:tcW w:w="2233" w:type="dxa"/>
          </w:tcPr>
          <w:p w:rsidR="00EE58A1" w:rsidRDefault="00EE58A1"/>
        </w:tc>
      </w:tr>
      <w:tr w:rsidR="007D6649" w:rsidTr="007D6649">
        <w:tc>
          <w:tcPr>
            <w:tcW w:w="5807" w:type="dxa"/>
          </w:tcPr>
          <w:p w:rsidR="007D6649" w:rsidRPr="007D6649" w:rsidRDefault="007D6649" w:rsidP="00736A84">
            <w:pPr>
              <w:rPr>
                <w:rFonts w:ascii="Arial" w:hAnsi="Arial" w:cs="Arial"/>
                <w:i/>
                <w:sz w:val="24"/>
                <w:szCs w:val="24"/>
              </w:rPr>
            </w:pPr>
            <w:r w:rsidRPr="007D6649">
              <w:rPr>
                <w:rFonts w:ascii="Arial" w:hAnsi="Arial" w:cs="Arial"/>
                <w:i/>
                <w:sz w:val="24"/>
                <w:szCs w:val="24"/>
              </w:rPr>
              <w:lastRenderedPageBreak/>
              <w:t>„So erkennt man, wie in den westlichen Zonen wieder wie nach 1918 der Weg zur vollen Wiederherstellung des Monopolkapitals beschritten wird, der z</w:t>
            </w:r>
            <w:r>
              <w:rPr>
                <w:rFonts w:ascii="Arial" w:hAnsi="Arial" w:cs="Arial"/>
                <w:i/>
                <w:sz w:val="24"/>
                <w:szCs w:val="24"/>
              </w:rPr>
              <w:t>ur völligen Entrechtung und Ver</w:t>
            </w:r>
            <w:r w:rsidRPr="007D6649">
              <w:rPr>
                <w:rFonts w:ascii="Arial" w:hAnsi="Arial" w:cs="Arial"/>
                <w:i/>
                <w:sz w:val="24"/>
                <w:szCs w:val="24"/>
              </w:rPr>
              <w:t xml:space="preserve">elendung der Werktätigen </w:t>
            </w:r>
            <w:r>
              <w:rPr>
                <w:rFonts w:ascii="Arial" w:hAnsi="Arial" w:cs="Arial"/>
                <w:i/>
                <w:sz w:val="24"/>
                <w:szCs w:val="24"/>
              </w:rPr>
              <w:t>führt.“</w:t>
            </w:r>
          </w:p>
          <w:p w:rsidR="007D6649" w:rsidRPr="007D6649" w:rsidRDefault="007D6649" w:rsidP="00736A84">
            <w:pPr>
              <w:rPr>
                <w:rFonts w:ascii="Arial" w:hAnsi="Arial" w:cs="Arial"/>
                <w:sz w:val="20"/>
                <w:szCs w:val="20"/>
              </w:rPr>
            </w:pPr>
            <w:r w:rsidRPr="007D6649">
              <w:rPr>
                <w:rFonts w:ascii="Arial" w:hAnsi="Arial" w:cs="Arial"/>
                <w:sz w:val="20"/>
                <w:szCs w:val="20"/>
              </w:rPr>
              <w:t>Zwickauer Freie Presse (SBZ), 30.10.1948</w:t>
            </w:r>
          </w:p>
        </w:tc>
        <w:tc>
          <w:tcPr>
            <w:tcW w:w="3119" w:type="dxa"/>
          </w:tcPr>
          <w:p w:rsidR="007D6649" w:rsidRPr="007D6649" w:rsidRDefault="007D6649">
            <w:pPr>
              <w:rPr>
                <w:rFonts w:ascii="Arial" w:hAnsi="Arial" w:cs="Arial"/>
                <w:sz w:val="20"/>
                <w:szCs w:val="20"/>
              </w:rPr>
            </w:pPr>
          </w:p>
        </w:tc>
        <w:tc>
          <w:tcPr>
            <w:tcW w:w="3118" w:type="dxa"/>
          </w:tcPr>
          <w:p w:rsidR="007D6649" w:rsidRDefault="007D6649"/>
        </w:tc>
        <w:tc>
          <w:tcPr>
            <w:tcW w:w="2233" w:type="dxa"/>
          </w:tcPr>
          <w:p w:rsidR="007D6649" w:rsidRDefault="007D6649"/>
        </w:tc>
      </w:tr>
      <w:tr w:rsidR="00EE58A1" w:rsidTr="007D6649">
        <w:tc>
          <w:tcPr>
            <w:tcW w:w="5807" w:type="dxa"/>
          </w:tcPr>
          <w:p w:rsidR="00EE58A1" w:rsidRPr="00B239B2" w:rsidRDefault="0028365A" w:rsidP="007D6649">
            <w:pPr>
              <w:autoSpaceDE w:val="0"/>
              <w:autoSpaceDN w:val="0"/>
              <w:adjustRightInd w:val="0"/>
              <w:jc w:val="both"/>
              <w:rPr>
                <w:rFonts w:ascii="Arial" w:hAnsi="Arial" w:cs="Arial"/>
              </w:rPr>
            </w:pPr>
            <w:r w:rsidRPr="00B239B2">
              <w:rPr>
                <w:rFonts w:ascii="Arial" w:hAnsi="Arial" w:cs="Arial"/>
              </w:rPr>
              <w:t>„Dieses harte und massive Vorgehen der Sicherheitskräfte ist sowohl als Zeichen von Nervosität wie auch als präventive Warnung zu interpretieren: Die OMGUS wie die deutschen Sicherheitsbehörden waren entschlossen, jegliche Artikulation von Protesten, die über Appelle hinausgingen, notfalls mit Waffengewalt</w:t>
            </w:r>
            <w:r w:rsidR="007D6649" w:rsidRPr="00B239B2">
              <w:rPr>
                <w:rFonts w:ascii="Arial" w:hAnsi="Arial" w:cs="Arial"/>
              </w:rPr>
              <w:t xml:space="preserve"> </w:t>
            </w:r>
            <w:r w:rsidRPr="00B239B2">
              <w:rPr>
                <w:rFonts w:ascii="Arial" w:hAnsi="Arial" w:cs="Arial"/>
              </w:rPr>
              <w:t>zu unterdrücken. Der Grund dafür ist nicht nur in der zugespitzten westdeutschen Situation zu sehen: Auf der ganzen Welt traten – aus Sicht der westlichen Politik – immer neue Krisenherde auf; in China etwa drohte in diesen Wochen der Sieg der kommunistischen Armee und in Frankreich wurde Militär gegen Streikende (zum großen Teil kommunistische Bergarbeiter) eingesetzt, die ihrerseits unter Einsatz von Dynamit Kohlegruben</w:t>
            </w:r>
            <w:r w:rsidR="007D6649" w:rsidRPr="00B239B2">
              <w:rPr>
                <w:rFonts w:ascii="Arial" w:hAnsi="Arial" w:cs="Arial"/>
              </w:rPr>
              <w:t xml:space="preserve"> </w:t>
            </w:r>
            <w:r w:rsidRPr="00B239B2">
              <w:rPr>
                <w:rFonts w:ascii="Arial" w:hAnsi="Arial" w:cs="Arial"/>
              </w:rPr>
              <w:t>fluteten. Deutschland war auf der Bühne der Weltpolitik und der sich anbahnenden Blockkonfrontation besonders hervorgehoben, ja vielleicht schon 1948 deren wichtigste</w:t>
            </w:r>
            <w:r w:rsidR="007D6649" w:rsidRPr="00B239B2">
              <w:rPr>
                <w:rFonts w:ascii="Arial" w:hAnsi="Arial" w:cs="Arial"/>
              </w:rPr>
              <w:t xml:space="preserve"> </w:t>
            </w:r>
            <w:r w:rsidRPr="00B239B2">
              <w:rPr>
                <w:rFonts w:ascii="Arial" w:hAnsi="Arial" w:cs="Arial"/>
              </w:rPr>
              <w:t>Arena. Hier sollten keine Unruhen unter Beteiligung der (für kommunistische Ideen anfälligen) Arbeiterbewegung zugelassen werden, welche die Manövrierfähigkeit der westlichen Alliierten hätten einschränken können</w:t>
            </w:r>
            <w:r w:rsidR="007D6649" w:rsidRPr="00B239B2">
              <w:rPr>
                <w:rFonts w:ascii="Arial" w:hAnsi="Arial" w:cs="Arial"/>
              </w:rPr>
              <w:t>“</w:t>
            </w:r>
            <w:r w:rsidRPr="00B239B2">
              <w:rPr>
                <w:rFonts w:ascii="Arial" w:hAnsi="Arial" w:cs="Arial"/>
              </w:rPr>
              <w:t>.</w:t>
            </w:r>
          </w:p>
          <w:p w:rsidR="00B239B2" w:rsidRPr="00B239B2" w:rsidRDefault="00B239B2" w:rsidP="00B239B2">
            <w:pPr>
              <w:autoSpaceDE w:val="0"/>
              <w:autoSpaceDN w:val="0"/>
              <w:adjustRightInd w:val="0"/>
              <w:rPr>
                <w:rFonts w:eastAsia="Times New Roman" w:cstheme="minorHAnsi"/>
                <w:sz w:val="20"/>
                <w:szCs w:val="20"/>
                <w:lang w:eastAsia="de-DE"/>
              </w:rPr>
            </w:pPr>
            <w:r w:rsidRPr="00B239B2">
              <w:rPr>
                <w:rFonts w:eastAsia="Times New Roman" w:cstheme="minorHAnsi"/>
                <w:sz w:val="20"/>
                <w:szCs w:val="20"/>
              </w:rPr>
              <w:t>Uwe Fuhrmann, Die Entstehung der „Sozialen Marktwirtschaft“ 1948/49. Eine historische Dispositivanalyse. UVK Verlagsgesellschaft, Konstanz und München 2017, S. 317</w:t>
            </w:r>
            <w:r w:rsidRPr="00B239B2">
              <w:rPr>
                <w:rFonts w:eastAsia="Times New Roman" w:cstheme="minorHAnsi"/>
                <w:sz w:val="20"/>
                <w:szCs w:val="20"/>
              </w:rPr>
              <w:br/>
              <w:t xml:space="preserve">© 2017 Narr Francke </w:t>
            </w:r>
            <w:proofErr w:type="spellStart"/>
            <w:r w:rsidRPr="00B239B2">
              <w:rPr>
                <w:rFonts w:eastAsia="Times New Roman" w:cstheme="minorHAnsi"/>
                <w:sz w:val="20"/>
                <w:szCs w:val="20"/>
              </w:rPr>
              <w:t>Attempto</w:t>
            </w:r>
            <w:proofErr w:type="spellEnd"/>
            <w:r w:rsidRPr="00B239B2">
              <w:rPr>
                <w:rFonts w:eastAsia="Times New Roman" w:cstheme="minorHAnsi"/>
                <w:sz w:val="20"/>
                <w:szCs w:val="20"/>
              </w:rPr>
              <w:t xml:space="preserve"> Verlag GmbH + Co. KG. </w:t>
            </w:r>
          </w:p>
          <w:p w:rsidR="00B239B2" w:rsidRPr="007D6649" w:rsidRDefault="00B239B2" w:rsidP="0028365A">
            <w:pPr>
              <w:autoSpaceDE w:val="0"/>
              <w:autoSpaceDN w:val="0"/>
              <w:adjustRightInd w:val="0"/>
              <w:rPr>
                <w:rFonts w:ascii="Arial" w:hAnsi="Arial" w:cs="Arial"/>
                <w:sz w:val="20"/>
                <w:szCs w:val="20"/>
              </w:rPr>
            </w:pPr>
          </w:p>
        </w:tc>
        <w:tc>
          <w:tcPr>
            <w:tcW w:w="3119" w:type="dxa"/>
          </w:tcPr>
          <w:p w:rsidR="00EE58A1" w:rsidRPr="007D6649" w:rsidRDefault="00EE58A1">
            <w:pPr>
              <w:rPr>
                <w:rFonts w:ascii="Arial" w:hAnsi="Arial" w:cs="Arial"/>
                <w:sz w:val="20"/>
                <w:szCs w:val="20"/>
              </w:rPr>
            </w:pPr>
          </w:p>
        </w:tc>
        <w:tc>
          <w:tcPr>
            <w:tcW w:w="3118" w:type="dxa"/>
          </w:tcPr>
          <w:p w:rsidR="00EE58A1" w:rsidRDefault="00EE58A1"/>
        </w:tc>
        <w:tc>
          <w:tcPr>
            <w:tcW w:w="2233" w:type="dxa"/>
          </w:tcPr>
          <w:p w:rsidR="00EE58A1" w:rsidRDefault="00EE58A1"/>
        </w:tc>
      </w:tr>
      <w:tr w:rsidR="00EE58A1" w:rsidTr="007D6649">
        <w:tc>
          <w:tcPr>
            <w:tcW w:w="5807" w:type="dxa"/>
          </w:tcPr>
          <w:p w:rsidR="00EE58A1" w:rsidRDefault="00EE58A1"/>
        </w:tc>
        <w:tc>
          <w:tcPr>
            <w:tcW w:w="3119" w:type="dxa"/>
          </w:tcPr>
          <w:p w:rsidR="00EE58A1" w:rsidRDefault="00EE58A1"/>
        </w:tc>
        <w:tc>
          <w:tcPr>
            <w:tcW w:w="3118" w:type="dxa"/>
          </w:tcPr>
          <w:p w:rsidR="00EE58A1" w:rsidRDefault="00EE58A1"/>
        </w:tc>
        <w:tc>
          <w:tcPr>
            <w:tcW w:w="2233" w:type="dxa"/>
          </w:tcPr>
          <w:p w:rsidR="00EE58A1" w:rsidRDefault="00EE58A1"/>
        </w:tc>
      </w:tr>
    </w:tbl>
    <w:p w:rsidR="00EE58A1" w:rsidRDefault="00EE58A1" w:rsidP="00B239B2">
      <w:bookmarkStart w:id="0" w:name="_GoBack"/>
      <w:bookmarkEnd w:id="0"/>
    </w:p>
    <w:sectPr w:rsidR="00EE58A1" w:rsidSect="00EE58A1">
      <w:headerReference w:type="default" r:id="rId6"/>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A7D" w:rsidRDefault="00322A7D" w:rsidP="00EE58A1">
      <w:pPr>
        <w:spacing w:after="0" w:line="240" w:lineRule="auto"/>
      </w:pPr>
      <w:r>
        <w:separator/>
      </w:r>
    </w:p>
  </w:endnote>
  <w:endnote w:type="continuationSeparator" w:id="0">
    <w:p w:rsidR="00322A7D" w:rsidRDefault="00322A7D" w:rsidP="00EE58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A7D" w:rsidRDefault="00322A7D" w:rsidP="00EE58A1">
      <w:pPr>
        <w:spacing w:after="0" w:line="240" w:lineRule="auto"/>
      </w:pPr>
      <w:r>
        <w:separator/>
      </w:r>
    </w:p>
  </w:footnote>
  <w:footnote w:type="continuationSeparator" w:id="0">
    <w:p w:rsidR="00322A7D" w:rsidRDefault="00322A7D" w:rsidP="00EE58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8A1" w:rsidRDefault="00EE58A1" w:rsidP="00EE58A1">
    <w:pPr>
      <w:spacing w:before="100" w:beforeAutospacing="1" w:after="100" w:afterAutospacing="1" w:line="240" w:lineRule="auto"/>
      <w:jc w:val="center"/>
      <w:outlineLvl w:val="0"/>
    </w:pPr>
    <w:r w:rsidRPr="00C56583">
      <w:rPr>
        <w:rFonts w:ascii="Times New Roman" w:eastAsia="Times New Roman" w:hAnsi="Times New Roman" w:cs="Times New Roman"/>
        <w:b/>
        <w:bCs/>
        <w:color w:val="A6A6A6" w:themeColor="background1" w:themeShade="A6"/>
        <w:kern w:val="36"/>
        <w:lang w:eastAsia="de-DE"/>
      </w:rPr>
      <w:t>Der Stuttgarter Tumult 1948: Kampf um Mitbestimmung und Soziale Marktwirtschaft</w:t>
    </w:r>
    <w:r>
      <w:rPr>
        <w:rFonts w:ascii="Times New Roman" w:eastAsia="Times New Roman" w:hAnsi="Times New Roman" w:cs="Times New Roman"/>
        <w:b/>
        <w:bCs/>
        <w:color w:val="A6A6A6" w:themeColor="background1" w:themeShade="A6"/>
        <w:kern w:val="36"/>
        <w:lang w:eastAsia="de-DE"/>
      </w:rPr>
      <w:br/>
    </w:r>
    <w:r>
      <w:rPr>
        <w:b/>
      </w:rPr>
      <w:t>Debatte um die Frage der Verantwortung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8A1"/>
    <w:rsid w:val="00085D64"/>
    <w:rsid w:val="0028365A"/>
    <w:rsid w:val="00322A7D"/>
    <w:rsid w:val="006B3156"/>
    <w:rsid w:val="00736A84"/>
    <w:rsid w:val="007D6649"/>
    <w:rsid w:val="007F008F"/>
    <w:rsid w:val="00B239B2"/>
    <w:rsid w:val="00E12C67"/>
    <w:rsid w:val="00EE58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06269"/>
  <w15:chartTrackingRefBased/>
  <w15:docId w15:val="{8395BF63-F127-46BA-A62F-482398F96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E58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E58A1"/>
  </w:style>
  <w:style w:type="paragraph" w:styleId="Fuzeile">
    <w:name w:val="footer"/>
    <w:basedOn w:val="Standard"/>
    <w:link w:val="FuzeileZchn"/>
    <w:uiPriority w:val="99"/>
    <w:unhideWhenUsed/>
    <w:rsid w:val="00EE58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E58A1"/>
  </w:style>
  <w:style w:type="table" w:styleId="Tabellenraster">
    <w:name w:val="Table Grid"/>
    <w:basedOn w:val="NormaleTabelle"/>
    <w:uiPriority w:val="39"/>
    <w:rsid w:val="00EE58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434</Words>
  <Characters>2739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HP Inc.</Company>
  <LinksUpToDate>false</LinksUpToDate>
  <CharactersWithSpaces>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Hoffmann</dc:creator>
  <cp:keywords/>
  <dc:description/>
  <cp:lastModifiedBy>Michael Hoffmann</cp:lastModifiedBy>
  <cp:revision>5</cp:revision>
  <dcterms:created xsi:type="dcterms:W3CDTF">2021-03-11T15:22:00Z</dcterms:created>
  <dcterms:modified xsi:type="dcterms:W3CDTF">2021-04-14T14:31:00Z</dcterms:modified>
</cp:coreProperties>
</file>