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D2B" w:rsidRPr="00623D2B" w:rsidRDefault="00D067AE" w:rsidP="00B4195B">
      <w:pPr>
        <w:pStyle w:val="berschrift2"/>
        <w:suppressLineNumbers/>
        <w:pBdr>
          <w:bottom w:val="single" w:sz="4" w:space="1" w:color="auto"/>
        </w:pBdr>
        <w:rPr>
          <w:i w:val="0"/>
        </w:rPr>
      </w:pPr>
      <w:r>
        <w:rPr>
          <w:i w:val="0"/>
        </w:rPr>
        <w:t>Haftbedingungen</w:t>
      </w:r>
    </w:p>
    <w:p w:rsidR="009A1406" w:rsidRDefault="00C82EDE" w:rsidP="00B4195B">
      <w:pPr>
        <w:suppressLineNumbers/>
        <w:rPr>
          <w:i/>
        </w:rPr>
      </w:pPr>
      <w:r w:rsidRPr="00C82EDE">
        <w:rPr>
          <w:i/>
        </w:rPr>
        <w:t xml:space="preserve">Aufgabe: </w:t>
      </w:r>
    </w:p>
    <w:p w:rsidR="00084A73" w:rsidRDefault="009A1406" w:rsidP="00B4195B">
      <w:pPr>
        <w:suppressLineNumbers/>
        <w:rPr>
          <w:i/>
        </w:rPr>
      </w:pPr>
      <w:r>
        <w:rPr>
          <w:i/>
        </w:rPr>
        <w:t xml:space="preserve">1. </w:t>
      </w:r>
      <w:r w:rsidR="008252A6">
        <w:rPr>
          <w:i/>
        </w:rPr>
        <w:t>Arbeite aus M 1-</w:t>
      </w:r>
      <w:r>
        <w:rPr>
          <w:i/>
        </w:rPr>
        <w:t>2</w:t>
      </w:r>
      <w:r w:rsidR="008252A6">
        <w:rPr>
          <w:i/>
        </w:rPr>
        <w:t xml:space="preserve"> heraus, wie</w:t>
      </w:r>
      <w:r w:rsidR="00D067AE">
        <w:rPr>
          <w:i/>
        </w:rPr>
        <w:t xml:space="preserve"> die Haftbedingungen i</w:t>
      </w:r>
      <w:r w:rsidR="00084A73">
        <w:rPr>
          <w:i/>
        </w:rPr>
        <w:t>m Lager</w:t>
      </w:r>
      <w:r w:rsidR="00D067AE">
        <w:rPr>
          <w:i/>
        </w:rPr>
        <w:t xml:space="preserve"> Oberer Kuhberg</w:t>
      </w:r>
      <w:r w:rsidR="008252A6">
        <w:rPr>
          <w:i/>
        </w:rPr>
        <w:t xml:space="preserve"> waren.</w:t>
      </w:r>
    </w:p>
    <w:p w:rsidR="009A1406" w:rsidRDefault="009A1406" w:rsidP="00B4195B">
      <w:pPr>
        <w:suppressLineNumbers/>
        <w:rPr>
          <w:i/>
        </w:rPr>
      </w:pPr>
      <w:r>
        <w:rPr>
          <w:i/>
        </w:rPr>
        <w:t xml:space="preserve">2. </w:t>
      </w:r>
      <w:r w:rsidRPr="009A1406">
        <w:rPr>
          <w:i/>
        </w:rPr>
        <w:t>Stelle die Widersprüche bezüglich der Häftlingsbehandlung zwischen den Berichten (M</w:t>
      </w:r>
      <w:r>
        <w:rPr>
          <w:i/>
        </w:rPr>
        <w:t xml:space="preserve"> </w:t>
      </w:r>
      <w:r w:rsidRPr="009A1406">
        <w:rPr>
          <w:i/>
        </w:rPr>
        <w:t>1–2) und der Lagerordnung (M</w:t>
      </w:r>
      <w:r>
        <w:rPr>
          <w:i/>
        </w:rPr>
        <w:t xml:space="preserve"> </w:t>
      </w:r>
      <w:r w:rsidRPr="009A1406">
        <w:rPr>
          <w:i/>
        </w:rPr>
        <w:t>3) dar</w:t>
      </w:r>
      <w:r>
        <w:rPr>
          <w:i/>
        </w:rPr>
        <w:t>.</w:t>
      </w:r>
    </w:p>
    <w:p w:rsidR="009A1406" w:rsidRDefault="009A1406" w:rsidP="00B4195B">
      <w:pPr>
        <w:suppressLineNumbers/>
        <w:rPr>
          <w:i/>
        </w:rPr>
      </w:pPr>
      <w:r>
        <w:rPr>
          <w:i/>
        </w:rPr>
        <w:t xml:space="preserve">3. </w:t>
      </w:r>
      <w:r w:rsidRPr="009A1406">
        <w:rPr>
          <w:i/>
        </w:rPr>
        <w:t>Überlege, wie dieser Widerspruch zu erklären ist.</w:t>
      </w:r>
    </w:p>
    <w:p w:rsidR="00084A73" w:rsidRDefault="00084A73" w:rsidP="00B4195B">
      <w:pPr>
        <w:suppressLineNumbers/>
        <w:rPr>
          <w:i/>
        </w:rPr>
      </w:pPr>
    </w:p>
    <w:p w:rsidR="00D067AE" w:rsidRPr="009A1406" w:rsidRDefault="00D067AE" w:rsidP="00B4195B">
      <w:pPr>
        <w:suppressLineNumbers/>
        <w:rPr>
          <w:b/>
          <w:bCs/>
          <w:i/>
          <w:iCs/>
        </w:rPr>
      </w:pPr>
      <w:r w:rsidRPr="009A1406">
        <w:rPr>
          <w:b/>
        </w:rPr>
        <w:t xml:space="preserve">M </w:t>
      </w:r>
      <w:r w:rsidR="00084A73" w:rsidRPr="009A1406">
        <w:rPr>
          <w:b/>
        </w:rPr>
        <w:t>1</w:t>
      </w:r>
      <w:r w:rsidRPr="009A1406">
        <w:rPr>
          <w:b/>
        </w:rPr>
        <w:t xml:space="preserve"> Julius </w:t>
      </w:r>
      <w:proofErr w:type="spellStart"/>
      <w:r w:rsidRPr="009A1406">
        <w:rPr>
          <w:b/>
        </w:rPr>
        <w:t>Schätzle</w:t>
      </w:r>
      <w:proofErr w:type="spellEnd"/>
      <w:r w:rsidRPr="009A1406">
        <w:rPr>
          <w:b/>
        </w:rPr>
        <w:t xml:space="preserve"> über die Ankunft am Oberen Kuhberg</w:t>
      </w:r>
    </w:p>
    <w:p w:rsidR="00D067AE" w:rsidRPr="009A1406" w:rsidRDefault="00D067AE" w:rsidP="00B4195B">
      <w:pPr>
        <w:pStyle w:val="berschrift2"/>
        <w:suppressLineNumbers/>
        <w:spacing w:before="0" w:after="0"/>
        <w:rPr>
          <w:rFonts w:eastAsiaTheme="minorHAnsi"/>
          <w:b w:val="0"/>
          <w:bCs w:val="0"/>
          <w:iCs w:val="0"/>
          <w:sz w:val="24"/>
          <w:szCs w:val="24"/>
        </w:rPr>
      </w:pPr>
      <w:r w:rsidRPr="009A1406">
        <w:rPr>
          <w:rFonts w:eastAsiaTheme="minorHAnsi"/>
          <w:b w:val="0"/>
          <w:bCs w:val="0"/>
          <w:iCs w:val="0"/>
          <w:sz w:val="24"/>
          <w:szCs w:val="24"/>
        </w:rPr>
        <w:t xml:space="preserve">Julius </w:t>
      </w:r>
      <w:proofErr w:type="spellStart"/>
      <w:r w:rsidRPr="009A1406">
        <w:rPr>
          <w:rFonts w:eastAsiaTheme="minorHAnsi"/>
          <w:b w:val="0"/>
          <w:bCs w:val="0"/>
          <w:iCs w:val="0"/>
          <w:sz w:val="24"/>
          <w:szCs w:val="24"/>
        </w:rPr>
        <w:t>Schätzle</w:t>
      </w:r>
      <w:proofErr w:type="spellEnd"/>
      <w:r w:rsidRPr="009A1406">
        <w:rPr>
          <w:rFonts w:eastAsiaTheme="minorHAnsi"/>
          <w:b w:val="0"/>
          <w:bCs w:val="0"/>
          <w:iCs w:val="0"/>
          <w:sz w:val="24"/>
          <w:szCs w:val="24"/>
        </w:rPr>
        <w:t xml:space="preserve"> war von Weihnachten 1933 bis </w:t>
      </w:r>
      <w:proofErr w:type="spellStart"/>
      <w:r w:rsidRPr="009A1406">
        <w:rPr>
          <w:rFonts w:eastAsiaTheme="minorHAnsi"/>
          <w:b w:val="0"/>
          <w:bCs w:val="0"/>
          <w:iCs w:val="0"/>
          <w:sz w:val="24"/>
          <w:szCs w:val="24"/>
        </w:rPr>
        <w:t>Pﬁngsten</w:t>
      </w:r>
      <w:proofErr w:type="spellEnd"/>
      <w:r w:rsidRPr="009A1406">
        <w:rPr>
          <w:rFonts w:eastAsiaTheme="minorHAnsi"/>
          <w:b w:val="0"/>
          <w:bCs w:val="0"/>
          <w:iCs w:val="0"/>
          <w:sz w:val="24"/>
          <w:szCs w:val="24"/>
        </w:rPr>
        <w:t xml:space="preserve"> 1934 Häftling im KZ Oberer Kuhberg. 1974 schilderte er im Rückblick die Eindrücke der Häftlinge bei der Ankunft:</w:t>
      </w:r>
    </w:p>
    <w:p w:rsidR="00D067AE" w:rsidRPr="009A1406" w:rsidRDefault="00D067AE" w:rsidP="00D067AE">
      <w:pPr>
        <w:pStyle w:val="berschrift2"/>
        <w:spacing w:before="0" w:after="0"/>
        <w:rPr>
          <w:rFonts w:eastAsiaTheme="minorHAnsi"/>
          <w:b w:val="0"/>
          <w:bCs w:val="0"/>
          <w:i w:val="0"/>
          <w:iCs w:val="0"/>
          <w:sz w:val="24"/>
          <w:szCs w:val="24"/>
        </w:rPr>
      </w:pPr>
      <w:r w:rsidRPr="009A1406">
        <w:rPr>
          <w:rFonts w:eastAsiaTheme="minorHAnsi"/>
          <w:b w:val="0"/>
          <w:bCs w:val="0"/>
          <w:i w:val="0"/>
          <w:iCs w:val="0"/>
          <w:sz w:val="24"/>
          <w:szCs w:val="24"/>
        </w:rPr>
        <w:t xml:space="preserve">Ende November 1933 wurden vom Konzentrationslager Heuberg die Häftlinge auf zwei offenen Lastwagen nach Ulm gebracht und vor dem Fort Oberer Kuhberg ausgeladen. Die angekommenen Häftlinge hatten weder Sinn noch Zeit für die schöne Aussicht auf das Donautal. Jeder stellte sich die Frage: Unter welchen Bedingungen werden wir weiter in Haft bleiben? Das verwilderte Fort mit seinem dicken Kommandoturm, den Mauern mit den schmalen Schießscharten wirkte düster und verhieß neues Unheil. Hier sollten Menschen überwintern? Die verschlossenen und verrosteten Eisentore konnten nur mühsam geöffnet werden. Ein </w:t>
      </w:r>
      <w:proofErr w:type="spellStart"/>
      <w:r w:rsidRPr="009A1406">
        <w:rPr>
          <w:rFonts w:eastAsiaTheme="minorHAnsi"/>
          <w:b w:val="0"/>
          <w:bCs w:val="0"/>
          <w:i w:val="0"/>
          <w:iCs w:val="0"/>
          <w:sz w:val="24"/>
          <w:szCs w:val="24"/>
        </w:rPr>
        <w:t>mufﬁger</w:t>
      </w:r>
      <w:proofErr w:type="spellEnd"/>
      <w:r w:rsidRPr="009A1406">
        <w:rPr>
          <w:rFonts w:eastAsiaTheme="minorHAnsi"/>
          <w:b w:val="0"/>
          <w:bCs w:val="0"/>
          <w:i w:val="0"/>
          <w:iCs w:val="0"/>
          <w:sz w:val="24"/>
          <w:szCs w:val="24"/>
        </w:rPr>
        <w:t xml:space="preserve">, feuchter Modergeruch drang aus den Tiefen der Kasematten. Die Stufen nach unten waren </w:t>
      </w:r>
      <w:proofErr w:type="spellStart"/>
      <w:r w:rsidRPr="009A1406">
        <w:rPr>
          <w:rFonts w:eastAsiaTheme="minorHAnsi"/>
          <w:b w:val="0"/>
          <w:bCs w:val="0"/>
          <w:i w:val="0"/>
          <w:iCs w:val="0"/>
          <w:sz w:val="24"/>
          <w:szCs w:val="24"/>
        </w:rPr>
        <w:t>naß</w:t>
      </w:r>
      <w:proofErr w:type="spellEnd"/>
      <w:r w:rsidRPr="009A1406">
        <w:rPr>
          <w:rFonts w:eastAsiaTheme="minorHAnsi"/>
          <w:b w:val="0"/>
          <w:bCs w:val="0"/>
          <w:i w:val="0"/>
          <w:iCs w:val="0"/>
          <w:sz w:val="24"/>
          <w:szCs w:val="24"/>
        </w:rPr>
        <w:t xml:space="preserve"> und glitschig, man spürte mit jedem Schritt, </w:t>
      </w:r>
      <w:proofErr w:type="spellStart"/>
      <w:r w:rsidRPr="009A1406">
        <w:rPr>
          <w:rFonts w:eastAsiaTheme="minorHAnsi"/>
          <w:b w:val="0"/>
          <w:bCs w:val="0"/>
          <w:i w:val="0"/>
          <w:iCs w:val="0"/>
          <w:sz w:val="24"/>
          <w:szCs w:val="24"/>
        </w:rPr>
        <w:t>daß</w:t>
      </w:r>
      <w:proofErr w:type="spellEnd"/>
      <w:r w:rsidRPr="009A1406">
        <w:rPr>
          <w:rFonts w:eastAsiaTheme="minorHAnsi"/>
          <w:b w:val="0"/>
          <w:bCs w:val="0"/>
          <w:i w:val="0"/>
          <w:iCs w:val="0"/>
          <w:sz w:val="24"/>
          <w:szCs w:val="24"/>
        </w:rPr>
        <w:t xml:space="preserve"> schon lange kein Mensch mehr diese Unterwelt betreten hatte. </w:t>
      </w:r>
      <w:r w:rsidR="00BC66BC" w:rsidRPr="009A1406">
        <w:rPr>
          <w:rFonts w:eastAsiaTheme="minorHAnsi"/>
          <w:b w:val="0"/>
          <w:bCs w:val="0"/>
          <w:i w:val="0"/>
          <w:iCs w:val="0"/>
          <w:sz w:val="24"/>
          <w:szCs w:val="24"/>
        </w:rPr>
        <w:br/>
      </w:r>
      <w:r w:rsidRPr="009A1406">
        <w:rPr>
          <w:rFonts w:eastAsiaTheme="minorHAnsi"/>
          <w:b w:val="0"/>
          <w:bCs w:val="0"/>
          <w:i w:val="0"/>
          <w:iCs w:val="0"/>
          <w:sz w:val="24"/>
          <w:szCs w:val="24"/>
        </w:rPr>
        <w:t xml:space="preserve">Mit dem üblichen Geschrei und mit Fußtritten wurden die Häftlinge in den düsteren Wehrgang hinuntergetrieben. Was sich hier auftat, </w:t>
      </w:r>
      <w:proofErr w:type="spellStart"/>
      <w:r w:rsidRPr="009A1406">
        <w:rPr>
          <w:rFonts w:eastAsiaTheme="minorHAnsi"/>
          <w:b w:val="0"/>
          <w:bCs w:val="0"/>
          <w:i w:val="0"/>
          <w:iCs w:val="0"/>
          <w:sz w:val="24"/>
          <w:szCs w:val="24"/>
        </w:rPr>
        <w:t>läßt</w:t>
      </w:r>
      <w:proofErr w:type="spellEnd"/>
      <w:r w:rsidRPr="009A1406">
        <w:rPr>
          <w:rFonts w:eastAsiaTheme="minorHAnsi"/>
          <w:b w:val="0"/>
          <w:bCs w:val="0"/>
          <w:i w:val="0"/>
          <w:iCs w:val="0"/>
          <w:sz w:val="24"/>
          <w:szCs w:val="24"/>
        </w:rPr>
        <w:t xml:space="preserve"> sich mit Worten kaum schildern. Der Laufgang ist 3,75 Meter hoch, und in regelmäßigen Abständen erweitert er sich zu Räumen von 3,75 mal 3,95 Meter. In diesen Räumen war jeweils eine Schießscharte von 65 mal 15 Zentimeter, die einen Schimmer von Tageslicht, aber auch Ratten, Mäusen und Fledermäusen </w:t>
      </w:r>
      <w:proofErr w:type="spellStart"/>
      <w:r w:rsidRPr="009A1406">
        <w:rPr>
          <w:rFonts w:eastAsiaTheme="minorHAnsi"/>
          <w:b w:val="0"/>
          <w:bCs w:val="0"/>
          <w:i w:val="0"/>
          <w:iCs w:val="0"/>
          <w:sz w:val="24"/>
          <w:szCs w:val="24"/>
        </w:rPr>
        <w:t>Einlaß</w:t>
      </w:r>
      <w:proofErr w:type="spellEnd"/>
      <w:r w:rsidRPr="009A1406">
        <w:rPr>
          <w:rFonts w:eastAsiaTheme="minorHAnsi"/>
          <w:b w:val="0"/>
          <w:bCs w:val="0"/>
          <w:i w:val="0"/>
          <w:iCs w:val="0"/>
          <w:sz w:val="24"/>
          <w:szCs w:val="24"/>
        </w:rPr>
        <w:t xml:space="preserve"> gewährte. In den Gewölben hingen ganze Trauben von Fledermäusen. Ununterbrochen tropfte es von den nackten Steinquadern. Der Lehmboden war aufgeweicht, schlüpfrig und mit Wasserlachen bedeckt. Die Häftlinge waren sich einig: Hier werden wir lebendig begraben. (...)</w:t>
      </w:r>
    </w:p>
    <w:p w:rsidR="00C86C9B" w:rsidRPr="00C86C9B" w:rsidRDefault="00C86C9B" w:rsidP="00B4195B">
      <w:pPr>
        <w:suppressLineNumbers/>
        <w:rPr>
          <w:sz w:val="18"/>
          <w:szCs w:val="18"/>
          <w:lang w:eastAsia="de-DE"/>
        </w:rPr>
      </w:pPr>
      <w:r w:rsidRPr="00C86C9B">
        <w:rPr>
          <w:sz w:val="18"/>
          <w:szCs w:val="18"/>
          <w:lang w:eastAsia="de-DE"/>
        </w:rPr>
        <w:t xml:space="preserve">(aus: Julius </w:t>
      </w:r>
      <w:proofErr w:type="spellStart"/>
      <w:r w:rsidRPr="00C86C9B">
        <w:rPr>
          <w:sz w:val="18"/>
          <w:szCs w:val="18"/>
          <w:lang w:eastAsia="de-DE"/>
        </w:rPr>
        <w:t>Schätzle</w:t>
      </w:r>
      <w:proofErr w:type="spellEnd"/>
      <w:r w:rsidRPr="00C86C9B">
        <w:rPr>
          <w:sz w:val="18"/>
          <w:szCs w:val="18"/>
          <w:lang w:eastAsia="de-DE"/>
        </w:rPr>
        <w:t>: Stationen zur Hölle. Konzentrationslager in Baden und Württemberg 1933-1945, 2. Auflage, Frankfurt/Main 1980, S. 29)</w:t>
      </w:r>
    </w:p>
    <w:p w:rsidR="00D067AE" w:rsidRDefault="00D067AE" w:rsidP="00B4195B">
      <w:pPr>
        <w:suppressLineNumbers/>
        <w:rPr>
          <w:lang w:eastAsia="de-DE"/>
        </w:rPr>
      </w:pPr>
    </w:p>
    <w:p w:rsidR="009A1406" w:rsidRDefault="009A1406" w:rsidP="00B4195B">
      <w:pPr>
        <w:suppressLineNumbers/>
        <w:rPr>
          <w:b/>
          <w:lang w:eastAsia="de-DE"/>
        </w:rPr>
      </w:pPr>
      <w:r>
        <w:rPr>
          <w:b/>
          <w:lang w:eastAsia="de-DE"/>
        </w:rPr>
        <w:br w:type="page"/>
      </w:r>
      <w:bookmarkStart w:id="0" w:name="_GoBack"/>
      <w:bookmarkEnd w:id="0"/>
    </w:p>
    <w:p w:rsidR="00D067AE" w:rsidRDefault="00D067AE" w:rsidP="00B4195B">
      <w:pPr>
        <w:suppressLineNumbers/>
        <w:rPr>
          <w:b/>
          <w:lang w:eastAsia="de-DE"/>
        </w:rPr>
      </w:pPr>
      <w:r w:rsidRPr="00C86C9B">
        <w:rPr>
          <w:b/>
          <w:lang w:eastAsia="de-DE"/>
        </w:rPr>
        <w:lastRenderedPageBreak/>
        <w:t xml:space="preserve">M </w:t>
      </w:r>
      <w:r w:rsidR="009A1406">
        <w:rPr>
          <w:b/>
          <w:lang w:eastAsia="de-DE"/>
        </w:rPr>
        <w:t>2</w:t>
      </w:r>
      <w:r w:rsidRPr="00C86C9B">
        <w:rPr>
          <w:b/>
          <w:lang w:eastAsia="de-DE"/>
        </w:rPr>
        <w:t xml:space="preserve"> Menschenfalle Kuhberg</w:t>
      </w:r>
    </w:p>
    <w:p w:rsidR="00C86C9B" w:rsidRPr="00C86C9B" w:rsidRDefault="00C86C9B" w:rsidP="00B4195B">
      <w:pPr>
        <w:suppressLineNumbers/>
        <w:rPr>
          <w:b/>
          <w:lang w:eastAsia="de-DE"/>
        </w:rPr>
      </w:pPr>
      <w:r>
        <w:rPr>
          <w:b/>
          <w:lang w:eastAsia="de-DE"/>
        </w:rPr>
        <w:t>Zeitungsartikel des „Tribunal“, Juli 1935</w:t>
      </w:r>
    </w:p>
    <w:p w:rsidR="0006668B" w:rsidRPr="008778F8" w:rsidRDefault="0096764A" w:rsidP="00B4195B">
      <w:pPr>
        <w:suppressLineNumbers/>
        <w:rPr>
          <w:i/>
          <w:lang w:eastAsia="de-DE"/>
        </w:rPr>
      </w:pPr>
      <w:r>
        <w:rPr>
          <w:i/>
          <w:lang w:eastAsia="de-DE"/>
        </w:rPr>
        <w:t xml:space="preserve">Die Zeitschrift </w:t>
      </w:r>
      <w:r w:rsidR="0006668B" w:rsidRPr="0096764A">
        <w:rPr>
          <w:lang w:eastAsia="de-DE"/>
        </w:rPr>
        <w:t>Tribunal. Organ der Werktätigen gegen Unterdrückung, Faschismus, Justizterror</w:t>
      </w:r>
      <w:r w:rsidR="0006668B" w:rsidRPr="008778F8">
        <w:rPr>
          <w:i/>
          <w:lang w:eastAsia="de-DE"/>
        </w:rPr>
        <w:t xml:space="preserve"> wurde illegal von der Roten Hilfe Deutschlands herausgegeben. Die „Rote Hilfe </w:t>
      </w:r>
      <w:r w:rsidR="00734920" w:rsidRPr="008778F8">
        <w:rPr>
          <w:i/>
          <w:lang w:eastAsia="de-DE"/>
        </w:rPr>
        <w:t>Deutschlands</w:t>
      </w:r>
      <w:r w:rsidR="0006668B" w:rsidRPr="008778F8">
        <w:rPr>
          <w:i/>
          <w:lang w:eastAsia="de-DE"/>
        </w:rPr>
        <w:t>“ stand der KPD nahe und bestand von 1924-1936.</w:t>
      </w:r>
    </w:p>
    <w:p w:rsidR="00D067AE" w:rsidRDefault="00D067AE" w:rsidP="00B4195B">
      <w:pPr>
        <w:suppressLineNumbers/>
        <w:rPr>
          <w:lang w:eastAsia="de-DE"/>
        </w:rPr>
      </w:pPr>
    </w:p>
    <w:p w:rsidR="00D067AE" w:rsidRDefault="00C86C9B" w:rsidP="00B4195B">
      <w:pPr>
        <w:suppressLineNumbers/>
        <w:rPr>
          <w:lang w:eastAsia="de-DE"/>
        </w:rPr>
      </w:pPr>
      <w:r>
        <w:rPr>
          <w:noProof/>
          <w:lang w:eastAsia="de-DE"/>
        </w:rPr>
        <w:drawing>
          <wp:inline distT="0" distB="0" distL="0" distR="0">
            <wp:extent cx="6688202" cy="7461956"/>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6698034" cy="7472925"/>
                    </a:xfrm>
                    <a:prstGeom prst="rect">
                      <a:avLst/>
                    </a:prstGeom>
                  </pic:spPr>
                </pic:pic>
              </a:graphicData>
            </a:graphic>
          </wp:inline>
        </w:drawing>
      </w:r>
    </w:p>
    <w:p w:rsidR="00C86C9B" w:rsidRDefault="00C86C9B" w:rsidP="00B4195B">
      <w:pPr>
        <w:suppressLineNumbers/>
        <w:rPr>
          <w:lang w:eastAsia="de-DE"/>
        </w:rPr>
      </w:pPr>
    </w:p>
    <w:p w:rsidR="00C86C9B" w:rsidRDefault="00C86C9B" w:rsidP="00B4195B">
      <w:pPr>
        <w:suppressLineNumbers/>
        <w:rPr>
          <w:sz w:val="18"/>
          <w:szCs w:val="18"/>
          <w:lang w:eastAsia="de-DE"/>
        </w:rPr>
      </w:pPr>
      <w:r w:rsidRPr="00C86C9B">
        <w:rPr>
          <w:sz w:val="18"/>
          <w:szCs w:val="18"/>
          <w:lang w:eastAsia="de-DE"/>
        </w:rPr>
        <w:t xml:space="preserve">(aus: Tribunal. Organ der Werktätigen gegen Unterdrückung, Faschismus, Justizterror, </w:t>
      </w:r>
      <w:proofErr w:type="spellStart"/>
      <w:r w:rsidRPr="00C86C9B">
        <w:rPr>
          <w:sz w:val="18"/>
          <w:szCs w:val="18"/>
          <w:lang w:eastAsia="de-DE"/>
        </w:rPr>
        <w:t>hg</w:t>
      </w:r>
      <w:proofErr w:type="spellEnd"/>
      <w:r w:rsidRPr="00C86C9B">
        <w:rPr>
          <w:sz w:val="18"/>
          <w:szCs w:val="18"/>
          <w:lang w:eastAsia="de-DE"/>
        </w:rPr>
        <w:t>. von der Roten Hilfe Deutschlands, Juli 1935, S. 5)</w:t>
      </w:r>
    </w:p>
    <w:p w:rsidR="009A1406" w:rsidRDefault="009A1406" w:rsidP="00B4195B">
      <w:pPr>
        <w:suppressLineNumbers/>
        <w:rPr>
          <w:sz w:val="18"/>
          <w:szCs w:val="18"/>
          <w:lang w:eastAsia="de-DE"/>
        </w:rPr>
      </w:pPr>
    </w:p>
    <w:p w:rsidR="009A1406" w:rsidRDefault="009A1406" w:rsidP="00B4195B">
      <w:pPr>
        <w:suppressLineNumbers/>
        <w:rPr>
          <w:sz w:val="18"/>
          <w:szCs w:val="18"/>
          <w:lang w:eastAsia="de-DE"/>
        </w:rPr>
      </w:pPr>
    </w:p>
    <w:p w:rsidR="009A1406" w:rsidRDefault="009A1406" w:rsidP="00B4195B">
      <w:pPr>
        <w:suppressLineNumbers/>
        <w:rPr>
          <w:b/>
        </w:rPr>
      </w:pPr>
      <w:r>
        <w:rPr>
          <w:b/>
        </w:rPr>
        <w:t>M 3</w:t>
      </w:r>
      <w:r w:rsidRPr="00C82EDE">
        <w:rPr>
          <w:b/>
        </w:rPr>
        <w:t xml:space="preserve"> </w:t>
      </w:r>
      <w:r w:rsidRPr="00D067AE">
        <w:rPr>
          <w:b/>
        </w:rPr>
        <w:t>Die Lagerordnung des Schutzhaftlagers Heuberg</w:t>
      </w:r>
      <w:r>
        <w:rPr>
          <w:rStyle w:val="Funotenzeichen"/>
          <w:b/>
        </w:rPr>
        <w:footnoteReference w:id="1"/>
      </w:r>
    </w:p>
    <w:p w:rsidR="009A1406" w:rsidRDefault="009A1406" w:rsidP="00B4195B">
      <w:pPr>
        <w:suppressLineNumbers/>
        <w:rPr>
          <w:sz w:val="18"/>
          <w:szCs w:val="18"/>
          <w:lang w:eastAsia="de-DE"/>
        </w:rPr>
      </w:pPr>
    </w:p>
    <w:p w:rsidR="009A1406" w:rsidRDefault="009A1406" w:rsidP="00B4195B">
      <w:pPr>
        <w:suppressLineNumbers/>
      </w:pPr>
      <w:r>
        <w:rPr>
          <w:noProof/>
          <w:lang w:eastAsia="de-DE"/>
        </w:rPr>
        <w:drawing>
          <wp:inline distT="0" distB="0" distL="0" distR="0">
            <wp:extent cx="6177581" cy="4343400"/>
            <wp:effectExtent l="0" t="0" r="0"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4391" cy="4369281"/>
                    </a:xfrm>
                    <a:prstGeom prst="rect">
                      <a:avLst/>
                    </a:prstGeom>
                    <a:noFill/>
                    <a:ln>
                      <a:noFill/>
                    </a:ln>
                  </pic:spPr>
                </pic:pic>
              </a:graphicData>
            </a:graphic>
          </wp:inline>
        </w:drawing>
      </w:r>
    </w:p>
    <w:p w:rsidR="009A1406" w:rsidRDefault="009A1406" w:rsidP="00C90BBE">
      <w:pPr>
        <w:suppressLineNumbers/>
      </w:pPr>
      <w:r>
        <w:rPr>
          <w:noProof/>
          <w:lang w:eastAsia="de-DE"/>
        </w:rPr>
        <w:drawing>
          <wp:inline distT="0" distB="0" distL="0" distR="0">
            <wp:extent cx="5992494" cy="1143000"/>
            <wp:effectExtent l="0" t="0" r="8890" b="0"/>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69034" cy="1176673"/>
                    </a:xfrm>
                    <a:prstGeom prst="rect">
                      <a:avLst/>
                    </a:prstGeom>
                    <a:noFill/>
                    <a:ln>
                      <a:noFill/>
                    </a:ln>
                  </pic:spPr>
                </pic:pic>
              </a:graphicData>
            </a:graphic>
          </wp:inline>
        </w:drawing>
      </w:r>
    </w:p>
    <w:p w:rsidR="009A1406" w:rsidRDefault="009A1406" w:rsidP="00C90BBE">
      <w:pPr>
        <w:suppressLineNumbers/>
        <w:rPr>
          <w:sz w:val="18"/>
          <w:szCs w:val="18"/>
          <w:lang w:eastAsia="de-DE"/>
        </w:rPr>
      </w:pPr>
    </w:p>
    <w:p w:rsidR="00C90BBE" w:rsidRPr="00991394" w:rsidRDefault="00C90BBE" w:rsidP="00C90BBE">
      <w:pPr>
        <w:suppressLineNumbers/>
      </w:pPr>
      <w:r w:rsidRPr="00991394">
        <w:t>Stadtarchiv Tübingen, E 104/55</w:t>
      </w:r>
    </w:p>
    <w:p w:rsidR="00C90BBE" w:rsidRPr="00C86C9B" w:rsidRDefault="00C90BBE" w:rsidP="00C90BBE">
      <w:pPr>
        <w:suppressLineNumbers/>
        <w:rPr>
          <w:sz w:val="18"/>
          <w:szCs w:val="18"/>
          <w:lang w:eastAsia="de-DE"/>
        </w:rPr>
      </w:pPr>
    </w:p>
    <w:sectPr w:rsidR="00C90BBE" w:rsidRPr="00C86C9B" w:rsidSect="00B4195B">
      <w:footerReference w:type="default" r:id="rId10"/>
      <w:pgSz w:w="11906" w:h="16838"/>
      <w:pgMar w:top="1077" w:right="1021" w:bottom="1077" w:left="1021"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10A" w:rsidRDefault="0005110A" w:rsidP="00D067AE">
      <w:r>
        <w:separator/>
      </w:r>
    </w:p>
  </w:endnote>
  <w:endnote w:type="continuationSeparator" w:id="0">
    <w:p w:rsidR="0005110A" w:rsidRDefault="0005110A" w:rsidP="00D0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51" w:rsidRDefault="00EA4851" w:rsidP="00EA4851">
    <w:pPr>
      <w:pStyle w:val="Fuzeile"/>
      <w:jc w:val="right"/>
    </w:pPr>
    <w:r w:rsidRPr="00EA4851">
      <w:t>Arbeitskreis für Landeskunde/Landesgeschichte RP Tübingen – www.landeskunde-bw.de</w:t>
    </w:r>
  </w:p>
  <w:p w:rsidR="00EA4851" w:rsidRDefault="00EA48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10A" w:rsidRDefault="0005110A" w:rsidP="00D067AE">
      <w:r>
        <w:separator/>
      </w:r>
    </w:p>
  </w:footnote>
  <w:footnote w:type="continuationSeparator" w:id="0">
    <w:p w:rsidR="0005110A" w:rsidRDefault="0005110A" w:rsidP="00D067AE">
      <w:r>
        <w:continuationSeparator/>
      </w:r>
    </w:p>
  </w:footnote>
  <w:footnote w:id="1">
    <w:p w:rsidR="009A1406" w:rsidRPr="00D067AE" w:rsidRDefault="009A1406" w:rsidP="009A1406">
      <w:pPr>
        <w:pStyle w:val="Funotentext"/>
        <w:jc w:val="both"/>
        <w:rPr>
          <w:rFonts w:ascii="Arial" w:hAnsi="Arial" w:cs="Arial"/>
        </w:rPr>
      </w:pPr>
      <w:r w:rsidRPr="00D067AE">
        <w:rPr>
          <w:rStyle w:val="Funotenzeichen"/>
          <w:rFonts w:ascii="Arial" w:hAnsi="Arial" w:cs="Arial"/>
        </w:rPr>
        <w:footnoteRef/>
      </w:r>
      <w:r w:rsidRPr="00D067AE">
        <w:rPr>
          <w:rFonts w:ascii="Arial" w:hAnsi="Arial" w:cs="Arial"/>
        </w:rPr>
        <w:t xml:space="preserve"> Das Schutzhaftlager Heuberg wurde im November 1933 in das Fort Oberer Kuhberg, das Teil der Ulmer Bundesfestung ist, verlegt. Es wird angenommen, dass die Lagerordnung des Heuberg auch für das Lager auf dem Oberen Kuhberg gelten sollte und dort dann stark aufgeweicht wurde. So z.B. Lechner, S. (2001). Das Konzentrationslager Oberer Kuhberg. In W. Benz (Ed.), </w:t>
      </w:r>
      <w:r w:rsidRPr="00717FE9">
        <w:rPr>
          <w:rFonts w:ascii="Arial" w:hAnsi="Arial" w:cs="Arial"/>
          <w:i/>
        </w:rPr>
        <w:t>Terror ohne System: die ersten Konzentrationslager im Nationalsozialismus 1933 - 1935</w:t>
      </w:r>
      <w:r w:rsidRPr="00D067AE">
        <w:rPr>
          <w:rFonts w:ascii="Arial" w:hAnsi="Arial" w:cs="Arial"/>
        </w:rPr>
        <w:t xml:space="preserve"> (Vol.1, pp. 79 - 103). Berlin: Metropol. Hier S. 86.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623D2B"/>
    <w:rsid w:val="0005110A"/>
    <w:rsid w:val="0005260D"/>
    <w:rsid w:val="0006668B"/>
    <w:rsid w:val="00084A73"/>
    <w:rsid w:val="001770C5"/>
    <w:rsid w:val="001D2531"/>
    <w:rsid w:val="002220F5"/>
    <w:rsid w:val="00270570"/>
    <w:rsid w:val="00303F65"/>
    <w:rsid w:val="00312557"/>
    <w:rsid w:val="003361B2"/>
    <w:rsid w:val="00397009"/>
    <w:rsid w:val="004E3595"/>
    <w:rsid w:val="00557BA9"/>
    <w:rsid w:val="005C2C2B"/>
    <w:rsid w:val="00623D2B"/>
    <w:rsid w:val="006418D8"/>
    <w:rsid w:val="006C2946"/>
    <w:rsid w:val="00734920"/>
    <w:rsid w:val="007669F5"/>
    <w:rsid w:val="008252A6"/>
    <w:rsid w:val="0096764A"/>
    <w:rsid w:val="009A1406"/>
    <w:rsid w:val="00A26BA1"/>
    <w:rsid w:val="00A96583"/>
    <w:rsid w:val="00AE1F93"/>
    <w:rsid w:val="00B4195B"/>
    <w:rsid w:val="00B67029"/>
    <w:rsid w:val="00BC66BC"/>
    <w:rsid w:val="00BE1359"/>
    <w:rsid w:val="00C03D14"/>
    <w:rsid w:val="00C82EDE"/>
    <w:rsid w:val="00C86C9B"/>
    <w:rsid w:val="00C90BBE"/>
    <w:rsid w:val="00C90FA2"/>
    <w:rsid w:val="00C9328E"/>
    <w:rsid w:val="00C976B7"/>
    <w:rsid w:val="00CA2A0E"/>
    <w:rsid w:val="00D067AE"/>
    <w:rsid w:val="00D7620E"/>
    <w:rsid w:val="00D9796E"/>
    <w:rsid w:val="00E91F53"/>
    <w:rsid w:val="00EA48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8A7494-93B8-4D3F-801D-E356685B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raster">
    <w:name w:val="Table Grid"/>
    <w:basedOn w:val="NormaleTabelle"/>
    <w:uiPriority w:val="59"/>
    <w:rsid w:val="00623D2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rsid w:val="00D067AE"/>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D067AE"/>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rsid w:val="00D067AE"/>
    <w:rPr>
      <w:vertAlign w:val="superscript"/>
    </w:rPr>
  </w:style>
  <w:style w:type="paragraph" w:styleId="Sprechblasentext">
    <w:name w:val="Balloon Text"/>
    <w:basedOn w:val="Standard"/>
    <w:link w:val="SprechblasentextZchn"/>
    <w:uiPriority w:val="99"/>
    <w:semiHidden/>
    <w:unhideWhenUsed/>
    <w:rsid w:val="00BC66B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C66BC"/>
    <w:rPr>
      <w:rFonts w:ascii="Tahoma" w:hAnsi="Tahoma" w:cs="Tahoma"/>
      <w:sz w:val="16"/>
      <w:szCs w:val="16"/>
    </w:rPr>
  </w:style>
  <w:style w:type="character" w:styleId="Zeilennummer">
    <w:name w:val="line number"/>
    <w:basedOn w:val="Absatz-Standardschriftart"/>
    <w:uiPriority w:val="99"/>
    <w:semiHidden/>
    <w:unhideWhenUsed/>
    <w:rsid w:val="00B4195B"/>
  </w:style>
  <w:style w:type="paragraph" w:styleId="Fuzeile">
    <w:name w:val="footer"/>
    <w:basedOn w:val="Standard"/>
    <w:link w:val="FuzeileZchn"/>
    <w:uiPriority w:val="99"/>
    <w:unhideWhenUsed/>
    <w:rsid w:val="00EA4851"/>
    <w:pPr>
      <w:tabs>
        <w:tab w:val="center" w:pos="4536"/>
        <w:tab w:val="right" w:pos="9072"/>
      </w:tabs>
    </w:pPr>
  </w:style>
  <w:style w:type="character" w:customStyle="1" w:styleId="FuzeileZchn">
    <w:name w:val="Fußzeile Zchn"/>
    <w:basedOn w:val="Absatz-Standardschriftart"/>
    <w:link w:val="Fuzeile"/>
    <w:uiPriority w:val="99"/>
    <w:rsid w:val="00EA4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A53A8-FD42-4119-B7D9-F1ADF55EB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371</Words>
  <Characters>2342</Characters>
  <Application>Microsoft Office Word</Application>
  <DocSecurity>0</DocSecurity>
  <Lines>19</Lines>
  <Paragraphs>5</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    Haftbedingungen</vt:lpstr>
      <vt:lpstr>    M 2 Julius Schätzle über die Ankunft am Oberen Kuhberg</vt:lpstr>
      <vt:lpstr>    Julius Schätzle war von Weihnachten 1933 bis Pﬁngsten 1934 Häftling im KZ Oberer</vt:lpstr>
      <vt:lpstr>    Ende November 1933 wurden vom Konzentrationslager Heuberg die Häftlinge auf zwei</vt:lpstr>
      <vt:lpstr>    Mit dem üblichen Geschrei und mit Fußtritten wurden die Häftlinge in den düstere</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13</cp:revision>
  <dcterms:created xsi:type="dcterms:W3CDTF">2017-01-13T12:46:00Z</dcterms:created>
  <dcterms:modified xsi:type="dcterms:W3CDTF">2017-04-28T11:51:00Z</dcterms:modified>
</cp:coreProperties>
</file>