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3D2B" w:rsidRPr="00623D2B" w:rsidRDefault="00E472F8" w:rsidP="008D517D">
      <w:pPr>
        <w:pStyle w:val="berschrift2"/>
        <w:keepNext w:val="0"/>
        <w:suppressLineNumbers/>
        <w:pBdr>
          <w:bottom w:val="single" w:sz="4" w:space="1" w:color="auto"/>
        </w:pBdr>
        <w:spacing w:before="0" w:after="0"/>
        <w:rPr>
          <w:i w:val="0"/>
        </w:rPr>
      </w:pPr>
      <w:r>
        <w:rPr>
          <w:i w:val="0"/>
        </w:rPr>
        <w:t>Haftgründe</w:t>
      </w:r>
    </w:p>
    <w:p w:rsidR="00C82EDE" w:rsidRDefault="00C82EDE" w:rsidP="008D517D">
      <w:pPr>
        <w:suppressLineNumbers/>
        <w:rPr>
          <w:i/>
        </w:rPr>
      </w:pPr>
      <w:r w:rsidRPr="00C82EDE">
        <w:rPr>
          <w:i/>
        </w:rPr>
        <w:t xml:space="preserve">Aufgabe: </w:t>
      </w:r>
      <w:r w:rsidR="00E472F8">
        <w:rPr>
          <w:i/>
        </w:rPr>
        <w:t>Untersuche</w:t>
      </w:r>
      <w:r w:rsidR="00AE185B">
        <w:rPr>
          <w:i/>
        </w:rPr>
        <w:t xml:space="preserve"> M 1-M 3</w:t>
      </w:r>
      <w:r w:rsidR="00E472F8">
        <w:rPr>
          <w:i/>
        </w:rPr>
        <w:t>, mit welchen Begründungen Verhaftungen vorgenommen wurden.</w:t>
      </w:r>
    </w:p>
    <w:p w:rsidR="00C82EDE" w:rsidRDefault="00C82EDE" w:rsidP="008D517D">
      <w:pPr>
        <w:suppressLineNumbers/>
        <w:rPr>
          <w:i/>
          <w:sz w:val="18"/>
          <w:szCs w:val="18"/>
        </w:rPr>
      </w:pPr>
    </w:p>
    <w:p w:rsidR="00E472F8" w:rsidRPr="00E472F8" w:rsidRDefault="00E472F8" w:rsidP="008D517D">
      <w:pPr>
        <w:suppressLineNumbers/>
        <w:rPr>
          <w:b/>
        </w:rPr>
      </w:pPr>
      <w:r w:rsidRPr="00E472F8">
        <w:rPr>
          <w:b/>
        </w:rPr>
        <w:t>M 1 Haftbefehl gegen Otto Schenk</w:t>
      </w:r>
    </w:p>
    <w:p w:rsidR="00E472F8" w:rsidRPr="00D27F8D" w:rsidRDefault="00E472F8" w:rsidP="008D517D">
      <w:pPr>
        <w:suppressLineNumbers/>
        <w:rPr>
          <w:b/>
        </w:rPr>
      </w:pPr>
      <w:r>
        <w:rPr>
          <w:b/>
          <w:noProof/>
          <w:lang w:eastAsia="de-DE"/>
        </w:rPr>
        <w:drawing>
          <wp:inline distT="0" distB="0" distL="0" distR="0">
            <wp:extent cx="3804356" cy="5229398"/>
            <wp:effectExtent l="0" t="0" r="5715" b="952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7a_Schutzhaftbefehl Schenk 1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6364" cy="5245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de-DE"/>
        </w:rPr>
        <w:drawing>
          <wp:inline distT="0" distB="0" distL="0" distR="0">
            <wp:extent cx="3859921" cy="5305778"/>
            <wp:effectExtent l="0" t="0" r="762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a_Schutzhaftbefehl Schenk 2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7946" cy="533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7F8D" w:rsidRPr="00BD52EC">
        <w:t>DZOK-A: RI/83</w:t>
      </w:r>
    </w:p>
    <w:p w:rsidR="00E472F8" w:rsidRDefault="00E472F8" w:rsidP="008D517D">
      <w:pPr>
        <w:suppressLineNumbers/>
        <w:rPr>
          <w:b/>
        </w:rPr>
      </w:pPr>
    </w:p>
    <w:p w:rsidR="00E472F8" w:rsidRDefault="00623D2B" w:rsidP="008D517D">
      <w:pPr>
        <w:suppressLineNumbers/>
        <w:rPr>
          <w:b/>
        </w:rPr>
      </w:pPr>
      <w:r w:rsidRPr="00C82EDE">
        <w:rPr>
          <w:b/>
        </w:rPr>
        <w:t xml:space="preserve">M </w:t>
      </w:r>
      <w:r w:rsidR="00E472F8">
        <w:rPr>
          <w:b/>
        </w:rPr>
        <w:t xml:space="preserve">2 </w:t>
      </w:r>
      <w:r w:rsidR="00E472F8" w:rsidRPr="00E472F8">
        <w:rPr>
          <w:b/>
        </w:rPr>
        <w:t>Stuttgarter NS-Kurier, 11.7.1933</w:t>
      </w:r>
      <w:r w:rsidRPr="00C82EDE">
        <w:rPr>
          <w:b/>
        </w:rPr>
        <w:tab/>
      </w:r>
    </w:p>
    <w:p w:rsidR="00E472F8" w:rsidRDefault="00E472F8" w:rsidP="008D517D">
      <w:pPr>
        <w:suppressLineNumbers/>
        <w:rPr>
          <w:b/>
        </w:rPr>
      </w:pPr>
    </w:p>
    <w:p w:rsidR="00E472F8" w:rsidRDefault="00E472F8" w:rsidP="008D517D">
      <w:pPr>
        <w:suppressLineNumbers/>
        <w:rPr>
          <w:b/>
        </w:rPr>
      </w:pPr>
      <w:r>
        <w:rPr>
          <w:b/>
          <w:noProof/>
          <w:lang w:eastAsia="de-DE"/>
        </w:rPr>
        <w:drawing>
          <wp:inline distT="0" distB="0" distL="0" distR="0" wp14:anchorId="47F6C683" wp14:editId="612A745E">
            <wp:extent cx="9626975" cy="5452533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3_Oberhetzer Schumacher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3516" cy="546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2F8" w:rsidRDefault="00E472F8" w:rsidP="008D517D">
      <w:pPr>
        <w:suppressLineNumbers/>
        <w:rPr>
          <w:b/>
        </w:rPr>
        <w:sectPr w:rsidR="00E472F8" w:rsidSect="00E472F8">
          <w:footerReference w:type="default" r:id="rId9"/>
          <w:pgSz w:w="16838" w:h="11906" w:orient="landscape"/>
          <w:pgMar w:top="1021" w:right="1077" w:bottom="1021" w:left="1077" w:header="709" w:footer="709" w:gutter="0"/>
          <w:cols w:space="708"/>
          <w:docGrid w:linePitch="360"/>
        </w:sectPr>
      </w:pPr>
      <w:bookmarkStart w:id="0" w:name="_GoBack"/>
      <w:bookmarkEnd w:id="0"/>
    </w:p>
    <w:p w:rsidR="00E472F8" w:rsidRDefault="00E472F8" w:rsidP="008D517D">
      <w:pPr>
        <w:suppressLineNumbers/>
        <w:rPr>
          <w:b/>
        </w:rPr>
      </w:pPr>
    </w:p>
    <w:p w:rsidR="00623D2B" w:rsidRPr="00C82EDE" w:rsidRDefault="00623D2B" w:rsidP="008D517D">
      <w:pPr>
        <w:suppressLineNumbers/>
        <w:rPr>
          <w:b/>
        </w:rPr>
      </w:pPr>
      <w:r w:rsidRPr="00C82EDE">
        <w:rPr>
          <w:b/>
        </w:rPr>
        <w:t xml:space="preserve">M </w:t>
      </w:r>
      <w:r w:rsidR="00E472F8">
        <w:rPr>
          <w:b/>
        </w:rPr>
        <w:t>3 Der Schutzhaftbefehl gegen Hermann Krimmer</w:t>
      </w:r>
    </w:p>
    <w:p w:rsidR="00623D2B" w:rsidRDefault="00E472F8" w:rsidP="008D517D">
      <w:pPr>
        <w:suppressLineNumbers/>
      </w:pPr>
      <w:r>
        <w:rPr>
          <w:noProof/>
          <w:lang w:eastAsia="de-DE"/>
        </w:rPr>
        <w:drawing>
          <wp:inline distT="0" distB="0" distL="0" distR="0" wp14:anchorId="648A6A78" wp14:editId="2D236CDD">
            <wp:extent cx="6001769" cy="8556978"/>
            <wp:effectExtent l="0" t="0" r="0" b="0"/>
            <wp:docPr id="2" name="Grafik 2" descr="01-Schutzhaftbefehl-Krim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1-Schutzhaftbefehl-Krimmer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277" cy="8579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72F8" w:rsidRDefault="00E472F8" w:rsidP="008D517D">
      <w:pPr>
        <w:suppressLineNumbers/>
        <w:rPr>
          <w:lang w:val="en-US"/>
        </w:rPr>
      </w:pPr>
      <w:r w:rsidRPr="00E472F8">
        <w:rPr>
          <w:lang w:val="en-US"/>
        </w:rPr>
        <w:t>Quelle: A-DZOK, Rep. I, 74</w:t>
      </w:r>
    </w:p>
    <w:p w:rsidR="00AE185B" w:rsidRDefault="00AE185B">
      <w:pPr>
        <w:rPr>
          <w:lang w:val="en-US"/>
        </w:rPr>
      </w:pPr>
    </w:p>
    <w:p w:rsidR="00AE185B" w:rsidRDefault="00AE185B" w:rsidP="008D517D">
      <w:pPr>
        <w:suppressLineNumbers/>
        <w:rPr>
          <w:lang w:val="en-US"/>
        </w:rPr>
      </w:pPr>
    </w:p>
    <w:p w:rsidR="00AE185B" w:rsidRPr="00AE185B" w:rsidRDefault="00AE185B" w:rsidP="008D517D">
      <w:pPr>
        <w:suppressLineNumbers/>
        <w:rPr>
          <w:b/>
          <w:i/>
          <w:sz w:val="28"/>
          <w:szCs w:val="28"/>
        </w:rPr>
      </w:pPr>
      <w:r w:rsidRPr="00AE185B">
        <w:rPr>
          <w:b/>
          <w:i/>
          <w:sz w:val="28"/>
          <w:szCs w:val="28"/>
        </w:rPr>
        <w:t>Vertiefung/Differenzierung:</w:t>
      </w:r>
    </w:p>
    <w:p w:rsidR="00AE185B" w:rsidRDefault="00AE185B" w:rsidP="008D517D">
      <w:pPr>
        <w:suppressLineNumbers/>
        <w:rPr>
          <w:i/>
        </w:rPr>
      </w:pPr>
    </w:p>
    <w:p w:rsidR="00AE185B" w:rsidRDefault="00AE185B" w:rsidP="008D517D">
      <w:pPr>
        <w:suppressLineNumbers/>
        <w:rPr>
          <w:i/>
        </w:rPr>
      </w:pPr>
      <w:r>
        <w:rPr>
          <w:i/>
        </w:rPr>
        <w:t>Aufgabe:</w:t>
      </w:r>
    </w:p>
    <w:p w:rsidR="00AE185B" w:rsidRPr="00AE185B" w:rsidRDefault="00AE185B" w:rsidP="008D517D">
      <w:pPr>
        <w:suppressLineNumbers/>
        <w:rPr>
          <w:i/>
        </w:rPr>
      </w:pPr>
      <w:r>
        <w:rPr>
          <w:i/>
        </w:rPr>
        <w:t xml:space="preserve">1. </w:t>
      </w:r>
      <w:r w:rsidRPr="00AE185B">
        <w:rPr>
          <w:i/>
        </w:rPr>
        <w:t>Erörtere</w:t>
      </w:r>
      <w:r>
        <w:rPr>
          <w:i/>
        </w:rPr>
        <w:t>,</w:t>
      </w:r>
      <w:r w:rsidRPr="00AE185B">
        <w:rPr>
          <w:i/>
        </w:rPr>
        <w:t xml:space="preserve"> inwiefern die aus M1 bis M3 erkennbaren Haftgründe der Strafprozessordnung seit dem Kaiserreich gültigen Strafprozessordnung (M4) entsprachen.</w:t>
      </w:r>
    </w:p>
    <w:p w:rsidR="00AE185B" w:rsidRPr="00AE185B" w:rsidRDefault="00AE185B" w:rsidP="008D517D">
      <w:pPr>
        <w:suppressLineNumbers/>
      </w:pPr>
    </w:p>
    <w:p w:rsidR="00AE185B" w:rsidRPr="008D517D" w:rsidRDefault="00AE185B" w:rsidP="008D517D">
      <w:pPr>
        <w:suppressLineNumbers/>
        <w:rPr>
          <w:b/>
        </w:rPr>
      </w:pPr>
      <w:r w:rsidRPr="008D517D">
        <w:rPr>
          <w:b/>
        </w:rPr>
        <w:t>M 4 Strafprozessordnung von 1877</w:t>
      </w:r>
    </w:p>
    <w:p w:rsidR="00AE185B" w:rsidRDefault="00AE185B" w:rsidP="008D517D">
      <w:pPr>
        <w:suppressLineNumbers/>
        <w:rPr>
          <w:b/>
        </w:rPr>
      </w:pPr>
    </w:p>
    <w:p w:rsidR="00AE185B" w:rsidRPr="00AE185B" w:rsidRDefault="00AE185B" w:rsidP="008D517D">
      <w:pPr>
        <w:suppressLineNumbers/>
        <w:rPr>
          <w:b/>
        </w:rPr>
      </w:pPr>
      <w:r w:rsidRPr="00AE185B">
        <w:rPr>
          <w:b/>
        </w:rPr>
        <w:t>Neunter Abschnitt. Verhaftung und vorläufige Festnahme.</w:t>
      </w:r>
    </w:p>
    <w:p w:rsidR="00AE185B" w:rsidRPr="00AE185B" w:rsidRDefault="00AE185B" w:rsidP="00AE185B">
      <w:pPr>
        <w:rPr>
          <w:b/>
        </w:rPr>
      </w:pPr>
      <w:r w:rsidRPr="00AE185B">
        <w:rPr>
          <w:b/>
        </w:rPr>
        <w:t>§. 112.</w:t>
      </w:r>
    </w:p>
    <w:p w:rsidR="00AE185B" w:rsidRPr="00AE185B" w:rsidRDefault="00AE185B" w:rsidP="00AE185B">
      <w:r w:rsidRPr="00AE185B">
        <w:t xml:space="preserve">Der Angeschuldigte darf nur dann in Untersuchungshaft genommen werden, wenn dringende Verdachtsgründe gegen ihn vorhanden sind und entweder er der Flucht verdächtig ist oder </w:t>
      </w:r>
      <w:proofErr w:type="spellStart"/>
      <w:r w:rsidRPr="00AE185B">
        <w:t>Thatsachen</w:t>
      </w:r>
      <w:proofErr w:type="spellEnd"/>
      <w:r w:rsidRPr="00AE185B">
        <w:t xml:space="preserve"> vorliegen, aus denen zu schließen ist, </w:t>
      </w:r>
      <w:proofErr w:type="spellStart"/>
      <w:r w:rsidRPr="00AE185B">
        <w:t>daß</w:t>
      </w:r>
      <w:proofErr w:type="spellEnd"/>
      <w:r w:rsidRPr="00AE185B">
        <w:t xml:space="preserve"> er Spuren der </w:t>
      </w:r>
      <w:proofErr w:type="spellStart"/>
      <w:r w:rsidRPr="00AE185B">
        <w:t>That</w:t>
      </w:r>
      <w:proofErr w:type="spellEnd"/>
      <w:r w:rsidRPr="00AE185B">
        <w:t xml:space="preserve"> vernichten oder </w:t>
      </w:r>
      <w:proofErr w:type="spellStart"/>
      <w:r w:rsidRPr="00AE185B">
        <w:t>daß</w:t>
      </w:r>
      <w:proofErr w:type="spellEnd"/>
      <w:r w:rsidRPr="00AE185B">
        <w:t xml:space="preserve"> er Zeugen oder Mitschuldige zu einer falschen Aussage oder Zeugen dazu verleiten werde, sich der </w:t>
      </w:r>
      <w:proofErr w:type="spellStart"/>
      <w:r w:rsidRPr="00AE185B">
        <w:t>Zeugnißpflicht</w:t>
      </w:r>
      <w:proofErr w:type="spellEnd"/>
      <w:r w:rsidRPr="00AE185B">
        <w:t xml:space="preserve"> zu entziehen. Diese </w:t>
      </w:r>
      <w:proofErr w:type="spellStart"/>
      <w:r w:rsidRPr="00AE185B">
        <w:t>Thatsachen</w:t>
      </w:r>
      <w:proofErr w:type="spellEnd"/>
      <w:r w:rsidRPr="00AE185B">
        <w:t xml:space="preserve"> sind aktenkundig zu machen.</w:t>
      </w:r>
    </w:p>
    <w:p w:rsidR="00AE185B" w:rsidRPr="00AE185B" w:rsidRDefault="00AE185B" w:rsidP="00AE185B">
      <w:r w:rsidRPr="00AE185B">
        <w:t xml:space="preserve">Der Verdacht der Flucht bedarf keiner weiteren Begründung: </w:t>
      </w:r>
    </w:p>
    <w:p w:rsidR="00AE185B" w:rsidRPr="00AE185B" w:rsidRDefault="00AE185B" w:rsidP="00AE185B">
      <w:r w:rsidRPr="00AE185B">
        <w:t>1. wenn ein Verbrechen den Gegenstand der Untersuchung bildet;</w:t>
      </w:r>
    </w:p>
    <w:p w:rsidR="00AE185B" w:rsidRPr="00AE185B" w:rsidRDefault="00AE185B" w:rsidP="00AE185B">
      <w:r w:rsidRPr="00AE185B">
        <w:t xml:space="preserve">2. wenn der Angeschuldigte ein </w:t>
      </w:r>
      <w:proofErr w:type="spellStart"/>
      <w:r w:rsidRPr="00AE185B">
        <w:t>Heimathloser</w:t>
      </w:r>
      <w:proofErr w:type="spellEnd"/>
      <w:r w:rsidRPr="00AE185B">
        <w:t xml:space="preserve"> oder Landstreicher oder nicht im Stande ist, sich über seine Person auszuweisen;</w:t>
      </w:r>
    </w:p>
    <w:p w:rsidR="00AE185B" w:rsidRPr="00AE185B" w:rsidRDefault="00AE185B" w:rsidP="00AE185B">
      <w:r w:rsidRPr="00AE185B">
        <w:t xml:space="preserve">3. wenn der Angeschuldigte ein Ausländer ist und gegründeter Zweifel besteht, </w:t>
      </w:r>
      <w:proofErr w:type="spellStart"/>
      <w:r w:rsidRPr="00AE185B">
        <w:t>daß</w:t>
      </w:r>
      <w:proofErr w:type="spellEnd"/>
      <w:r w:rsidRPr="00AE185B">
        <w:t xml:space="preserve"> er sich auf Ladung vor Gericht stellen und dem </w:t>
      </w:r>
      <w:proofErr w:type="spellStart"/>
      <w:r w:rsidRPr="00AE185B">
        <w:t>Urtheile</w:t>
      </w:r>
      <w:proofErr w:type="spellEnd"/>
      <w:r w:rsidRPr="00AE185B">
        <w:t xml:space="preserve"> Folge leisten werde.</w:t>
      </w:r>
    </w:p>
    <w:p w:rsidR="00AE185B" w:rsidRDefault="00AE185B" w:rsidP="008D517D">
      <w:pPr>
        <w:suppressLineNumbers/>
      </w:pPr>
    </w:p>
    <w:p w:rsidR="00AE185B" w:rsidRPr="00AE185B" w:rsidRDefault="00AE185B" w:rsidP="00AE185B">
      <w:pPr>
        <w:rPr>
          <w:b/>
        </w:rPr>
      </w:pPr>
      <w:r w:rsidRPr="00AE185B">
        <w:rPr>
          <w:b/>
        </w:rPr>
        <w:t>§. 113.</w:t>
      </w:r>
    </w:p>
    <w:p w:rsidR="00AE185B" w:rsidRPr="00AE185B" w:rsidRDefault="00AE185B" w:rsidP="00AE185B">
      <w:r w:rsidRPr="00AE185B">
        <w:t xml:space="preserve">Ist die </w:t>
      </w:r>
      <w:proofErr w:type="spellStart"/>
      <w:r w:rsidRPr="00AE185B">
        <w:t>That</w:t>
      </w:r>
      <w:proofErr w:type="spellEnd"/>
      <w:r w:rsidRPr="00AE185B">
        <w:t xml:space="preserve"> nur mit Haft oder mit Geldstrafe bedroht, so darf die Untersuchungshaft nur wegen Verdachts der Flucht und nur dann verhängt werden, wenn der Angeschuldigte zu den im §. 112 Nr. 2 oder 3 bezeichneten Personen gehört, oder wenn derselbe unter Polizeiaufsicht steht, oder wenn es sich um eine </w:t>
      </w:r>
      <w:proofErr w:type="spellStart"/>
      <w:r w:rsidRPr="00AE185B">
        <w:t>Uebertretung</w:t>
      </w:r>
      <w:proofErr w:type="spellEnd"/>
      <w:r w:rsidRPr="00AE185B">
        <w:t xml:space="preserve"> handelt, wegen deren die </w:t>
      </w:r>
      <w:proofErr w:type="spellStart"/>
      <w:r w:rsidRPr="00AE185B">
        <w:t>Ueberweisung</w:t>
      </w:r>
      <w:proofErr w:type="spellEnd"/>
      <w:r w:rsidRPr="00AE185B">
        <w:t xml:space="preserve"> an die Landespolizeibehörde erkannt werden kann.</w:t>
      </w:r>
    </w:p>
    <w:p w:rsidR="00AE185B" w:rsidRDefault="00AE185B" w:rsidP="008D517D">
      <w:pPr>
        <w:suppressLineNumbers/>
      </w:pPr>
    </w:p>
    <w:p w:rsidR="00AE185B" w:rsidRPr="00AE185B" w:rsidRDefault="00AE185B" w:rsidP="00AE185B">
      <w:pPr>
        <w:rPr>
          <w:b/>
        </w:rPr>
      </w:pPr>
      <w:r w:rsidRPr="00AE185B">
        <w:rPr>
          <w:b/>
        </w:rPr>
        <w:t>§. 114.</w:t>
      </w:r>
    </w:p>
    <w:p w:rsidR="00AE185B" w:rsidRPr="00AE185B" w:rsidRDefault="00AE185B" w:rsidP="00AE185B">
      <w:r w:rsidRPr="00AE185B">
        <w:t>Die Verhaftung erfolgt auf Grund eines schriftlichen Haftbefehls des Richters.</w:t>
      </w:r>
    </w:p>
    <w:p w:rsidR="00AE185B" w:rsidRPr="00AE185B" w:rsidRDefault="00AE185B" w:rsidP="00AE185B">
      <w:r w:rsidRPr="00AE185B">
        <w:t>In dem Haftbefehl ist der Angeschuldigte genau zu bezeichnen und die ihm zur Last gelegte strafbare Handlung sowie der Grund der Verhaftung anzugeben.</w:t>
      </w:r>
    </w:p>
    <w:p w:rsidR="00AE185B" w:rsidRPr="00AE185B" w:rsidRDefault="00AE185B" w:rsidP="00AE185B">
      <w:r w:rsidRPr="00AE185B">
        <w:t xml:space="preserve">Dem Angeschuldigten ist der Haftbefehl bei der Verhaftung und, wenn dies nicht </w:t>
      </w:r>
      <w:proofErr w:type="spellStart"/>
      <w:r w:rsidRPr="00AE185B">
        <w:t>thunlich</w:t>
      </w:r>
      <w:proofErr w:type="spellEnd"/>
      <w:r w:rsidRPr="00AE185B">
        <w:t xml:space="preserve"> ist, spätestens am Tage nach seiner Einlieferung in das </w:t>
      </w:r>
      <w:proofErr w:type="spellStart"/>
      <w:r w:rsidRPr="00AE185B">
        <w:t>Gefängniß</w:t>
      </w:r>
      <w:proofErr w:type="spellEnd"/>
      <w:r w:rsidRPr="00AE185B">
        <w:t xml:space="preserve">, nach Vorschrift des §. 35 bekannt zu machen und zu eröffnen, </w:t>
      </w:r>
      <w:proofErr w:type="spellStart"/>
      <w:r w:rsidRPr="00AE185B">
        <w:t>daß</w:t>
      </w:r>
      <w:proofErr w:type="spellEnd"/>
      <w:r w:rsidRPr="00AE185B">
        <w:t xml:space="preserve"> ihm das Rechtsmittel der Beschwerde zustehe.</w:t>
      </w:r>
    </w:p>
    <w:p w:rsidR="00AE185B" w:rsidRPr="00AE185B" w:rsidRDefault="00AE185B" w:rsidP="008D517D">
      <w:pPr>
        <w:suppressLineNumbers/>
      </w:pPr>
    </w:p>
    <w:p w:rsidR="00AE185B" w:rsidRDefault="00AE185B" w:rsidP="008D517D">
      <w:pPr>
        <w:suppressLineNumbers/>
      </w:pPr>
      <w:r w:rsidRPr="00AE185B">
        <w:t xml:space="preserve">Strafprozessordnung (Stand 1.2.1877), Deutsches Reichsgesetzblatt Band 1877, Nr. 8, S. 253 </w:t>
      </w:r>
      <w:r w:rsidR="00B92084">
        <w:t>–</w:t>
      </w:r>
      <w:r w:rsidRPr="00AE185B">
        <w:t xml:space="preserve"> 346</w:t>
      </w:r>
    </w:p>
    <w:p w:rsidR="00B92084" w:rsidRPr="00AE185B" w:rsidRDefault="00B92084" w:rsidP="008D517D">
      <w:pPr>
        <w:suppressLineNumbers/>
      </w:pPr>
    </w:p>
    <w:p w:rsidR="00AE185B" w:rsidRPr="00B92084" w:rsidRDefault="00AE185B" w:rsidP="008D517D">
      <w:pPr>
        <w:suppressLineNumbers/>
        <w:rPr>
          <w:sz w:val="20"/>
          <w:szCs w:val="20"/>
        </w:rPr>
      </w:pPr>
      <w:r w:rsidRPr="00B92084">
        <w:rPr>
          <w:sz w:val="20"/>
          <w:szCs w:val="20"/>
        </w:rPr>
        <w:t>(aus: https://de.wikisource.org/wiki/Strafproze%C3%9Fordnung  (02.03.2017))</w:t>
      </w:r>
    </w:p>
    <w:p w:rsidR="00AE185B" w:rsidRPr="00AE185B" w:rsidRDefault="00AE185B" w:rsidP="008D517D">
      <w:pPr>
        <w:suppressLineNumbers/>
      </w:pPr>
    </w:p>
    <w:sectPr w:rsidR="00AE185B" w:rsidRPr="00AE185B" w:rsidSect="008D517D">
      <w:pgSz w:w="11906" w:h="16838"/>
      <w:pgMar w:top="1077" w:right="1021" w:bottom="1077" w:left="1021" w:header="709" w:footer="709" w:gutter="0"/>
      <w:lnNumType w:countBy="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A29BC" w:rsidRDefault="001A29BC" w:rsidP="00B92084">
      <w:r>
        <w:separator/>
      </w:r>
    </w:p>
  </w:endnote>
  <w:endnote w:type="continuationSeparator" w:id="0">
    <w:p w:rsidR="001A29BC" w:rsidRDefault="001A29BC" w:rsidP="00B920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92084" w:rsidRDefault="00B92084" w:rsidP="00B92084">
    <w:pPr>
      <w:pStyle w:val="Fuzeile"/>
      <w:jc w:val="center"/>
    </w:pPr>
    <w:r w:rsidRPr="00B92084">
      <w:t>Arbeitskreis für Landeskunde/Landesgeschichte RP Tübingen – www.landeskunde-bw.de</w:t>
    </w:r>
  </w:p>
  <w:p w:rsidR="00B92084" w:rsidRDefault="00B92084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A29BC" w:rsidRDefault="001A29BC" w:rsidP="00B92084">
      <w:r>
        <w:separator/>
      </w:r>
    </w:p>
  </w:footnote>
  <w:footnote w:type="continuationSeparator" w:id="0">
    <w:p w:rsidR="001A29BC" w:rsidRDefault="001A29BC" w:rsidP="00B9208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3D2B"/>
    <w:rsid w:val="001A29BC"/>
    <w:rsid w:val="00303F65"/>
    <w:rsid w:val="004A3AA8"/>
    <w:rsid w:val="005C2C2B"/>
    <w:rsid w:val="00623D2B"/>
    <w:rsid w:val="006C2946"/>
    <w:rsid w:val="008D517D"/>
    <w:rsid w:val="00A96583"/>
    <w:rsid w:val="00AA2448"/>
    <w:rsid w:val="00AE185B"/>
    <w:rsid w:val="00AE1F93"/>
    <w:rsid w:val="00B92084"/>
    <w:rsid w:val="00BD52EC"/>
    <w:rsid w:val="00C82EDE"/>
    <w:rsid w:val="00CA2A0E"/>
    <w:rsid w:val="00D27F8D"/>
    <w:rsid w:val="00D9796E"/>
    <w:rsid w:val="00E472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6F80C6"/>
  <w15:docId w15:val="{9F202D28-E536-4E03-8C28-44A3A28D3B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HAnsi" w:hAnsi="Arial" w:cs="Arial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Standard">
    <w:name w:val="Normal"/>
    <w:qFormat/>
    <w:rsid w:val="00303F65"/>
  </w:style>
  <w:style w:type="paragraph" w:styleId="berschrift2">
    <w:name w:val="heading 2"/>
    <w:basedOn w:val="Standard"/>
    <w:next w:val="Standard"/>
    <w:link w:val="berschrift2Zchn"/>
    <w:qFormat/>
    <w:rsid w:val="00623D2B"/>
    <w:pPr>
      <w:keepNext/>
      <w:spacing w:before="240" w:after="60"/>
      <w:outlineLvl w:val="1"/>
    </w:pPr>
    <w:rPr>
      <w:rFonts w:eastAsia="Times New Roman"/>
      <w:b/>
      <w:bCs/>
      <w:i/>
      <w:iCs/>
      <w:sz w:val="28"/>
      <w:szCs w:val="28"/>
      <w:lang w:eastAsia="de-DE"/>
    </w:rPr>
  </w:style>
  <w:style w:type="paragraph" w:styleId="berschrift3">
    <w:name w:val="heading 3"/>
    <w:basedOn w:val="Standard"/>
    <w:next w:val="Standard"/>
    <w:link w:val="berschrift3Zchn"/>
    <w:qFormat/>
    <w:rsid w:val="00623D2B"/>
    <w:pPr>
      <w:keepNext/>
      <w:spacing w:before="240" w:after="60"/>
      <w:outlineLvl w:val="2"/>
    </w:pPr>
    <w:rPr>
      <w:rFonts w:eastAsia="Times New Roman"/>
      <w:b/>
      <w:bCs/>
      <w:sz w:val="26"/>
      <w:szCs w:val="26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basedOn w:val="Absatz-Standardschriftart"/>
    <w:link w:val="berschrift2"/>
    <w:rsid w:val="00623D2B"/>
    <w:rPr>
      <w:rFonts w:eastAsia="Times New Roman"/>
      <w:b/>
      <w:bCs/>
      <w:i/>
      <w:iCs/>
      <w:sz w:val="28"/>
      <w:szCs w:val="28"/>
      <w:lang w:eastAsia="de-DE"/>
    </w:rPr>
  </w:style>
  <w:style w:type="character" w:customStyle="1" w:styleId="berschrift3Zchn">
    <w:name w:val="Überschrift 3 Zchn"/>
    <w:basedOn w:val="Absatz-Standardschriftart"/>
    <w:link w:val="berschrift3"/>
    <w:rsid w:val="00623D2B"/>
    <w:rPr>
      <w:rFonts w:eastAsia="Times New Roman"/>
      <w:b/>
      <w:bCs/>
      <w:sz w:val="26"/>
      <w:szCs w:val="26"/>
      <w:lang w:eastAsia="de-DE"/>
    </w:rPr>
  </w:style>
  <w:style w:type="paragraph" w:styleId="Kopfzeile">
    <w:name w:val="header"/>
    <w:basedOn w:val="Standard"/>
    <w:link w:val="KopfzeileZchn"/>
    <w:rsid w:val="00623D2B"/>
    <w:pPr>
      <w:tabs>
        <w:tab w:val="center" w:pos="4536"/>
        <w:tab w:val="right" w:pos="9072"/>
      </w:tabs>
    </w:pPr>
    <w:rPr>
      <w:rFonts w:ascii="Times New Roman" w:eastAsia="Times New Roman" w:hAnsi="Times New Roman" w:cs="Times New Roman"/>
      <w:lang w:eastAsia="de-DE"/>
    </w:rPr>
  </w:style>
  <w:style w:type="character" w:customStyle="1" w:styleId="KopfzeileZchn">
    <w:name w:val="Kopfzeile Zchn"/>
    <w:basedOn w:val="Absatz-Standardschriftart"/>
    <w:link w:val="Kopfzeile"/>
    <w:rsid w:val="00623D2B"/>
    <w:rPr>
      <w:rFonts w:ascii="Times New Roman" w:eastAsia="Times New Roman" w:hAnsi="Times New Roman" w:cs="Times New Roman"/>
      <w:lang w:eastAsia="de-DE"/>
    </w:rPr>
  </w:style>
  <w:style w:type="table" w:styleId="Tabellenraster">
    <w:name w:val="Table Grid"/>
    <w:basedOn w:val="NormaleTabelle"/>
    <w:uiPriority w:val="59"/>
    <w:rsid w:val="00623D2B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27F8D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27F8D"/>
    <w:rPr>
      <w:rFonts w:ascii="Tahoma" w:hAnsi="Tahoma" w:cs="Tahoma"/>
      <w:sz w:val="16"/>
      <w:szCs w:val="16"/>
    </w:rPr>
  </w:style>
  <w:style w:type="character" w:styleId="Zeilennummer">
    <w:name w:val="line number"/>
    <w:basedOn w:val="Absatz-Standardschriftart"/>
    <w:uiPriority w:val="99"/>
    <w:semiHidden/>
    <w:unhideWhenUsed/>
    <w:rsid w:val="008D517D"/>
  </w:style>
  <w:style w:type="paragraph" w:styleId="Fuzeile">
    <w:name w:val="footer"/>
    <w:basedOn w:val="Standard"/>
    <w:link w:val="FuzeileZchn"/>
    <w:uiPriority w:val="99"/>
    <w:unhideWhenUsed/>
    <w:rsid w:val="00B9208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B920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342</Words>
  <Characters>2159</Characters>
  <Application>Microsoft Office Word</Application>
  <DocSecurity>0</DocSecurity>
  <Lines>17</Lines>
  <Paragraphs>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Überschriften</vt:lpstr>
      </vt:variant>
      <vt:variant>
        <vt:i4>2</vt:i4>
      </vt:variant>
    </vt:vector>
  </HeadingPairs>
  <TitlesOfParts>
    <vt:vector size="3" baseType="lpstr">
      <vt:lpstr/>
      <vt:lpstr>    Häftlinge und Verhaftungen</vt:lpstr>
      <vt:lpstr>    /Gegen fünf Uhr morgens sind sie da. Sturmriemen unterm Kinn, Revolver, Gummiknü</vt:lpstr>
    </vt:vector>
  </TitlesOfParts>
  <Company/>
  <LinksUpToDate>false</LinksUpToDate>
  <CharactersWithSpaces>2497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Dieter Grupp</dc:creator>
  <cp:keywords/>
  <dc:description/>
  <cp:lastModifiedBy>Dieter Grupp</cp:lastModifiedBy>
  <cp:revision>9</cp:revision>
  <dcterms:created xsi:type="dcterms:W3CDTF">2017-01-13T10:17:00Z</dcterms:created>
  <dcterms:modified xsi:type="dcterms:W3CDTF">2017-04-28T11:44:00Z</dcterms:modified>
</cp:coreProperties>
</file>