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E69" w:rsidRPr="00CC76A9" w:rsidRDefault="00B05E69" w:rsidP="00B05E69">
      <w:pPr>
        <w:jc w:val="both"/>
        <w:rPr>
          <w:rFonts w:ascii="Arial" w:hAnsi="Arial" w:cs="Arial"/>
          <w:b/>
          <w:sz w:val="24"/>
          <w:szCs w:val="24"/>
        </w:rPr>
      </w:pPr>
      <w:r w:rsidRPr="00CC76A9">
        <w:rPr>
          <w:rFonts w:ascii="Arial" w:hAnsi="Arial" w:cs="Arial"/>
          <w:b/>
          <w:sz w:val="24"/>
          <w:szCs w:val="24"/>
        </w:rPr>
        <w:t xml:space="preserve">Die persönlichen Verhältnisse des Angeklagten </w:t>
      </w:r>
      <w:r>
        <w:rPr>
          <w:rFonts w:ascii="Arial" w:hAnsi="Arial" w:cs="Arial"/>
          <w:b/>
          <w:sz w:val="24"/>
          <w:szCs w:val="24"/>
        </w:rPr>
        <w:t xml:space="preserve">– Aus dem Urteil gegen Helmuth Kohl </w:t>
      </w:r>
      <w:r w:rsidR="006E78D0">
        <w:rPr>
          <w:rFonts w:ascii="Arial" w:hAnsi="Arial" w:cs="Arial"/>
          <w:b/>
          <w:sz w:val="24"/>
          <w:szCs w:val="24"/>
        </w:rPr>
        <w:t xml:space="preserve">vom </w:t>
      </w:r>
      <w:r>
        <w:rPr>
          <w:rFonts w:ascii="Arial" w:hAnsi="Arial" w:cs="Arial"/>
          <w:b/>
          <w:sz w:val="24"/>
          <w:szCs w:val="24"/>
        </w:rPr>
        <w:t xml:space="preserve">16. August 1935 </w:t>
      </w:r>
      <w:r w:rsidR="00FC66E8">
        <w:rPr>
          <w:rFonts w:ascii="Arial" w:hAnsi="Arial" w:cs="Arial"/>
          <w:b/>
          <w:sz w:val="24"/>
          <w:szCs w:val="24"/>
        </w:rPr>
        <w:t xml:space="preserve">vor dem Landgericht Stuttgart </w:t>
      </w:r>
    </w:p>
    <w:p w:rsidR="006E4BAA" w:rsidRPr="00CC76A9" w:rsidRDefault="00B05E69" w:rsidP="00B05E69">
      <w:pPr>
        <w:jc w:val="both"/>
        <w:rPr>
          <w:rFonts w:ascii="Arial" w:hAnsi="Arial" w:cs="Arial"/>
          <w:sz w:val="24"/>
          <w:szCs w:val="24"/>
        </w:rPr>
      </w:pPr>
      <w:r w:rsidRPr="00CC76A9">
        <w:rPr>
          <w:rFonts w:ascii="Arial" w:hAnsi="Arial" w:cs="Arial"/>
          <w:sz w:val="24"/>
          <w:szCs w:val="24"/>
        </w:rPr>
        <w:t xml:space="preserve"> </w:t>
      </w:r>
      <w:r w:rsidR="00CC5A26" w:rsidRPr="00CC76A9">
        <w:rPr>
          <w:rFonts w:ascii="Arial" w:hAnsi="Arial" w:cs="Arial"/>
          <w:sz w:val="24"/>
          <w:szCs w:val="24"/>
        </w:rPr>
        <w:t>„Der Angeklagte Helmut</w:t>
      </w:r>
      <w:r w:rsidR="00E22CF5" w:rsidRPr="00CC76A9">
        <w:rPr>
          <w:rFonts w:ascii="Arial" w:hAnsi="Arial" w:cs="Arial"/>
          <w:sz w:val="24"/>
          <w:szCs w:val="24"/>
        </w:rPr>
        <w:t>h</w:t>
      </w:r>
      <w:r w:rsidR="00CC5A26" w:rsidRPr="00CC76A9">
        <w:rPr>
          <w:rFonts w:ascii="Arial" w:hAnsi="Arial" w:cs="Arial"/>
          <w:sz w:val="24"/>
          <w:szCs w:val="24"/>
        </w:rPr>
        <w:t xml:space="preserve"> Kohl ist in Mannheim als Sohn eines Malers geboren. Während er noch Kind war, ließen sich seine Eltern scheiden, und sein Vater ging nach Amerika. Der Angeklagte war bis zu seinem zwölften Lebensjahr bei Verwandten untergebracht. Während dieser Zeit hatte die Mutter sich </w:t>
      </w:r>
      <w:proofErr w:type="gramStart"/>
      <w:r w:rsidR="00CC5A26" w:rsidRPr="00CC76A9">
        <w:rPr>
          <w:rFonts w:ascii="Arial" w:hAnsi="Arial" w:cs="Arial"/>
          <w:sz w:val="24"/>
          <w:szCs w:val="24"/>
        </w:rPr>
        <w:t>wieder verheiratet</w:t>
      </w:r>
      <w:proofErr w:type="gramEnd"/>
      <w:r w:rsidR="00CC5A26" w:rsidRPr="00CC76A9">
        <w:rPr>
          <w:rFonts w:ascii="Arial" w:hAnsi="Arial" w:cs="Arial"/>
          <w:sz w:val="24"/>
          <w:szCs w:val="24"/>
        </w:rPr>
        <w:t xml:space="preserve">. Als der Angeklagte zwölf Jahre alt geworden war, nahm ihn die Mutter wieder zu sich. Er blieb bis zum 17. Lebensjahre im Hause seines Stiefvaters, mit dem er sich nicht verstehen konnte. Kohl hatte nur noch eine Stiefschwester. Als er siebenzehn Jahre alt geworden war, ging er auf Wanderschaft, weil er, wie er sagt, zu Hause nicht zu Last fallen wollte. </w:t>
      </w:r>
    </w:p>
    <w:p w:rsidR="00CC5A26" w:rsidRPr="00CC76A9" w:rsidRDefault="00CA6CC0" w:rsidP="00CC76A9">
      <w:pPr>
        <w:jc w:val="both"/>
        <w:rPr>
          <w:rFonts w:ascii="Arial" w:hAnsi="Arial" w:cs="Arial"/>
          <w:sz w:val="24"/>
          <w:szCs w:val="24"/>
        </w:rPr>
      </w:pPr>
      <w:r w:rsidRPr="00CC76A9">
        <w:rPr>
          <w:rFonts w:ascii="Arial" w:hAnsi="Arial" w:cs="Arial"/>
          <w:sz w:val="24"/>
          <w:szCs w:val="24"/>
        </w:rPr>
        <w:t xml:space="preserve">Der Angeklagte Kohl hat in Mannheim die Volksschule besucht und dann Dachdecker gelernt. Während seiner Lehrzeit ist er drei Jahre auf die Fortbildungsschule gegangen. Nach Beendigung der Lehre begab er sich, wie bereits erwähnt im Alter von 17 Jahren auf Wanderschaft. Von dieser nach Mannheim zurückgekehrt, fand er dort keine Arbeit und ging erneut auf Wanderschaft. Dabei kam er nach </w:t>
      </w:r>
      <w:proofErr w:type="spellStart"/>
      <w:r w:rsidRPr="00CC76A9">
        <w:rPr>
          <w:rFonts w:ascii="Arial" w:hAnsi="Arial" w:cs="Arial"/>
          <w:sz w:val="24"/>
          <w:szCs w:val="24"/>
        </w:rPr>
        <w:t>Forbach</w:t>
      </w:r>
      <w:proofErr w:type="spellEnd"/>
      <w:r w:rsidRPr="00CC76A9">
        <w:rPr>
          <w:rStyle w:val="Funotenzeichen"/>
          <w:rFonts w:ascii="Arial" w:hAnsi="Arial" w:cs="Arial"/>
          <w:sz w:val="24"/>
          <w:szCs w:val="24"/>
        </w:rPr>
        <w:footnoteReference w:id="1"/>
      </w:r>
      <w:r w:rsidRPr="00CC76A9">
        <w:rPr>
          <w:rFonts w:ascii="Arial" w:hAnsi="Arial" w:cs="Arial"/>
          <w:sz w:val="24"/>
          <w:szCs w:val="24"/>
        </w:rPr>
        <w:t xml:space="preserve"> und ließ sich dort zur französischen Fremdenlegion anwerben. </w:t>
      </w:r>
      <w:r w:rsidR="00887745" w:rsidRPr="00CC76A9">
        <w:rPr>
          <w:rFonts w:ascii="Arial" w:hAnsi="Arial" w:cs="Arial"/>
          <w:sz w:val="24"/>
          <w:szCs w:val="24"/>
        </w:rPr>
        <w:t xml:space="preserve">Als Fremdenlegionär kam er schließlich nach </w:t>
      </w:r>
      <w:proofErr w:type="spellStart"/>
      <w:r w:rsidR="00887745" w:rsidRPr="00CC76A9">
        <w:rPr>
          <w:rFonts w:ascii="Arial" w:hAnsi="Arial" w:cs="Arial"/>
          <w:sz w:val="24"/>
          <w:szCs w:val="24"/>
        </w:rPr>
        <w:t>Sidi</w:t>
      </w:r>
      <w:proofErr w:type="spellEnd"/>
      <w:r w:rsidR="00887745" w:rsidRPr="00CC76A9">
        <w:rPr>
          <w:rFonts w:ascii="Arial" w:hAnsi="Arial" w:cs="Arial"/>
          <w:sz w:val="24"/>
          <w:szCs w:val="24"/>
        </w:rPr>
        <w:t>-bel-</w:t>
      </w:r>
      <w:proofErr w:type="spellStart"/>
      <w:r w:rsidR="00887745" w:rsidRPr="00CC76A9">
        <w:rPr>
          <w:rFonts w:ascii="Arial" w:hAnsi="Arial" w:cs="Arial"/>
          <w:sz w:val="24"/>
          <w:szCs w:val="24"/>
        </w:rPr>
        <w:t>Abbès</w:t>
      </w:r>
      <w:proofErr w:type="spellEnd"/>
      <w:r w:rsidR="00D00FA8" w:rsidRPr="00CC76A9">
        <w:rPr>
          <w:rStyle w:val="Funotenzeichen"/>
          <w:rFonts w:ascii="Arial" w:hAnsi="Arial" w:cs="Arial"/>
          <w:sz w:val="24"/>
          <w:szCs w:val="24"/>
        </w:rPr>
        <w:footnoteReference w:id="2"/>
      </w:r>
      <w:r w:rsidR="00887745" w:rsidRPr="00CC76A9">
        <w:rPr>
          <w:rFonts w:ascii="Arial" w:hAnsi="Arial" w:cs="Arial"/>
          <w:sz w:val="24"/>
          <w:szCs w:val="24"/>
        </w:rPr>
        <w:t xml:space="preserve">, wo er wegen Untauglichkeit wieder entlassen wurde. Im August 1932 kehrte er nach Mannheim zurück. </w:t>
      </w:r>
    </w:p>
    <w:p w:rsidR="00887745" w:rsidRPr="00CC76A9" w:rsidRDefault="00887745" w:rsidP="00CC76A9">
      <w:pPr>
        <w:jc w:val="both"/>
        <w:rPr>
          <w:rFonts w:ascii="Arial" w:hAnsi="Arial" w:cs="Arial"/>
          <w:sz w:val="24"/>
          <w:szCs w:val="24"/>
        </w:rPr>
      </w:pPr>
      <w:r w:rsidRPr="00CC76A9">
        <w:rPr>
          <w:rFonts w:ascii="Arial" w:hAnsi="Arial" w:cs="Arial"/>
          <w:sz w:val="24"/>
          <w:szCs w:val="24"/>
        </w:rPr>
        <w:t xml:space="preserve">Im Jahre 1931 trat der Angeklagte Kohl in die Jugendgruppe der Revolutionären Gewerkschafts-Opposition ein, der er bis zum Juli 1932 angehörte. Kohl kaufte sich in dieser Zeit kommunistische Schriften, die er durchlas und durch die er für den Kommunismus gewonnen wurde. Er trat auch dem Kampfbund gegen den Faschismus bei, dem er bis zu seiner Auflösung angehört hat. Auch hat er noch die Verbindung zu den Mitgliedern des aufgelösten Kampfbundes </w:t>
      </w:r>
      <w:proofErr w:type="gramStart"/>
      <w:r w:rsidRPr="00CC76A9">
        <w:rPr>
          <w:rFonts w:ascii="Arial" w:hAnsi="Arial" w:cs="Arial"/>
          <w:sz w:val="24"/>
          <w:szCs w:val="24"/>
        </w:rPr>
        <w:t>aufrecht erhalten</w:t>
      </w:r>
      <w:proofErr w:type="gramEnd"/>
      <w:r w:rsidRPr="00CC76A9">
        <w:rPr>
          <w:rFonts w:ascii="Arial" w:hAnsi="Arial" w:cs="Arial"/>
          <w:sz w:val="24"/>
          <w:szCs w:val="24"/>
        </w:rPr>
        <w:t xml:space="preserve">. </w:t>
      </w:r>
    </w:p>
    <w:p w:rsidR="00887745" w:rsidRPr="00CC76A9" w:rsidRDefault="00887745" w:rsidP="00CC76A9">
      <w:pPr>
        <w:jc w:val="both"/>
        <w:rPr>
          <w:rFonts w:ascii="Arial" w:hAnsi="Arial" w:cs="Arial"/>
          <w:sz w:val="24"/>
          <w:szCs w:val="24"/>
        </w:rPr>
      </w:pPr>
      <w:r w:rsidRPr="00CC76A9">
        <w:rPr>
          <w:rFonts w:ascii="Arial" w:hAnsi="Arial" w:cs="Arial"/>
          <w:sz w:val="24"/>
          <w:szCs w:val="24"/>
        </w:rPr>
        <w:t>Der Angeklagte ist einmal wegen Anklebens kommunistischer Flugblätter und einmal wegen Verstoßes gegen die Verordnung zur Sicherung des Osterfriedens vom 17. März 1932</w:t>
      </w:r>
      <w:r w:rsidR="004E345E" w:rsidRPr="00CC76A9">
        <w:rPr>
          <w:rStyle w:val="Funotenzeichen"/>
          <w:rFonts w:ascii="Arial" w:hAnsi="Arial" w:cs="Arial"/>
          <w:sz w:val="24"/>
          <w:szCs w:val="24"/>
        </w:rPr>
        <w:footnoteReference w:id="3"/>
      </w:r>
      <w:r w:rsidRPr="00CC76A9">
        <w:rPr>
          <w:rFonts w:ascii="Arial" w:hAnsi="Arial" w:cs="Arial"/>
          <w:sz w:val="24"/>
          <w:szCs w:val="24"/>
        </w:rPr>
        <w:t xml:space="preserve"> mit 30 RM Geldstrafe vorbestraft. </w:t>
      </w:r>
    </w:p>
    <w:p w:rsidR="00887745" w:rsidRPr="00CC76A9" w:rsidRDefault="00887745" w:rsidP="00CC76A9">
      <w:pPr>
        <w:jc w:val="both"/>
        <w:rPr>
          <w:rFonts w:ascii="Arial" w:hAnsi="Arial" w:cs="Arial"/>
          <w:sz w:val="16"/>
          <w:szCs w:val="24"/>
        </w:rPr>
      </w:pPr>
      <w:r w:rsidRPr="00CC76A9">
        <w:rPr>
          <w:rFonts w:ascii="Arial" w:hAnsi="Arial" w:cs="Arial"/>
          <w:sz w:val="16"/>
          <w:szCs w:val="24"/>
        </w:rPr>
        <w:t>Quelle: Urteil 1</w:t>
      </w:r>
      <w:r w:rsidR="0035600E">
        <w:rPr>
          <w:rFonts w:ascii="Arial" w:hAnsi="Arial" w:cs="Arial"/>
          <w:sz w:val="16"/>
          <w:szCs w:val="24"/>
        </w:rPr>
        <w:t>H</w:t>
      </w:r>
      <w:r w:rsidRPr="00CC76A9">
        <w:rPr>
          <w:rFonts w:ascii="Arial" w:hAnsi="Arial" w:cs="Arial"/>
          <w:sz w:val="16"/>
          <w:szCs w:val="24"/>
        </w:rPr>
        <w:t xml:space="preserve"> 32/35 – 14J 21/35, in: Nationalsozialismus, Holocaust, Wider</w:t>
      </w:r>
      <w:r w:rsidR="0081256B" w:rsidRPr="00CC76A9">
        <w:rPr>
          <w:rFonts w:ascii="Arial" w:hAnsi="Arial" w:cs="Arial"/>
          <w:sz w:val="16"/>
          <w:szCs w:val="24"/>
        </w:rPr>
        <w:t>stand und Exil 1933-19</w:t>
      </w:r>
      <w:r w:rsidR="0035600E">
        <w:rPr>
          <w:rFonts w:ascii="Arial" w:hAnsi="Arial" w:cs="Arial"/>
          <w:sz w:val="16"/>
          <w:szCs w:val="24"/>
        </w:rPr>
        <w:t xml:space="preserve">45. Online-Datenbank. De </w:t>
      </w:r>
      <w:proofErr w:type="spellStart"/>
      <w:r w:rsidR="0035600E">
        <w:rPr>
          <w:rFonts w:ascii="Arial" w:hAnsi="Arial" w:cs="Arial"/>
          <w:sz w:val="16"/>
          <w:szCs w:val="24"/>
        </w:rPr>
        <w:t>Gruyter</w:t>
      </w:r>
      <w:proofErr w:type="spellEnd"/>
      <w:r w:rsidR="0035600E">
        <w:rPr>
          <w:rFonts w:ascii="Arial" w:hAnsi="Arial" w:cs="Arial"/>
          <w:sz w:val="16"/>
          <w:szCs w:val="24"/>
        </w:rPr>
        <w:t>,</w:t>
      </w:r>
      <w:r w:rsidR="0081256B" w:rsidRPr="00CC76A9">
        <w:rPr>
          <w:rFonts w:ascii="Arial" w:hAnsi="Arial" w:cs="Arial"/>
          <w:sz w:val="16"/>
          <w:szCs w:val="24"/>
        </w:rPr>
        <w:t xml:space="preserve"> S. 2</w:t>
      </w:r>
      <w:r w:rsidRPr="00CC76A9">
        <w:rPr>
          <w:rFonts w:ascii="Arial" w:hAnsi="Arial" w:cs="Arial"/>
          <w:sz w:val="16"/>
          <w:szCs w:val="24"/>
        </w:rPr>
        <w:t>-3 (</w:t>
      </w:r>
      <w:hyperlink r:id="rId7" w:history="1">
        <w:r w:rsidRPr="00CC76A9">
          <w:rPr>
            <w:rStyle w:val="Hyperlink"/>
            <w:rFonts w:ascii="Arial" w:hAnsi="Arial" w:cs="Arial"/>
            <w:sz w:val="16"/>
            <w:szCs w:val="24"/>
          </w:rPr>
          <w:t>http://db.saur.de/DGO/basicFullCitationView.jsf?documentId=wh117</w:t>
        </w:r>
      </w:hyperlink>
      <w:r w:rsidRPr="00CC76A9">
        <w:rPr>
          <w:rFonts w:ascii="Arial" w:hAnsi="Arial" w:cs="Arial"/>
          <w:sz w:val="16"/>
          <w:szCs w:val="24"/>
        </w:rPr>
        <w:t xml:space="preserve">, 05.07.2017). </w:t>
      </w:r>
    </w:p>
    <w:p w:rsidR="002A642B" w:rsidRDefault="002A642B" w:rsidP="00915183">
      <w:pPr>
        <w:suppressLineNumbers/>
        <w:jc w:val="both"/>
        <w:rPr>
          <w:rFonts w:ascii="Arial" w:hAnsi="Arial" w:cs="Arial"/>
          <w:sz w:val="24"/>
          <w:szCs w:val="24"/>
        </w:rPr>
      </w:pPr>
    </w:p>
    <w:p w:rsidR="0050040B" w:rsidRPr="00D42C55" w:rsidRDefault="0035600E" w:rsidP="00D42C55">
      <w:pPr>
        <w:suppressLineNumbers/>
        <w:jc w:val="both"/>
        <w:rPr>
          <w:rFonts w:ascii="Arial" w:hAnsi="Arial" w:cs="Arial"/>
          <w:b/>
          <w:sz w:val="24"/>
          <w:szCs w:val="24"/>
        </w:rPr>
      </w:pPr>
      <w:r>
        <w:rPr>
          <w:rFonts w:ascii="Arial" w:hAnsi="Arial" w:cs="Arial"/>
          <w:sz w:val="24"/>
          <w:szCs w:val="24"/>
        </w:rPr>
        <w:pict>
          <v:shape id="Bild 3" o:spid="_x0000_i1026" type="#_x0000_t75" style="width:17.75pt;height:14.5pt;visibility:visible;mso-wrap-style:square">
            <v:imagedata r:id="rId8" o:title="MC900441732[1]"/>
          </v:shape>
        </w:pict>
      </w:r>
      <w:r w:rsidR="0050040B" w:rsidRPr="00D42C55">
        <w:rPr>
          <w:rFonts w:ascii="Arial" w:hAnsi="Arial" w:cs="Arial"/>
          <w:sz w:val="24"/>
          <w:szCs w:val="24"/>
        </w:rPr>
        <w:t xml:space="preserve"> </w:t>
      </w:r>
      <w:r w:rsidR="0050040B" w:rsidRPr="00D42C55">
        <w:rPr>
          <w:rFonts w:ascii="Arial" w:hAnsi="Arial" w:cs="Arial"/>
          <w:b/>
          <w:sz w:val="24"/>
          <w:szCs w:val="24"/>
        </w:rPr>
        <w:t xml:space="preserve">Arbeitsauftrag </w:t>
      </w:r>
      <w:r w:rsidR="00915183" w:rsidRPr="00D42C55">
        <w:rPr>
          <w:rFonts w:ascii="Arial" w:hAnsi="Arial" w:cs="Arial"/>
          <w:b/>
          <w:sz w:val="24"/>
          <w:szCs w:val="24"/>
        </w:rPr>
        <w:t>1</w:t>
      </w:r>
    </w:p>
    <w:p w:rsidR="00D42C55" w:rsidRPr="00D42C55" w:rsidRDefault="00D42C55" w:rsidP="000E6814">
      <w:pPr>
        <w:pStyle w:val="Listenabsatz"/>
        <w:suppressLineNumbers/>
        <w:jc w:val="both"/>
        <w:rPr>
          <w:rFonts w:ascii="Arial" w:hAnsi="Arial" w:cs="Arial"/>
          <w:sz w:val="24"/>
          <w:szCs w:val="24"/>
        </w:rPr>
      </w:pPr>
      <w:r w:rsidRPr="00D42C55">
        <w:rPr>
          <w:rFonts w:ascii="Arial" w:hAnsi="Arial" w:cs="Arial"/>
          <w:sz w:val="24"/>
          <w:szCs w:val="24"/>
        </w:rPr>
        <w:t xml:space="preserve">Erstellen Sie einen tabellarischen Lebenslauf über Helmuth Kohl. Nutzen Sie hierzu auch die vorhandene Anklage. </w:t>
      </w:r>
    </w:p>
    <w:p w:rsidR="00C6267C" w:rsidRDefault="00C6267C" w:rsidP="00915183">
      <w:pPr>
        <w:pStyle w:val="Listenabsatz"/>
        <w:suppressLineNumbers/>
        <w:jc w:val="both"/>
        <w:rPr>
          <w:rFonts w:ascii="Arial" w:hAnsi="Arial" w:cs="Arial"/>
          <w:sz w:val="24"/>
          <w:szCs w:val="24"/>
        </w:rPr>
        <w:sectPr w:rsidR="00C6267C" w:rsidSect="00603FAE">
          <w:footerReference w:type="default" r:id="rId9"/>
          <w:pgSz w:w="11906" w:h="16838"/>
          <w:pgMar w:top="1418" w:right="1418" w:bottom="1134" w:left="1418" w:header="709" w:footer="709" w:gutter="0"/>
          <w:lnNumType w:countBy="5" w:restart="continuous"/>
          <w:cols w:space="708"/>
          <w:docGrid w:linePitch="360"/>
        </w:sectPr>
      </w:pPr>
    </w:p>
    <w:p w:rsidR="007455B4" w:rsidRPr="00FA04BF" w:rsidRDefault="007455B4" w:rsidP="007455B4">
      <w:pPr>
        <w:spacing w:line="276" w:lineRule="auto"/>
        <w:jc w:val="both"/>
        <w:rPr>
          <w:rFonts w:ascii="Arial" w:hAnsi="Arial" w:cs="Arial"/>
          <w:b/>
          <w:sz w:val="24"/>
          <w:szCs w:val="24"/>
        </w:rPr>
      </w:pPr>
      <w:r w:rsidRPr="00FA04BF">
        <w:rPr>
          <w:rFonts w:ascii="Arial" w:hAnsi="Arial" w:cs="Arial"/>
          <w:b/>
          <w:sz w:val="24"/>
          <w:szCs w:val="24"/>
        </w:rPr>
        <w:lastRenderedPageBreak/>
        <w:t>Aus der A</w:t>
      </w:r>
      <w:r>
        <w:rPr>
          <w:rFonts w:ascii="Arial" w:hAnsi="Arial" w:cs="Arial"/>
          <w:b/>
          <w:sz w:val="24"/>
          <w:szCs w:val="24"/>
        </w:rPr>
        <w:t xml:space="preserve">nklageschrift vom 04. Juni 1935, verfasst vom Oberreichsanwalt in Berlin </w:t>
      </w:r>
    </w:p>
    <w:p w:rsidR="00C6267C" w:rsidRPr="00FA04BF" w:rsidRDefault="007455B4" w:rsidP="007455B4">
      <w:pPr>
        <w:spacing w:line="276" w:lineRule="auto"/>
        <w:jc w:val="both"/>
        <w:rPr>
          <w:rFonts w:ascii="Arial" w:hAnsi="Arial" w:cs="Arial"/>
          <w:sz w:val="24"/>
          <w:szCs w:val="24"/>
        </w:rPr>
      </w:pPr>
      <w:r w:rsidRPr="00FA04BF">
        <w:rPr>
          <w:rFonts w:ascii="Arial" w:hAnsi="Arial" w:cs="Arial"/>
          <w:sz w:val="24"/>
          <w:szCs w:val="24"/>
        </w:rPr>
        <w:t xml:space="preserve"> </w:t>
      </w:r>
      <w:r w:rsidR="00C6267C" w:rsidRPr="00FA04BF">
        <w:rPr>
          <w:rFonts w:ascii="Arial" w:hAnsi="Arial" w:cs="Arial"/>
          <w:sz w:val="24"/>
          <w:szCs w:val="24"/>
        </w:rPr>
        <w:t>„Den Dachdecker Helmut</w:t>
      </w:r>
      <w:r w:rsidR="00C6267C">
        <w:rPr>
          <w:rFonts w:ascii="Arial" w:hAnsi="Arial" w:cs="Arial"/>
          <w:sz w:val="24"/>
          <w:szCs w:val="24"/>
        </w:rPr>
        <w:t>h</w:t>
      </w:r>
      <w:r w:rsidR="00C6267C" w:rsidRPr="00FA04BF">
        <w:rPr>
          <w:rFonts w:ascii="Arial" w:hAnsi="Arial" w:cs="Arial"/>
          <w:sz w:val="24"/>
          <w:szCs w:val="24"/>
        </w:rPr>
        <w:t xml:space="preserve"> Karl Hans Kohl aus Mannheim, geboren daselbst am 3. April 1914, ledig, […] klage ich an, im Inlande, zum Teil auch in der Schweiz, von Anfang Juni 1933 bis zum Januar 1935 fortgesetzt und gemeinschaftlich mit anderen das hochverräterische Unternehmen, mit Gewalt die Verfassung des Reiches zu ändern, vorbereitet zu haben, wobei die Tat darauf gerichtet war, zur Vorbereitung des Hochverrats einen organisatorischen Zusammenhalt aufrechtzuerhalten und die Massen durch Verbreitung von Schriften zu beeinflussen, sowie zum Teil im Auslande begangen worden ist […]. Dem Angeschuldigten wird zur Last gelegt, sich an diesen Bestrebungen um den Wiederaufbau des KJVD (Kommunistischer Jugendverband Deutschlands) beteiligt und hierdurch die kommunistischen Umsturzpläne gefördert zu haben.“ </w:t>
      </w:r>
    </w:p>
    <w:p w:rsidR="00C6267C" w:rsidRPr="00FA04BF" w:rsidRDefault="00C6267C" w:rsidP="00C6267C">
      <w:pPr>
        <w:spacing w:line="276" w:lineRule="auto"/>
        <w:jc w:val="both"/>
        <w:rPr>
          <w:rFonts w:ascii="Arial" w:hAnsi="Arial" w:cs="Arial"/>
          <w:sz w:val="16"/>
          <w:szCs w:val="24"/>
        </w:rPr>
      </w:pPr>
      <w:r w:rsidRPr="00FA04BF">
        <w:rPr>
          <w:rFonts w:ascii="Arial" w:hAnsi="Arial" w:cs="Arial"/>
          <w:sz w:val="16"/>
          <w:szCs w:val="24"/>
        </w:rPr>
        <w:t>Quelle: Anklage 14J 21/35, in: Nationalsozialismus, Holocaust</w:t>
      </w:r>
      <w:r w:rsidR="0035600E">
        <w:rPr>
          <w:rFonts w:ascii="Arial" w:hAnsi="Arial" w:cs="Arial"/>
          <w:sz w:val="16"/>
          <w:szCs w:val="24"/>
        </w:rPr>
        <w:t xml:space="preserve">, Widerstand und Exil 1933-1935. Online-Datenbank. De </w:t>
      </w:r>
      <w:proofErr w:type="spellStart"/>
      <w:r w:rsidR="0035600E">
        <w:rPr>
          <w:rFonts w:ascii="Arial" w:hAnsi="Arial" w:cs="Arial"/>
          <w:sz w:val="16"/>
          <w:szCs w:val="24"/>
        </w:rPr>
        <w:t>Gruyter</w:t>
      </w:r>
      <w:proofErr w:type="spellEnd"/>
      <w:r w:rsidR="0035600E">
        <w:rPr>
          <w:rFonts w:ascii="Arial" w:hAnsi="Arial" w:cs="Arial"/>
          <w:sz w:val="16"/>
          <w:szCs w:val="24"/>
        </w:rPr>
        <w:t>,</w:t>
      </w:r>
      <w:r w:rsidRPr="00FA04BF">
        <w:rPr>
          <w:rFonts w:ascii="Arial" w:hAnsi="Arial" w:cs="Arial"/>
          <w:sz w:val="16"/>
          <w:szCs w:val="24"/>
        </w:rPr>
        <w:t xml:space="preserve"> S. 1-3 (</w:t>
      </w:r>
      <w:hyperlink r:id="rId10" w:history="1">
        <w:r w:rsidRPr="00FA04BF">
          <w:rPr>
            <w:rStyle w:val="Hyperlink"/>
            <w:rFonts w:ascii="Arial" w:hAnsi="Arial" w:cs="Arial"/>
            <w:sz w:val="16"/>
            <w:szCs w:val="24"/>
          </w:rPr>
          <w:t>http://db.saur.de/DGO/basicFullCitationView.jsf?documentId=wh116</w:t>
        </w:r>
      </w:hyperlink>
      <w:r w:rsidRPr="00FA04BF">
        <w:rPr>
          <w:rFonts w:ascii="Arial" w:hAnsi="Arial" w:cs="Arial"/>
          <w:sz w:val="16"/>
          <w:szCs w:val="24"/>
        </w:rPr>
        <w:t xml:space="preserve">, 05.07.2017). </w:t>
      </w:r>
    </w:p>
    <w:p w:rsidR="00C6267C" w:rsidRDefault="00C6267C" w:rsidP="00915183">
      <w:pPr>
        <w:suppressLineNumbers/>
        <w:spacing w:line="276" w:lineRule="auto"/>
        <w:jc w:val="both"/>
        <w:rPr>
          <w:rFonts w:ascii="Arial" w:hAnsi="Arial" w:cs="Arial"/>
          <w:sz w:val="24"/>
          <w:szCs w:val="24"/>
        </w:rPr>
      </w:pPr>
    </w:p>
    <w:p w:rsidR="00C6267C" w:rsidRPr="00FA04BF" w:rsidRDefault="00C6267C" w:rsidP="00915183">
      <w:pPr>
        <w:suppressLineNumbers/>
        <w:spacing w:line="276" w:lineRule="auto"/>
        <w:jc w:val="both"/>
        <w:rPr>
          <w:rFonts w:ascii="Arial" w:hAnsi="Arial" w:cs="Arial"/>
          <w:sz w:val="24"/>
          <w:szCs w:val="24"/>
        </w:rPr>
      </w:pPr>
      <w:r>
        <w:rPr>
          <w:noProof/>
          <w:lang w:eastAsia="de-DE"/>
        </w:rPr>
        <w:drawing>
          <wp:inline distT="0" distB="0" distL="0" distR="0">
            <wp:extent cx="224155" cy="180975"/>
            <wp:effectExtent l="0" t="0" r="4445" b="9525"/>
            <wp:docPr id="1" name="Grafik 1"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155" cy="180975"/>
                    </a:xfrm>
                    <a:prstGeom prst="rect">
                      <a:avLst/>
                    </a:prstGeom>
                    <a:noFill/>
                    <a:ln>
                      <a:noFill/>
                    </a:ln>
                  </pic:spPr>
                </pic:pic>
              </a:graphicData>
            </a:graphic>
          </wp:inline>
        </w:drawing>
      </w:r>
      <w:r>
        <w:t xml:space="preserve"> </w:t>
      </w:r>
      <w:r w:rsidRPr="0014158F">
        <w:rPr>
          <w:rFonts w:ascii="Arial" w:hAnsi="Arial" w:cs="Arial"/>
          <w:b/>
          <w:sz w:val="24"/>
          <w:szCs w:val="24"/>
        </w:rPr>
        <w:t>Arbeitsauftrag</w:t>
      </w:r>
      <w:r>
        <w:rPr>
          <w:rFonts w:ascii="Arial" w:hAnsi="Arial" w:cs="Arial"/>
          <w:sz w:val="24"/>
          <w:szCs w:val="24"/>
        </w:rPr>
        <w:t xml:space="preserve"> </w:t>
      </w:r>
      <w:r w:rsidR="00915183" w:rsidRPr="00915183">
        <w:rPr>
          <w:rFonts w:ascii="Arial" w:hAnsi="Arial" w:cs="Arial"/>
          <w:b/>
          <w:sz w:val="24"/>
          <w:szCs w:val="24"/>
        </w:rPr>
        <w:t>2</w:t>
      </w:r>
    </w:p>
    <w:p w:rsidR="00714FF0" w:rsidRPr="00B76DF6" w:rsidRDefault="00714FF0" w:rsidP="00940EA7">
      <w:pPr>
        <w:pStyle w:val="Listenabsatz"/>
        <w:suppressLineNumbers/>
        <w:spacing w:line="276" w:lineRule="auto"/>
        <w:jc w:val="both"/>
        <w:rPr>
          <w:rFonts w:ascii="Arial" w:hAnsi="Arial" w:cs="Arial"/>
          <w:sz w:val="24"/>
          <w:szCs w:val="24"/>
        </w:rPr>
      </w:pPr>
      <w:r w:rsidRPr="00BB333A">
        <w:rPr>
          <w:rFonts w:ascii="Arial" w:hAnsi="Arial" w:cs="Arial"/>
          <w:sz w:val="24"/>
          <w:szCs w:val="24"/>
        </w:rPr>
        <w:t>Erarbeiten Sie die Anklagepunkte gegen Helmut</w:t>
      </w:r>
      <w:r>
        <w:rPr>
          <w:rFonts w:ascii="Arial" w:hAnsi="Arial" w:cs="Arial"/>
          <w:sz w:val="24"/>
          <w:szCs w:val="24"/>
        </w:rPr>
        <w:t>h</w:t>
      </w:r>
      <w:r w:rsidRPr="00BB333A">
        <w:rPr>
          <w:rFonts w:ascii="Arial" w:hAnsi="Arial" w:cs="Arial"/>
          <w:sz w:val="24"/>
          <w:szCs w:val="24"/>
        </w:rPr>
        <w:t xml:space="preserve"> Kohl. </w:t>
      </w:r>
    </w:p>
    <w:p w:rsidR="00C6267C" w:rsidRPr="00714FF0" w:rsidRDefault="00714FF0" w:rsidP="00940EA7">
      <w:pPr>
        <w:pStyle w:val="Listenabsatz"/>
        <w:suppressLineNumbers/>
        <w:spacing w:line="276" w:lineRule="auto"/>
        <w:jc w:val="both"/>
        <w:rPr>
          <w:rFonts w:ascii="Arial" w:hAnsi="Arial" w:cs="Arial"/>
          <w:sz w:val="24"/>
          <w:szCs w:val="24"/>
        </w:rPr>
      </w:pPr>
      <w:r w:rsidRPr="00FA04BF">
        <w:rPr>
          <w:rFonts w:ascii="Arial" w:hAnsi="Arial" w:cs="Arial"/>
          <w:sz w:val="24"/>
          <w:szCs w:val="24"/>
        </w:rPr>
        <w:t>Erklären Sie, warum die Betätigung und Weiterführung der KPD und des KJVD illegal, und somit in der Zeit d</w:t>
      </w:r>
      <w:r w:rsidR="00B05E69">
        <w:rPr>
          <w:rFonts w:ascii="Arial" w:hAnsi="Arial" w:cs="Arial"/>
          <w:sz w:val="24"/>
          <w:szCs w:val="24"/>
        </w:rPr>
        <w:t>es Nationalsozialismus strafbar</w:t>
      </w:r>
      <w:r w:rsidRPr="00FA04BF">
        <w:rPr>
          <w:rFonts w:ascii="Arial" w:hAnsi="Arial" w:cs="Arial"/>
          <w:sz w:val="24"/>
          <w:szCs w:val="24"/>
        </w:rPr>
        <w:t xml:space="preserve"> </w:t>
      </w:r>
      <w:r>
        <w:rPr>
          <w:rFonts w:ascii="Arial" w:hAnsi="Arial" w:cs="Arial"/>
          <w:sz w:val="24"/>
          <w:szCs w:val="24"/>
        </w:rPr>
        <w:t>waren.</w:t>
      </w:r>
      <w:r w:rsidR="00C6267C" w:rsidRPr="00714FF0">
        <w:rPr>
          <w:rFonts w:ascii="Arial" w:hAnsi="Arial" w:cs="Arial"/>
          <w:sz w:val="24"/>
          <w:szCs w:val="24"/>
        </w:rPr>
        <w:t xml:space="preserve"> </w:t>
      </w:r>
    </w:p>
    <w:p w:rsidR="00C6267C" w:rsidRDefault="00C6267C" w:rsidP="00915183">
      <w:pPr>
        <w:suppressLineNumbers/>
        <w:ind w:left="360"/>
        <w:jc w:val="both"/>
        <w:rPr>
          <w:rFonts w:ascii="Arial" w:hAnsi="Arial" w:cs="Arial"/>
          <w:sz w:val="24"/>
          <w:szCs w:val="24"/>
        </w:rPr>
        <w:sectPr w:rsidR="00C6267C" w:rsidSect="00915183">
          <w:footerReference w:type="default" r:id="rId12"/>
          <w:pgSz w:w="11906" w:h="16838"/>
          <w:pgMar w:top="1418" w:right="1418" w:bottom="1134" w:left="1418" w:header="709" w:footer="709" w:gutter="0"/>
          <w:lnNumType w:countBy="5" w:restart="newSection"/>
          <w:cols w:space="708"/>
          <w:docGrid w:linePitch="360"/>
        </w:sectPr>
      </w:pPr>
    </w:p>
    <w:p w:rsidR="00C6267C" w:rsidRPr="00D32173" w:rsidRDefault="00C6267C" w:rsidP="00C6267C">
      <w:pPr>
        <w:spacing w:line="276" w:lineRule="auto"/>
        <w:jc w:val="both"/>
        <w:rPr>
          <w:rFonts w:ascii="Arial" w:hAnsi="Arial" w:cs="Arial"/>
          <w:b/>
          <w:sz w:val="24"/>
          <w:szCs w:val="24"/>
        </w:rPr>
      </w:pPr>
      <w:r w:rsidRPr="00D32173">
        <w:rPr>
          <w:rFonts w:ascii="Arial" w:hAnsi="Arial" w:cs="Arial"/>
          <w:b/>
          <w:sz w:val="24"/>
          <w:szCs w:val="24"/>
        </w:rPr>
        <w:lastRenderedPageBreak/>
        <w:t>Das Urteil gegen Helmut</w:t>
      </w:r>
      <w:r>
        <w:rPr>
          <w:rFonts w:ascii="Arial" w:hAnsi="Arial" w:cs="Arial"/>
          <w:b/>
          <w:sz w:val="24"/>
          <w:szCs w:val="24"/>
        </w:rPr>
        <w:t>h</w:t>
      </w:r>
      <w:r w:rsidRPr="00D32173">
        <w:rPr>
          <w:rFonts w:ascii="Arial" w:hAnsi="Arial" w:cs="Arial"/>
          <w:b/>
          <w:sz w:val="24"/>
          <w:szCs w:val="24"/>
        </w:rPr>
        <w:t xml:space="preserve"> Kohl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 xml:space="preserve">„Die Tätigkeit des Angeklagten Kohl vom 15. Oktober 1934 in Mannheim und Ludwigshafen bis zu seiner Verhaftung“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„Der Angeklagte wird wegen Vorbereitung eines hochverräterischen Unternehmens unter erschwerenden Umständen zu einer Zuchthausstrafe</w:t>
      </w:r>
      <w:r w:rsidRPr="00D32173">
        <w:rPr>
          <w:rStyle w:val="Funotenzeichen"/>
          <w:rFonts w:ascii="Arial" w:hAnsi="Arial" w:cs="Arial"/>
          <w:sz w:val="24"/>
          <w:szCs w:val="24"/>
        </w:rPr>
        <w:footnoteReference w:id="4"/>
      </w:r>
      <w:r w:rsidRPr="00D32173">
        <w:rPr>
          <w:rFonts w:ascii="Arial" w:hAnsi="Arial" w:cs="Arial"/>
          <w:sz w:val="24"/>
          <w:szCs w:val="24"/>
        </w:rPr>
        <w:t xml:space="preserve"> von – 3 – drei – Jahren – 6 – Monaten verurteilt.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 xml:space="preserve">Gründe: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 xml:space="preserve">Der Angeklagte, der von da ab [gemeint ist hier seit dem 15. Oktober 1934] den Decknamen </w:t>
      </w:r>
      <w:r w:rsidR="00E13A93">
        <w:rPr>
          <w:rFonts w:ascii="Arial" w:hAnsi="Arial" w:cs="Arial"/>
          <w:sz w:val="24"/>
          <w:szCs w:val="24"/>
        </w:rPr>
        <w:t>‚</w:t>
      </w:r>
      <w:r w:rsidRPr="00D32173">
        <w:rPr>
          <w:rFonts w:ascii="Arial" w:hAnsi="Arial" w:cs="Arial"/>
          <w:sz w:val="24"/>
          <w:szCs w:val="24"/>
        </w:rPr>
        <w:t>Leo</w:t>
      </w:r>
      <w:r w:rsidR="00E13A93">
        <w:rPr>
          <w:rFonts w:ascii="Arial" w:hAnsi="Arial" w:cs="Arial"/>
          <w:sz w:val="24"/>
          <w:szCs w:val="24"/>
        </w:rPr>
        <w:t xml:space="preserve">‘ </w:t>
      </w:r>
      <w:r w:rsidRPr="00D32173">
        <w:rPr>
          <w:rFonts w:ascii="Arial" w:hAnsi="Arial" w:cs="Arial"/>
          <w:sz w:val="24"/>
          <w:szCs w:val="24"/>
        </w:rPr>
        <w:t xml:space="preserve">führte, hatte die Aufgabe, im Rahmen des Wiederaufbaus der illegalen KJVD (Kommunistischer Jugendverband Deutschlands) die Betriebs- und Straßenzellen aufzuziehen. […]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Zu den Aufgaben des Angeklagten Kohl gehörte durch die Weiterleitung von Schriftenmaterial an seine Unterbezirksleiter und Stadtteilleiter zum Zwecke der Weiterverbre</w:t>
      </w:r>
      <w:r w:rsidR="00E13A93">
        <w:rPr>
          <w:rFonts w:ascii="Arial" w:hAnsi="Arial" w:cs="Arial"/>
          <w:sz w:val="24"/>
          <w:szCs w:val="24"/>
        </w:rPr>
        <w:t>itung. Der Angeklagte Kohl hat ‚</w:t>
      </w:r>
      <w:r w:rsidRPr="00D32173">
        <w:rPr>
          <w:rFonts w:ascii="Arial" w:hAnsi="Arial" w:cs="Arial"/>
          <w:sz w:val="24"/>
          <w:szCs w:val="24"/>
        </w:rPr>
        <w:t>Die Junge Garde</w:t>
      </w:r>
      <w:r w:rsidR="00E13A93">
        <w:rPr>
          <w:rFonts w:ascii="Arial" w:hAnsi="Arial" w:cs="Arial"/>
          <w:sz w:val="24"/>
          <w:szCs w:val="24"/>
        </w:rPr>
        <w:t>‘</w:t>
      </w:r>
      <w:r w:rsidRPr="00D32173">
        <w:rPr>
          <w:rFonts w:ascii="Arial" w:hAnsi="Arial" w:cs="Arial"/>
          <w:sz w:val="24"/>
          <w:szCs w:val="24"/>
        </w:rPr>
        <w:t xml:space="preserve"> in sechzig Exemplaren und Thälmann-Bilder</w:t>
      </w:r>
      <w:r w:rsidRPr="00D32173">
        <w:rPr>
          <w:rStyle w:val="Funotenzeichen"/>
          <w:rFonts w:ascii="Arial" w:hAnsi="Arial" w:cs="Arial"/>
          <w:sz w:val="24"/>
          <w:szCs w:val="24"/>
        </w:rPr>
        <w:footnoteReference w:id="5"/>
      </w:r>
      <w:r w:rsidRPr="00D32173">
        <w:rPr>
          <w:rFonts w:ascii="Arial" w:hAnsi="Arial" w:cs="Arial"/>
          <w:sz w:val="24"/>
          <w:szCs w:val="24"/>
        </w:rPr>
        <w:t xml:space="preserve"> an die Unterbezirke zur Verbreitung weitergeleitet. </w:t>
      </w:r>
      <w:r w:rsidR="00E13A93">
        <w:rPr>
          <w:rFonts w:ascii="Arial" w:hAnsi="Arial" w:cs="Arial"/>
          <w:sz w:val="24"/>
          <w:szCs w:val="24"/>
        </w:rPr>
        <w:t>‚Die junge Garde‘</w:t>
      </w:r>
      <w:r w:rsidRPr="00D32173">
        <w:rPr>
          <w:rFonts w:ascii="Arial" w:hAnsi="Arial" w:cs="Arial"/>
          <w:sz w:val="24"/>
          <w:szCs w:val="24"/>
        </w:rPr>
        <w:t xml:space="preserve"> ist die gerichtsbekannte Jugendhetzschrift der illegalen KPD. Die Unterbezirksleiter verkauften diese Zeitschriften an die von ihnen </w:t>
      </w:r>
      <w:proofErr w:type="spellStart"/>
      <w:r w:rsidRPr="00D32173">
        <w:rPr>
          <w:rFonts w:ascii="Arial" w:hAnsi="Arial" w:cs="Arial"/>
          <w:sz w:val="24"/>
          <w:szCs w:val="24"/>
        </w:rPr>
        <w:t>zusammengefaßten</w:t>
      </w:r>
      <w:proofErr w:type="spellEnd"/>
      <w:r w:rsidRPr="00D32173">
        <w:rPr>
          <w:rFonts w:ascii="Arial" w:hAnsi="Arial" w:cs="Arial"/>
          <w:sz w:val="24"/>
          <w:szCs w:val="24"/>
        </w:rPr>
        <w:t xml:space="preserve"> Genossen und lieferten das eingenommene Geld a</w:t>
      </w:r>
      <w:r w:rsidR="00E13A93">
        <w:rPr>
          <w:rFonts w:ascii="Arial" w:hAnsi="Arial" w:cs="Arial"/>
          <w:sz w:val="24"/>
          <w:szCs w:val="24"/>
        </w:rPr>
        <w:t>n den Angeklagten Kohl ab. Von ‚Emil‘</w:t>
      </w:r>
      <w:r w:rsidRPr="00D32173">
        <w:rPr>
          <w:rFonts w:ascii="Arial" w:hAnsi="Arial" w:cs="Arial"/>
          <w:sz w:val="24"/>
          <w:szCs w:val="24"/>
        </w:rPr>
        <w:t xml:space="preserve"> erhielt der A</w:t>
      </w:r>
      <w:r w:rsidR="00E13A93">
        <w:rPr>
          <w:rFonts w:ascii="Arial" w:hAnsi="Arial" w:cs="Arial"/>
          <w:sz w:val="24"/>
          <w:szCs w:val="24"/>
        </w:rPr>
        <w:t>ngeklagte noch eine Nummer der ‚Roten Fahne‘</w:t>
      </w:r>
      <w:r w:rsidRPr="00D32173">
        <w:rPr>
          <w:rFonts w:ascii="Arial" w:hAnsi="Arial" w:cs="Arial"/>
          <w:sz w:val="24"/>
          <w:szCs w:val="24"/>
        </w:rPr>
        <w:t xml:space="preserve">, die er aber nicht weiterverbreitet haben will […].“ </w:t>
      </w:r>
    </w:p>
    <w:p w:rsidR="00C6267C" w:rsidRPr="00D32173" w:rsidRDefault="00C6267C" w:rsidP="00C6267C">
      <w:pPr>
        <w:spacing w:line="276" w:lineRule="auto"/>
        <w:jc w:val="both"/>
        <w:rPr>
          <w:rFonts w:ascii="Arial" w:hAnsi="Arial" w:cs="Arial"/>
          <w:sz w:val="16"/>
          <w:szCs w:val="24"/>
        </w:rPr>
      </w:pPr>
      <w:r w:rsidRPr="00D32173">
        <w:rPr>
          <w:rFonts w:ascii="Arial" w:hAnsi="Arial" w:cs="Arial"/>
          <w:sz w:val="16"/>
          <w:szCs w:val="24"/>
        </w:rPr>
        <w:t>Quelle: Urteil 1</w:t>
      </w:r>
      <w:r w:rsidR="0035600E">
        <w:rPr>
          <w:rFonts w:ascii="Arial" w:hAnsi="Arial" w:cs="Arial"/>
          <w:sz w:val="16"/>
          <w:szCs w:val="24"/>
        </w:rPr>
        <w:t>H</w:t>
      </w:r>
      <w:r w:rsidRPr="00D32173">
        <w:rPr>
          <w:rFonts w:ascii="Arial" w:hAnsi="Arial" w:cs="Arial"/>
          <w:sz w:val="16"/>
          <w:szCs w:val="24"/>
        </w:rPr>
        <w:t xml:space="preserve"> 32/35 – 14J 21/35, in: Nationalsozialismus, Holocaust</w:t>
      </w:r>
      <w:r w:rsidR="0035600E">
        <w:rPr>
          <w:rFonts w:ascii="Arial" w:hAnsi="Arial" w:cs="Arial"/>
          <w:sz w:val="16"/>
          <w:szCs w:val="24"/>
        </w:rPr>
        <w:t>, Widerstand und Exil 1933-1935. Online-Datenbank. De Gruyter,</w:t>
      </w:r>
      <w:bookmarkStart w:id="0" w:name="_GoBack"/>
      <w:bookmarkEnd w:id="0"/>
      <w:r w:rsidRPr="00D32173">
        <w:rPr>
          <w:rFonts w:ascii="Arial" w:hAnsi="Arial" w:cs="Arial"/>
          <w:sz w:val="16"/>
          <w:szCs w:val="24"/>
        </w:rPr>
        <w:t xml:space="preserve"> S. 1 und 8 (http://db.saur.de/DGO/basicFullCitationView.jsf?documentId=wh117, 05.07.2017). </w:t>
      </w:r>
    </w:p>
    <w:p w:rsidR="00C6267C" w:rsidRDefault="00C6267C" w:rsidP="00915183">
      <w:pPr>
        <w:suppressLineNumbers/>
        <w:spacing w:line="276" w:lineRule="auto"/>
        <w:jc w:val="both"/>
        <w:rPr>
          <w:rFonts w:ascii="Arial" w:hAnsi="Arial" w:cs="Arial"/>
          <w:sz w:val="24"/>
          <w:szCs w:val="24"/>
        </w:rPr>
      </w:pPr>
    </w:p>
    <w:p w:rsidR="00C6267C" w:rsidRPr="005277BF" w:rsidRDefault="00C6267C" w:rsidP="00915183">
      <w:pPr>
        <w:suppressLineNumbers/>
        <w:spacing w:line="276" w:lineRule="auto"/>
        <w:jc w:val="both"/>
        <w:rPr>
          <w:rFonts w:ascii="Arial" w:hAnsi="Arial" w:cs="Arial"/>
          <w:b/>
          <w:sz w:val="24"/>
          <w:szCs w:val="24"/>
        </w:rPr>
      </w:pPr>
      <w:r>
        <w:rPr>
          <w:noProof/>
          <w:lang w:eastAsia="de-DE"/>
        </w:rPr>
        <w:drawing>
          <wp:inline distT="0" distB="0" distL="0" distR="0">
            <wp:extent cx="224155" cy="180975"/>
            <wp:effectExtent l="0" t="0" r="4445" b="9525"/>
            <wp:docPr id="2" name="Grafik 2"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155" cy="180975"/>
                    </a:xfrm>
                    <a:prstGeom prst="rect">
                      <a:avLst/>
                    </a:prstGeom>
                    <a:noFill/>
                    <a:ln>
                      <a:noFill/>
                    </a:ln>
                  </pic:spPr>
                </pic:pic>
              </a:graphicData>
            </a:graphic>
          </wp:inline>
        </w:drawing>
      </w:r>
      <w:r>
        <w:t xml:space="preserve"> </w:t>
      </w:r>
      <w:r w:rsidRPr="005277BF">
        <w:rPr>
          <w:rFonts w:ascii="Arial" w:hAnsi="Arial" w:cs="Arial"/>
          <w:b/>
          <w:sz w:val="24"/>
          <w:szCs w:val="24"/>
        </w:rPr>
        <w:t xml:space="preserve">Arbeitsauftrag </w:t>
      </w:r>
      <w:r w:rsidR="00915183">
        <w:rPr>
          <w:rFonts w:ascii="Arial" w:hAnsi="Arial" w:cs="Arial"/>
          <w:b/>
          <w:sz w:val="24"/>
          <w:szCs w:val="24"/>
        </w:rPr>
        <w:t>3</w:t>
      </w:r>
    </w:p>
    <w:p w:rsidR="002A642B" w:rsidRPr="00C6267C" w:rsidRDefault="00C6267C" w:rsidP="003E6AF0">
      <w:pPr>
        <w:pStyle w:val="Listenabsatz"/>
        <w:suppressLineNumbers/>
        <w:spacing w:line="276" w:lineRule="auto"/>
        <w:ind w:left="1065"/>
        <w:jc w:val="both"/>
        <w:rPr>
          <w:rFonts w:ascii="Arial" w:hAnsi="Arial" w:cs="Arial"/>
          <w:sz w:val="24"/>
          <w:szCs w:val="24"/>
        </w:rPr>
      </w:pPr>
      <w:r w:rsidRPr="00D32173">
        <w:rPr>
          <w:rFonts w:ascii="Arial" w:hAnsi="Arial" w:cs="Arial"/>
          <w:sz w:val="24"/>
          <w:szCs w:val="24"/>
        </w:rPr>
        <w:t xml:space="preserve">Geben Sie die Anklagepunkte wieder, die </w:t>
      </w:r>
      <w:r w:rsidR="003E6AF0">
        <w:rPr>
          <w:rFonts w:ascii="Arial" w:hAnsi="Arial" w:cs="Arial"/>
          <w:sz w:val="24"/>
          <w:szCs w:val="24"/>
        </w:rPr>
        <w:t xml:space="preserve">zu seiner Verurteilung führten. </w:t>
      </w:r>
    </w:p>
    <w:sectPr w:rsidR="002A642B" w:rsidRPr="00C6267C" w:rsidSect="00915183">
      <w:footerReference w:type="default" r:id="rId13"/>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F24" w:rsidRDefault="00B76F24" w:rsidP="00CA6CC0">
      <w:pPr>
        <w:spacing w:after="0" w:line="240" w:lineRule="auto"/>
      </w:pPr>
      <w:r>
        <w:separator/>
      </w:r>
    </w:p>
  </w:endnote>
  <w:endnote w:type="continuationSeparator" w:id="0">
    <w:p w:rsidR="00B76F24" w:rsidRDefault="00B76F24" w:rsidP="00CA6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6A9" w:rsidRDefault="00CC76A9" w:rsidP="00CC76A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CC76A9" w:rsidRDefault="00CC76A9" w:rsidP="00CC76A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4BF" w:rsidRDefault="001A46AC" w:rsidP="00FA04BF">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FA04BF" w:rsidRDefault="001A46AC" w:rsidP="00FA04BF">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28A" w:rsidRPr="004530FD" w:rsidRDefault="001A46AC" w:rsidP="0093528A">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3528A" w:rsidRPr="0093528A" w:rsidRDefault="001A46AC" w:rsidP="0093528A">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F24" w:rsidRDefault="00B76F24" w:rsidP="00CA6CC0">
      <w:pPr>
        <w:spacing w:after="0" w:line="240" w:lineRule="auto"/>
      </w:pPr>
      <w:r>
        <w:separator/>
      </w:r>
    </w:p>
  </w:footnote>
  <w:footnote w:type="continuationSeparator" w:id="0">
    <w:p w:rsidR="00B76F24" w:rsidRDefault="00B76F24" w:rsidP="00CA6CC0">
      <w:pPr>
        <w:spacing w:after="0" w:line="240" w:lineRule="auto"/>
      </w:pPr>
      <w:r>
        <w:continuationSeparator/>
      </w:r>
    </w:p>
  </w:footnote>
  <w:footnote w:id="1">
    <w:p w:rsidR="00CA6CC0" w:rsidRPr="00CC76A9" w:rsidRDefault="00CA6CC0">
      <w:pPr>
        <w:pStyle w:val="Funotentext"/>
        <w:rPr>
          <w:rFonts w:ascii="Arial" w:hAnsi="Arial" w:cs="Arial"/>
        </w:rPr>
      </w:pPr>
      <w:r w:rsidRPr="00CC76A9">
        <w:rPr>
          <w:rStyle w:val="Funotenzeichen"/>
          <w:rFonts w:ascii="Arial" w:hAnsi="Arial" w:cs="Arial"/>
        </w:rPr>
        <w:footnoteRef/>
      </w:r>
      <w:r w:rsidRPr="00CC76A9">
        <w:rPr>
          <w:rFonts w:ascii="Arial" w:hAnsi="Arial" w:cs="Arial"/>
        </w:rPr>
        <w:t xml:space="preserve"> Gemeint ist hier das französische </w:t>
      </w:r>
      <w:proofErr w:type="spellStart"/>
      <w:r w:rsidRPr="00CC76A9">
        <w:rPr>
          <w:rFonts w:ascii="Arial" w:hAnsi="Arial" w:cs="Arial"/>
        </w:rPr>
        <w:t>Forbach</w:t>
      </w:r>
      <w:proofErr w:type="spellEnd"/>
      <w:r w:rsidRPr="00CC76A9">
        <w:rPr>
          <w:rFonts w:ascii="Arial" w:hAnsi="Arial" w:cs="Arial"/>
        </w:rPr>
        <w:t xml:space="preserve"> (Moselle) in Lothringen. </w:t>
      </w:r>
    </w:p>
  </w:footnote>
  <w:footnote w:id="2">
    <w:p w:rsidR="00D00FA8" w:rsidRPr="00CC76A9" w:rsidRDefault="00D00FA8">
      <w:pPr>
        <w:pStyle w:val="Funotentext"/>
        <w:rPr>
          <w:rFonts w:ascii="Arial" w:hAnsi="Arial" w:cs="Arial"/>
        </w:rPr>
      </w:pPr>
      <w:r w:rsidRPr="00CC76A9">
        <w:rPr>
          <w:rStyle w:val="Funotenzeichen"/>
          <w:rFonts w:ascii="Arial" w:hAnsi="Arial" w:cs="Arial"/>
        </w:rPr>
        <w:footnoteRef/>
      </w:r>
      <w:r w:rsidRPr="00CC76A9">
        <w:rPr>
          <w:rFonts w:ascii="Arial" w:hAnsi="Arial" w:cs="Arial"/>
        </w:rPr>
        <w:t xml:space="preserve"> </w:t>
      </w:r>
      <w:proofErr w:type="spellStart"/>
      <w:r w:rsidRPr="00CC76A9">
        <w:rPr>
          <w:rFonts w:ascii="Arial" w:hAnsi="Arial" w:cs="Arial"/>
        </w:rPr>
        <w:t>Sidi</w:t>
      </w:r>
      <w:proofErr w:type="spellEnd"/>
      <w:r w:rsidRPr="00CC76A9">
        <w:rPr>
          <w:rFonts w:ascii="Arial" w:hAnsi="Arial" w:cs="Arial"/>
        </w:rPr>
        <w:t xml:space="preserve"> </w:t>
      </w:r>
      <w:proofErr w:type="spellStart"/>
      <w:r w:rsidRPr="00CC76A9">
        <w:rPr>
          <w:rFonts w:ascii="Arial" w:hAnsi="Arial" w:cs="Arial"/>
        </w:rPr>
        <w:t>bel</w:t>
      </w:r>
      <w:proofErr w:type="spellEnd"/>
      <w:r w:rsidRPr="00CC76A9">
        <w:rPr>
          <w:rFonts w:ascii="Arial" w:hAnsi="Arial" w:cs="Arial"/>
        </w:rPr>
        <w:t xml:space="preserve"> </w:t>
      </w:r>
      <w:proofErr w:type="spellStart"/>
      <w:r w:rsidRPr="00CC76A9">
        <w:rPr>
          <w:rFonts w:ascii="Arial" w:hAnsi="Arial" w:cs="Arial"/>
        </w:rPr>
        <w:t>Abbès</w:t>
      </w:r>
      <w:proofErr w:type="spellEnd"/>
      <w:r w:rsidRPr="00CC76A9">
        <w:rPr>
          <w:rFonts w:ascii="Arial" w:hAnsi="Arial" w:cs="Arial"/>
        </w:rPr>
        <w:t xml:space="preserve"> ist eine Stadt im heutigen Algerien</w:t>
      </w:r>
      <w:r w:rsidR="00DB2730" w:rsidRPr="00CC76A9">
        <w:rPr>
          <w:rFonts w:ascii="Arial" w:hAnsi="Arial" w:cs="Arial"/>
        </w:rPr>
        <w:t xml:space="preserve">, ehemals französische Kolonie, </w:t>
      </w:r>
      <w:r w:rsidRPr="00CC76A9">
        <w:rPr>
          <w:rFonts w:ascii="Arial" w:hAnsi="Arial" w:cs="Arial"/>
        </w:rPr>
        <w:t xml:space="preserve">und liegt ca. 75 Kilometer südlich der Küste zum Mittelmeer auf etwa 470 Metern Höhe im Atlasgebirge. </w:t>
      </w:r>
      <w:r w:rsidR="00DB2730" w:rsidRPr="00CC76A9">
        <w:rPr>
          <w:rFonts w:ascii="Arial" w:hAnsi="Arial" w:cs="Arial"/>
        </w:rPr>
        <w:t xml:space="preserve">Die Stadt wurde 1843 durch Franzosen gegründet, aber bereits seit 1831 </w:t>
      </w:r>
      <w:r w:rsidR="00FA7F0C" w:rsidRPr="00CC76A9">
        <w:rPr>
          <w:rFonts w:ascii="Arial" w:hAnsi="Arial" w:cs="Arial"/>
        </w:rPr>
        <w:t xml:space="preserve">war ein sog. Mutterhaus der Fremdenlegion vorhanden. Nach der Niederlage im Algerienkrieg (1954-1962) und der Unabhängigkeit Algeriens </w:t>
      </w:r>
      <w:r w:rsidR="007B1EEF" w:rsidRPr="00CC76A9">
        <w:rPr>
          <w:rFonts w:ascii="Arial" w:hAnsi="Arial" w:cs="Arial"/>
        </w:rPr>
        <w:t xml:space="preserve">räumte Frankreich die Stadt und verlegte die Fremdenlegion nach </w:t>
      </w:r>
      <w:proofErr w:type="spellStart"/>
      <w:r w:rsidR="007B1EEF" w:rsidRPr="00CC76A9">
        <w:rPr>
          <w:rFonts w:ascii="Arial" w:hAnsi="Arial" w:cs="Arial"/>
        </w:rPr>
        <w:t>Aubagne</w:t>
      </w:r>
      <w:proofErr w:type="spellEnd"/>
      <w:r w:rsidR="007B1EEF" w:rsidRPr="00CC76A9">
        <w:rPr>
          <w:rFonts w:ascii="Arial" w:hAnsi="Arial" w:cs="Arial"/>
        </w:rPr>
        <w:t xml:space="preserve"> (Côte </w:t>
      </w:r>
      <w:proofErr w:type="spellStart"/>
      <w:r w:rsidR="007B1EEF" w:rsidRPr="00CC76A9">
        <w:rPr>
          <w:rFonts w:ascii="Arial" w:hAnsi="Arial" w:cs="Arial"/>
        </w:rPr>
        <w:t>d’Azur</w:t>
      </w:r>
      <w:proofErr w:type="spellEnd"/>
      <w:r w:rsidR="007B1EEF" w:rsidRPr="00CC76A9">
        <w:rPr>
          <w:rFonts w:ascii="Arial" w:hAnsi="Arial" w:cs="Arial"/>
        </w:rPr>
        <w:t xml:space="preserve">). </w:t>
      </w:r>
    </w:p>
  </w:footnote>
  <w:footnote w:id="3">
    <w:p w:rsidR="004E345E" w:rsidRPr="00CC76A9" w:rsidRDefault="004E345E">
      <w:pPr>
        <w:pStyle w:val="Funotentext"/>
        <w:rPr>
          <w:rFonts w:ascii="Arial" w:hAnsi="Arial" w:cs="Arial"/>
        </w:rPr>
      </w:pPr>
      <w:r w:rsidRPr="00CC76A9">
        <w:rPr>
          <w:rStyle w:val="Funotenzeichen"/>
          <w:rFonts w:ascii="Arial" w:hAnsi="Arial" w:cs="Arial"/>
        </w:rPr>
        <w:footnoteRef/>
      </w:r>
      <w:r w:rsidRPr="00CC76A9">
        <w:rPr>
          <w:rFonts w:ascii="Arial" w:hAnsi="Arial" w:cs="Arial"/>
        </w:rPr>
        <w:t xml:space="preserve"> Am 17. März 1932 erließ Reichspräsident Paul von Hindenburg auf Drängen von Reichskanzler </w:t>
      </w:r>
      <w:r w:rsidR="00452B6F" w:rsidRPr="00CC76A9">
        <w:rPr>
          <w:rFonts w:ascii="Arial" w:hAnsi="Arial" w:cs="Arial"/>
        </w:rPr>
        <w:t xml:space="preserve">Heinrich </w:t>
      </w:r>
      <w:r w:rsidRPr="00CC76A9">
        <w:rPr>
          <w:rFonts w:ascii="Arial" w:hAnsi="Arial" w:cs="Arial"/>
        </w:rPr>
        <w:t xml:space="preserve">Brüning und Innenminister </w:t>
      </w:r>
      <w:r w:rsidR="00452B6F" w:rsidRPr="00CC76A9">
        <w:rPr>
          <w:rFonts w:ascii="Arial" w:hAnsi="Arial" w:cs="Arial"/>
        </w:rPr>
        <w:t xml:space="preserve">Wilhelm </w:t>
      </w:r>
      <w:proofErr w:type="spellStart"/>
      <w:r w:rsidRPr="00CC76A9">
        <w:rPr>
          <w:rFonts w:ascii="Arial" w:hAnsi="Arial" w:cs="Arial"/>
        </w:rPr>
        <w:t>Groener</w:t>
      </w:r>
      <w:proofErr w:type="spellEnd"/>
      <w:r w:rsidR="00D00FA8" w:rsidRPr="00CC76A9">
        <w:rPr>
          <w:rFonts w:ascii="Arial" w:hAnsi="Arial" w:cs="Arial"/>
        </w:rPr>
        <w:t xml:space="preserve"> ein Verbot, welches öffentliche politische Veranstaltungen sowie alle politischen Versammlungen und Aufzüge zwischen dem 20. März 1932 (Palmsonntag) und 03. April 1932 (Weißer Sonntag) verbot. </w:t>
      </w:r>
    </w:p>
  </w:footnote>
  <w:footnote w:id="4">
    <w:p w:rsidR="00C6267C" w:rsidRPr="00846BE7" w:rsidRDefault="00C6267C" w:rsidP="00C6267C">
      <w:pPr>
        <w:pStyle w:val="Funotentext"/>
        <w:rPr>
          <w:rFonts w:ascii="Arial" w:hAnsi="Arial" w:cs="Arial"/>
        </w:rPr>
      </w:pPr>
      <w:r>
        <w:rPr>
          <w:rStyle w:val="Funotenzeichen"/>
        </w:rPr>
        <w:footnoteRef/>
      </w:r>
      <w:r>
        <w:t xml:space="preserve"> </w:t>
      </w:r>
      <w:r w:rsidRPr="00726008">
        <w:rPr>
          <w:rFonts w:ascii="Arial" w:hAnsi="Arial" w:cs="Arial"/>
        </w:rPr>
        <w:t xml:space="preserve">Zuchthaus: In der Zeit des Nationalsozialismus Gefängnisse, an die in der Regel ein Straflager angeschlossen war, in dem harte, körperliche Arbeit verrichtet werden musste. </w:t>
      </w:r>
    </w:p>
  </w:footnote>
  <w:footnote w:id="5">
    <w:p w:rsidR="00C6267C" w:rsidRPr="00846BE7" w:rsidRDefault="00C6267C" w:rsidP="00C6267C">
      <w:pPr>
        <w:pStyle w:val="Funotentext"/>
        <w:rPr>
          <w:rFonts w:ascii="Arial" w:hAnsi="Arial" w:cs="Arial"/>
        </w:rPr>
      </w:pPr>
      <w:r>
        <w:rPr>
          <w:rStyle w:val="Funotenzeichen"/>
        </w:rPr>
        <w:footnoteRef/>
      </w:r>
      <w:r>
        <w:t xml:space="preserve"> </w:t>
      </w:r>
      <w:r>
        <w:rPr>
          <w:rFonts w:ascii="Arial" w:hAnsi="Arial" w:cs="Arial"/>
        </w:rPr>
        <w:t xml:space="preserve">Ernst Thälmann (1886-1944): Deutscher Politiker der KPD im Reichstag. Wurde nach dem Reichstagsbrand 1933 verhaftet und war bis zu seinem Tod in Einzelhaft.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2.45pt;height:22.45pt;visibility:visible;mso-wrap-style:square" o:bullet="t">
        <v:imagedata r:id="rId1" o:title="MC900441732[1]"/>
      </v:shape>
    </w:pict>
  </w:numPicBullet>
  <w:abstractNum w:abstractNumId="0" w15:restartNumberingAfterBreak="0">
    <w:nsid w:val="06D120FF"/>
    <w:multiLevelType w:val="hybridMultilevel"/>
    <w:tmpl w:val="0A5CC7F4"/>
    <w:lvl w:ilvl="0" w:tplc="3AE278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BB46C13"/>
    <w:multiLevelType w:val="hybridMultilevel"/>
    <w:tmpl w:val="C11494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0C7165C"/>
    <w:multiLevelType w:val="hybridMultilevel"/>
    <w:tmpl w:val="C3D0A2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BAA"/>
    <w:rsid w:val="000D16E3"/>
    <w:rsid w:val="000E6814"/>
    <w:rsid w:val="001A46AC"/>
    <w:rsid w:val="002A642B"/>
    <w:rsid w:val="0035600E"/>
    <w:rsid w:val="003D7B3D"/>
    <w:rsid w:val="003E6AF0"/>
    <w:rsid w:val="00452B6F"/>
    <w:rsid w:val="004561BE"/>
    <w:rsid w:val="004B29D0"/>
    <w:rsid w:val="004E345E"/>
    <w:rsid w:val="0050040B"/>
    <w:rsid w:val="00603FAE"/>
    <w:rsid w:val="00614F72"/>
    <w:rsid w:val="0065436F"/>
    <w:rsid w:val="006E4BAA"/>
    <w:rsid w:val="006E78D0"/>
    <w:rsid w:val="00714FF0"/>
    <w:rsid w:val="007455B4"/>
    <w:rsid w:val="007B1EEF"/>
    <w:rsid w:val="0081256B"/>
    <w:rsid w:val="00813772"/>
    <w:rsid w:val="00887745"/>
    <w:rsid w:val="008B2EE1"/>
    <w:rsid w:val="008F4C09"/>
    <w:rsid w:val="00915183"/>
    <w:rsid w:val="00940EA7"/>
    <w:rsid w:val="009B26D7"/>
    <w:rsid w:val="009F6A6E"/>
    <w:rsid w:val="00AA4B39"/>
    <w:rsid w:val="00B05E69"/>
    <w:rsid w:val="00B76F24"/>
    <w:rsid w:val="00BC7487"/>
    <w:rsid w:val="00C6267C"/>
    <w:rsid w:val="00CA6CC0"/>
    <w:rsid w:val="00CC5A26"/>
    <w:rsid w:val="00CC76A9"/>
    <w:rsid w:val="00D00FA8"/>
    <w:rsid w:val="00D42C55"/>
    <w:rsid w:val="00DB2730"/>
    <w:rsid w:val="00DC778C"/>
    <w:rsid w:val="00E13A93"/>
    <w:rsid w:val="00E22CF5"/>
    <w:rsid w:val="00ED18DD"/>
    <w:rsid w:val="00FA7F0C"/>
    <w:rsid w:val="00FB4A87"/>
    <w:rsid w:val="00FC66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F6B3F"/>
  <w15:chartTrackingRefBased/>
  <w15:docId w15:val="{CDAB93EA-06D7-498D-AA8E-F3203C59B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A6CC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A6CC0"/>
    <w:rPr>
      <w:sz w:val="20"/>
      <w:szCs w:val="20"/>
    </w:rPr>
  </w:style>
  <w:style w:type="character" w:styleId="Funotenzeichen">
    <w:name w:val="footnote reference"/>
    <w:basedOn w:val="Absatz-Standardschriftart"/>
    <w:uiPriority w:val="99"/>
    <w:semiHidden/>
    <w:unhideWhenUsed/>
    <w:rsid w:val="00CA6CC0"/>
    <w:rPr>
      <w:vertAlign w:val="superscript"/>
    </w:rPr>
  </w:style>
  <w:style w:type="character" w:styleId="Hyperlink">
    <w:name w:val="Hyperlink"/>
    <w:basedOn w:val="Absatz-Standardschriftart"/>
    <w:uiPriority w:val="99"/>
    <w:unhideWhenUsed/>
    <w:rsid w:val="00887745"/>
    <w:rPr>
      <w:color w:val="0563C1" w:themeColor="hyperlink"/>
      <w:u w:val="single"/>
    </w:rPr>
  </w:style>
  <w:style w:type="paragraph" w:styleId="Listenabsatz">
    <w:name w:val="List Paragraph"/>
    <w:basedOn w:val="Standard"/>
    <w:uiPriority w:val="34"/>
    <w:qFormat/>
    <w:rsid w:val="002A642B"/>
    <w:pPr>
      <w:ind w:left="720"/>
      <w:contextualSpacing/>
    </w:pPr>
  </w:style>
  <w:style w:type="paragraph" w:styleId="Kopfzeile">
    <w:name w:val="header"/>
    <w:basedOn w:val="Standard"/>
    <w:link w:val="KopfzeileZchn"/>
    <w:uiPriority w:val="99"/>
    <w:unhideWhenUsed/>
    <w:rsid w:val="00CC76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76A9"/>
  </w:style>
  <w:style w:type="paragraph" w:styleId="Fuzeile">
    <w:name w:val="footer"/>
    <w:basedOn w:val="Standard"/>
    <w:link w:val="FuzeileZchn"/>
    <w:uiPriority w:val="99"/>
    <w:unhideWhenUsed/>
    <w:rsid w:val="00CC76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76A9"/>
  </w:style>
  <w:style w:type="character" w:styleId="Zeilennummer">
    <w:name w:val="line number"/>
    <w:basedOn w:val="Absatz-Standardschriftart"/>
    <w:uiPriority w:val="99"/>
    <w:semiHidden/>
    <w:unhideWhenUsed/>
    <w:rsid w:val="00603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85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db.saur.de/DGO/basicFullCitationView.jsf?documentId=wh117"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b.saur.de/DGO/basicFullCitationView.jsf?documentId=wh116"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758</Words>
  <Characters>4780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dc:creator>
  <cp:keywords/>
  <dc:description/>
  <cp:lastModifiedBy>Christoph Bartz-Hisgen</cp:lastModifiedBy>
  <cp:revision>7</cp:revision>
  <dcterms:created xsi:type="dcterms:W3CDTF">2017-09-19T08:55:00Z</dcterms:created>
  <dcterms:modified xsi:type="dcterms:W3CDTF">2018-09-05T04:35:00Z</dcterms:modified>
</cp:coreProperties>
</file>