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metadata/core-properties" Target="docProps/core0.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9712E" w14:textId="23FCEFA7" w:rsidR="00ED53CE" w:rsidRDefault="008E130F" w:rsidP="008E130F">
      <w:pPr>
        <w:pStyle w:val="Titel"/>
      </w:pPr>
      <w:r w:rsidRPr="008E130F">
        <w:t>»Truppen-Jesus« nannte man ihn (II): Kurt Knittel in Auschwitz (1941-1945)</w:t>
      </w:r>
    </w:p>
    <w:p w14:paraId="0DC7AEDB" w14:textId="77777777" w:rsidR="00ED53CE" w:rsidRDefault="00ED53CE"/>
    <w:p w14:paraId="4B255FDE" w14:textId="22964CBB" w:rsidR="004355BD" w:rsidRPr="004355BD" w:rsidRDefault="004355BD" w:rsidP="004355BD">
      <w:pPr>
        <w:suppressAutoHyphens w:val="0"/>
        <w:overflowPunct/>
        <w:spacing w:after="160" w:line="259" w:lineRule="auto"/>
        <w:textAlignment w:val="auto"/>
        <w:rPr>
          <w:rFonts w:eastAsia="Calibri"/>
          <w:sz w:val="22"/>
          <w:szCs w:val="22"/>
          <w:lang w:eastAsia="en-US"/>
        </w:rPr>
      </w:pPr>
      <w:r w:rsidRPr="004355BD">
        <w:rPr>
          <w:rFonts w:eastAsia="Calibri"/>
          <w:noProof/>
          <w:sz w:val="22"/>
          <w:szCs w:val="22"/>
          <w:lang w:eastAsia="en-US"/>
        </w:rPr>
        <w:drawing>
          <wp:anchor distT="0" distB="71755" distL="114300" distR="180340" simplePos="0" relativeHeight="251655680" behindDoc="1" locked="0" layoutInCell="1" allowOverlap="1" wp14:anchorId="4060B2F3" wp14:editId="58BDED5E">
            <wp:simplePos x="0" y="0"/>
            <wp:positionH relativeFrom="margin">
              <wp:align>left</wp:align>
            </wp:positionH>
            <wp:positionV relativeFrom="paragraph">
              <wp:posOffset>532765</wp:posOffset>
            </wp:positionV>
            <wp:extent cx="3848100" cy="2886710"/>
            <wp:effectExtent l="4445" t="0" r="4445" b="4445"/>
            <wp:wrapTight wrapText="bothSides">
              <wp:wrapPolygon edited="0">
                <wp:start x="25" y="21633"/>
                <wp:lineTo x="21518" y="21633"/>
                <wp:lineTo x="21518" y="109"/>
                <wp:lineTo x="25" y="109"/>
                <wp:lineTo x="25" y="21633"/>
              </wp:wrapPolygon>
            </wp:wrapTight>
            <wp:docPr id="5" name="Grafik 5"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cstate="print">
                      <a:extLst>
                        <a:ext uri="{28A0092B-C50C-407E-A947-70E740481C1C}">
                          <a14:useLocalDpi xmlns:a14="http://schemas.microsoft.com/office/drawing/2010/main" val="0"/>
                        </a:ext>
                      </a:extLst>
                    </a:blip>
                    <a:stretch>
                      <a:fillRect/>
                    </a:stretch>
                  </pic:blipFill>
                  <pic:spPr>
                    <a:xfrm rot="5400000">
                      <a:off x="0" y="0"/>
                      <a:ext cx="3848100" cy="2886710"/>
                    </a:xfrm>
                    <a:prstGeom prst="rect">
                      <a:avLst/>
                    </a:prstGeom>
                  </pic:spPr>
                </pic:pic>
              </a:graphicData>
            </a:graphic>
            <wp14:sizeRelH relativeFrom="margin">
              <wp14:pctWidth>0</wp14:pctWidth>
            </wp14:sizeRelH>
            <wp14:sizeRelV relativeFrom="margin">
              <wp14:pctHeight>0</wp14:pctHeight>
            </wp14:sizeRelV>
          </wp:anchor>
        </w:drawing>
      </w:r>
      <w:r w:rsidRPr="004355BD">
        <w:rPr>
          <w:rFonts w:eastAsia="Calibri"/>
          <w:noProof/>
          <w:sz w:val="22"/>
          <w:szCs w:val="22"/>
          <w:lang w:eastAsia="en-US"/>
        </w:rPr>
        <mc:AlternateContent>
          <mc:Choice Requires="wps">
            <w:drawing>
              <wp:anchor distT="0" distB="0" distL="114300" distR="114300" simplePos="0" relativeHeight="251656704" behindDoc="1" locked="0" layoutInCell="1" allowOverlap="1" wp14:anchorId="094807DE" wp14:editId="2B628586">
                <wp:simplePos x="0" y="0"/>
                <wp:positionH relativeFrom="column">
                  <wp:posOffset>-1270</wp:posOffset>
                </wp:positionH>
                <wp:positionV relativeFrom="paragraph">
                  <wp:posOffset>3911600</wp:posOffset>
                </wp:positionV>
                <wp:extent cx="2886710" cy="635"/>
                <wp:effectExtent l="0" t="0" r="0" b="0"/>
                <wp:wrapTight wrapText="bothSides">
                  <wp:wrapPolygon edited="0">
                    <wp:start x="0" y="0"/>
                    <wp:lineTo x="0" y="21600"/>
                    <wp:lineTo x="21600" y="21600"/>
                    <wp:lineTo x="21600" y="0"/>
                  </wp:wrapPolygon>
                </wp:wrapTight>
                <wp:docPr id="4" name="Textfeld 4"/>
                <wp:cNvGraphicFramePr/>
                <a:graphic xmlns:a="http://schemas.openxmlformats.org/drawingml/2006/main">
                  <a:graphicData uri="http://schemas.microsoft.com/office/word/2010/wordprocessingShape">
                    <wps:wsp>
                      <wps:cNvSpPr txBox="1"/>
                      <wps:spPr>
                        <a:xfrm>
                          <a:off x="0" y="0"/>
                          <a:ext cx="2886710" cy="635"/>
                        </a:xfrm>
                        <a:prstGeom prst="rect">
                          <a:avLst/>
                        </a:prstGeom>
                        <a:solidFill>
                          <a:prstClr val="white"/>
                        </a:solidFill>
                        <a:ln>
                          <a:noFill/>
                        </a:ln>
                      </wps:spPr>
                      <wps:txbx>
                        <w:txbxContent>
                          <w:p w14:paraId="689A20E0" w14:textId="77777777" w:rsidR="004355BD" w:rsidRPr="00D570C4" w:rsidRDefault="004355BD" w:rsidP="004355BD">
                            <w:pPr>
                              <w:pStyle w:val="Beschriftung"/>
                              <w:rPr>
                                <w:noProof/>
                                <w:sz w:val="18"/>
                                <w:szCs w:val="18"/>
                              </w:rPr>
                            </w:pPr>
                            <w:r w:rsidRPr="00D570C4">
                              <w:rPr>
                                <w:sz w:val="18"/>
                                <w:szCs w:val="18"/>
                              </w:rPr>
                              <w:t>Abb. aus: GLA Karlsruhe 466 Zugang 2019_61</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094807DE" id="_x0000_t202" coordsize="21600,21600" o:spt="202" path="m,l,21600r21600,l21600,xe">
                <v:stroke joinstyle="miter"/>
                <v:path gradientshapeok="t" o:connecttype="rect"/>
              </v:shapetype>
              <v:shape id="Textfeld 4" o:spid="_x0000_s1026" type="#_x0000_t202" style="position:absolute;margin-left:-.1pt;margin-top:308pt;width:227.3pt;height:.05pt;z-index:-2516597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" stroked="f">
                <v:textbox style="mso-fit-shape-to-text:t" inset="0,0,0,0">
                  <w:txbxContent>
                    <w:p w14:paraId="689A20E0" w14:textId="77777777" w:rsidR="004355BD" w:rsidRPr="00D570C4" w:rsidRDefault="004355BD" w:rsidP="004355BD">
                      <w:pPr>
                        <w:pStyle w:val="Beschriftung"/>
                        <w:rPr>
                          <w:noProof/>
                          <w:sz w:val="18"/>
                          <w:szCs w:val="18"/>
                        </w:rPr>
                      </w:pPr>
                      <w:r w:rsidRPr="00D570C4">
                        <w:rPr>
                          <w:sz w:val="18"/>
                          <w:szCs w:val="18"/>
                        </w:rPr>
                        <w:t>Abb. aus: GLA Karlsruhe 466 Zugang 2019_61</w:t>
                      </w:r>
                    </w:p>
                  </w:txbxContent>
                </v:textbox>
                <w10:wrap type="tight"/>
              </v:shape>
            </w:pict>
          </mc:Fallback>
        </mc:AlternateContent>
      </w:r>
      <w:r w:rsidRPr="004355BD">
        <w:rPr>
          <w:rFonts w:eastAsia="Calibri"/>
          <w:sz w:val="22"/>
          <w:szCs w:val="22"/>
          <w:lang w:eastAsia="en-US"/>
        </w:rPr>
        <w:t>„Vier Komponenten bestimmten die Arbeit der Abteilung VI im letzten Kriegsjahr: weltanschaulicher Unterricht, externe Schulungsvorträge, dienstliche Belehrungen sowie Truppenbetreuung und Kameradschaftsabende. […] Den größten und ständig wachsenden Teil machten Kameradschaftsabende aus, die nur noch selten politische Inhalte transportierten. Zu den Themen der Kameradschaftsabende zählten mei</w:t>
      </w:r>
      <w:r w:rsidR="0065591A">
        <w:rPr>
          <w:rFonts w:eastAsia="Calibri"/>
          <w:sz w:val="22"/>
          <w:szCs w:val="22"/>
          <w:lang w:eastAsia="en-US"/>
        </w:rPr>
        <w:t>s</w:t>
      </w:r>
      <w:r w:rsidRPr="004355BD">
        <w:rPr>
          <w:rFonts w:eastAsia="Calibri"/>
          <w:sz w:val="22"/>
          <w:szCs w:val="22"/>
          <w:lang w:eastAsia="en-US"/>
        </w:rPr>
        <w:t xml:space="preserve">t banale Unterhaltungsprogramme, aber auch vereinzelt anspruchsvolle Inszenierungen. </w:t>
      </w:r>
    </w:p>
    <w:p w14:paraId="73DBAEF9" w14:textId="56AC4C9E" w:rsidR="004355BD" w:rsidRPr="004355BD" w:rsidRDefault="004355BD" w:rsidP="004355BD">
      <w:pPr>
        <w:suppressAutoHyphens w:val="0"/>
        <w:overflowPunct/>
        <w:spacing w:after="160" w:line="259" w:lineRule="auto"/>
        <w:textAlignment w:val="auto"/>
        <w:rPr>
          <w:rFonts w:eastAsia="Calibri"/>
          <w:sz w:val="22"/>
          <w:szCs w:val="22"/>
          <w:lang w:eastAsia="en-US"/>
        </w:rPr>
      </w:pPr>
      <w:r w:rsidRPr="004355BD">
        <w:rPr>
          <w:rFonts w:eastAsia="Calibri"/>
          <w:sz w:val="22"/>
          <w:szCs w:val="22"/>
          <w:lang w:eastAsia="en-US"/>
        </w:rPr>
        <w:t>Unter der Leitung von Kurt Knittel versuchte die Abteilung VI in Auschwitz während des täglichen Massenmords „nach allen Richtungen durch die vorbildliche Freizeitgestaltung den Männern nach beendigtem schwerem [sic!] Dienst Entspannung zu bringen“. So gastierte im Februar 1944 das Varieté-Theater Scala mehrmals in Auschwitz. Daneben gab es Gastspiele des Schauspielers Dieter Borsche, der später durch seine Rollen in Edgar-Wallace-Filmen bekannt wurde, des Sächsischen Staatstheaters, des Kattowitzer Opernhauses, von Künstlern der Staatsoper, des Burgtheaters und des Volkstheaters Wien, des Opernhauses Breslau oder des Zentraltheaters Dresden. Regelmäßige Schulungen und Vorträge prägten den Dienstplan; am 12. Januar 1944 sprach der Schulungsleiter Knittel vor den Wachmannschaften „über das Thema ‚</w:t>
      </w:r>
      <w:r w:rsidRPr="004355BD">
        <w:rPr>
          <w:rFonts w:eastAsia="Calibri"/>
          <w:i/>
          <w:iCs/>
          <w:sz w:val="22"/>
          <w:szCs w:val="22"/>
          <w:lang w:eastAsia="en-US"/>
        </w:rPr>
        <w:t xml:space="preserve">Volksdeutsch – Reichsdeutsch‘ </w:t>
      </w:r>
      <w:r w:rsidRPr="004355BD">
        <w:rPr>
          <w:rFonts w:eastAsia="Calibri"/>
          <w:sz w:val="22"/>
          <w:szCs w:val="22"/>
          <w:lang w:eastAsia="en-US"/>
        </w:rPr>
        <w:t>“, am 15. Februar über die „Bandenkämpfe“ auf dem Balkan“. „Die Schulungen sind unter allen Umständen durchzuführen.“ Während der ‚Ungarn-Aktion‘ und der Ermordung von über 320 000 ungarischen Juden 1944 liefen die Truppenbetreuungsveranstaltungen auf Hochtouren, zeitgleich referierte Knittel „über das Thema: ‚Die Vergeltung‘ “. Ein Augenmerk in dieser Phase bildete auch die gesonderte Schulung des weiblichen Personals, das in Auschwitz I und II (Birkenau) einen nicht unerheblichen Anteil ausmachte. […]</w:t>
      </w:r>
    </w:p>
    <w:p w14:paraId="4DD472CE" w14:textId="7C3AFE4A" w:rsidR="004355BD" w:rsidRDefault="004355BD" w:rsidP="004355BD">
      <w:pPr>
        <w:suppressAutoHyphens w:val="0"/>
        <w:overflowPunct/>
        <w:spacing w:after="160" w:line="259" w:lineRule="auto"/>
        <w:textAlignment w:val="auto"/>
        <w:rPr>
          <w:rFonts w:eastAsia="Calibri"/>
          <w:sz w:val="22"/>
          <w:szCs w:val="22"/>
          <w:lang w:eastAsia="en-US"/>
        </w:rPr>
      </w:pPr>
      <w:r w:rsidRPr="004355BD">
        <w:rPr>
          <w:rFonts w:eastAsia="Calibri"/>
          <w:sz w:val="22"/>
          <w:szCs w:val="22"/>
          <w:lang w:eastAsia="en-US"/>
        </w:rPr>
        <w:t>Mit der Einschränkung und dem Verbot von Kulturveranstaltungen im Zivilbereich und der Schließung von Theatern im August 1944 war die Abteilung VI gezwungen, für die Fortsetzung der Truppenbetreuung SS-Personal „mit künstlerischen Fähigkeiten“ aus den eigenen Reihen einzusetzen.“</w:t>
      </w:r>
    </w:p>
    <w:p w14:paraId="7E3A51B1" w14:textId="1E5CFA66" w:rsidR="00D570C4" w:rsidRPr="00D570C4" w:rsidRDefault="00D570C4" w:rsidP="00D570C4">
      <w:pPr>
        <w:rPr>
          <w:rFonts w:eastAsia="Calibri"/>
          <w:sz w:val="22"/>
          <w:szCs w:val="22"/>
          <w:lang w:eastAsia="en-US"/>
        </w:rPr>
      </w:pPr>
    </w:p>
    <w:p w14:paraId="77562F47" w14:textId="023DDCFA" w:rsidR="004355BD" w:rsidRPr="004355BD" w:rsidRDefault="004355BD" w:rsidP="004355BD">
      <w:pPr>
        <w:suppressAutoHyphens w:val="0"/>
        <w:overflowPunct/>
        <w:spacing w:after="160" w:line="259" w:lineRule="auto"/>
        <w:textAlignment w:val="auto"/>
        <w:rPr>
          <w:rFonts w:eastAsia="Calibri"/>
          <w:i/>
          <w:iCs/>
          <w:sz w:val="18"/>
          <w:szCs w:val="18"/>
          <w:lang w:eastAsia="en-US"/>
        </w:rPr>
      </w:pPr>
      <w:r w:rsidRPr="004355BD">
        <w:rPr>
          <w:rFonts w:eastAsia="Calibri"/>
          <w:i/>
          <w:iCs/>
          <w:sz w:val="18"/>
          <w:szCs w:val="18"/>
          <w:lang w:eastAsia="en-US"/>
        </w:rPr>
        <w:t>Literatur: zit. nach: Hördler: Gesichter der Gewalt – SS-Netzwerke, Personalpolitik und Massenmord in Auschwitz, S. 142f.</w:t>
      </w:r>
    </w:p>
    <w:p w14:paraId="408BC36D" w14:textId="7FB2F9D8" w:rsidR="00ED53CE" w:rsidRDefault="00D570C4">
      <w:pPr>
        <w:pStyle w:val="Textbody"/>
      </w:pPr>
      <w:r w:rsidRPr="004355BD">
        <w:rPr>
          <w:rFonts w:eastAsia="Calibri"/>
          <w:noProof/>
          <w:sz w:val="22"/>
          <w:szCs w:val="22"/>
          <w:lang w:eastAsia="en-US"/>
        </w:rPr>
        <w:lastRenderedPageBreak/>
        <mc:AlternateContent>
          <mc:Choice Requires="wps">
            <w:drawing>
              <wp:anchor distT="45720" distB="45720" distL="114300" distR="114300" simplePos="0" relativeHeight="251659776" behindDoc="0" locked="0" layoutInCell="1" allowOverlap="1" wp14:anchorId="7DA93028" wp14:editId="776C3031">
                <wp:simplePos x="0" y="0"/>
                <wp:positionH relativeFrom="margin">
                  <wp:align>left</wp:align>
                </wp:positionH>
                <wp:positionV relativeFrom="paragraph">
                  <wp:posOffset>406342</wp:posOffset>
                </wp:positionV>
                <wp:extent cx="5923280" cy="1731645"/>
                <wp:effectExtent l="0" t="0" r="20320" b="2095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3280" cy="1731818"/>
                        </a:xfrm>
                        <a:prstGeom prst="rect">
                          <a:avLst/>
                        </a:prstGeom>
                        <a:solidFill>
                          <a:srgbClr val="FFFFFF"/>
                        </a:solidFill>
                        <a:ln w="9525">
                          <a:solidFill>
                            <a:srgbClr val="000000"/>
                          </a:solidFill>
                          <a:miter lim="800000"/>
                          <a:headEnd/>
                          <a:tailEnd/>
                        </a:ln>
                      </wps:spPr>
                      <wps:txbx>
                        <w:txbxContent>
                          <w:p w14:paraId="2C73AC41" w14:textId="77777777" w:rsidR="004355BD" w:rsidRPr="0050671E" w:rsidRDefault="004355BD" w:rsidP="004355BD">
                            <w:pPr>
                              <w:rPr>
                                <w:b/>
                                <w:bCs/>
                              </w:rPr>
                            </w:pPr>
                            <w:r w:rsidRPr="0050671E">
                              <w:rPr>
                                <w:b/>
                                <w:bCs/>
                              </w:rPr>
                              <w:t>Arbeitsaufträge</w:t>
                            </w:r>
                          </w:p>
                          <w:p w14:paraId="6CA3FCF9" w14:textId="77777777" w:rsidR="004355BD" w:rsidRDefault="004355BD" w:rsidP="004355BD">
                            <w:r w:rsidRPr="0050671E">
                              <w:t>1.</w:t>
                            </w:r>
                            <w:r>
                              <w:t xml:space="preserve"> </w:t>
                            </w:r>
                            <w:r w:rsidRPr="0050671E">
                              <w:t xml:space="preserve">Arbeite die Bedeutung Knittels und </w:t>
                            </w:r>
                            <w:r>
                              <w:t xml:space="preserve">politische und weltanschauliche Schulung </w:t>
                            </w:r>
                            <w:r w:rsidRPr="0050671E">
                              <w:t>für die SS-Wachmannschaften heraus.</w:t>
                            </w:r>
                          </w:p>
                          <w:p w14:paraId="6A2CC19C" w14:textId="77777777" w:rsidR="004355BD" w:rsidRDefault="004355BD" w:rsidP="004355BD">
                            <w:r>
                              <w:t>2. Kurt Knittel verfasste für sein Pensionsanspruchsverfahren in den 1960er Jahren eine Liste mit über 30 kulturellen Veranstaltungen, die er organisierte. Zu seiner Entlastung führt er an, dass politische Vorträge nur 1/6 seiner Arbeit ausgemacht hätten. Erörtere, welche Verantwortung die Organisatoren kultureller Veranstaltungen am Holocaust tragen.</w:t>
                            </w:r>
                          </w:p>
                          <w:p w14:paraId="520C5FE7" w14:textId="77777777" w:rsidR="004355BD" w:rsidRDefault="004355BD" w:rsidP="004355B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DA93028" id="Textfeld 2" o:spid="_x0000_s1027" type="#_x0000_t202" style="position:absolute;margin-left:0;margin-top:32pt;width:466.4pt;height:136.35pt;z-index:25165977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">
                <v:textbox>
                  <w:txbxContent>
                    <w:p w14:paraId="2C73AC41" w14:textId="77777777" w:rsidR="004355BD" w:rsidRPr="0050671E" w:rsidRDefault="004355BD" w:rsidP="004355BD">
                      <w:pPr>
                        <w:rPr>
                          <w:b/>
                          <w:bCs/>
                        </w:rPr>
                      </w:pPr>
                      <w:r w:rsidRPr="0050671E">
                        <w:rPr>
                          <w:b/>
                          <w:bCs/>
                        </w:rPr>
                        <w:t>Arbeitsaufträge</w:t>
                      </w:r>
                    </w:p>
                    <w:p w14:paraId="6CA3FCF9" w14:textId="77777777" w:rsidR="004355BD" w:rsidRDefault="004355BD" w:rsidP="004355BD">
                      <w:r w:rsidRPr="0050671E">
                        <w:t>1.</w:t>
                      </w:r>
                      <w:r>
                        <w:t xml:space="preserve"> </w:t>
                      </w:r>
                      <w:r w:rsidRPr="0050671E">
                        <w:t xml:space="preserve">Arbeite die Bedeutung Knittels und </w:t>
                      </w:r>
                      <w:r>
                        <w:t xml:space="preserve">politische und weltanschauliche Schulung </w:t>
                      </w:r>
                      <w:r w:rsidRPr="0050671E">
                        <w:t>für die SS-Wachmannschaften heraus.</w:t>
                      </w:r>
                    </w:p>
                    <w:p w14:paraId="6A2CC19C" w14:textId="77777777" w:rsidR="004355BD" w:rsidRDefault="004355BD" w:rsidP="004355BD">
                      <w:r>
                        <w:t>2. Kurt Knittel verfasste für sein Pensionsanspruchsverfahren in den 1960er Jahren eine Liste mit über 30 kulturellen Veranstaltungen, die er organisierte. Zu seiner Entlastung führt er an, dass politische Vorträge nur 1/6 seiner Arbeit ausgemacht hätten. Erörtere, welche Verantwortung die Organisatoren kultureller Veranstaltungen am Holocaust tragen.</w:t>
                      </w:r>
                    </w:p>
                    <w:p w14:paraId="520C5FE7" w14:textId="77777777" w:rsidR="004355BD" w:rsidRDefault="004355BD" w:rsidP="004355BD"/>
                  </w:txbxContent>
                </v:textbox>
                <w10:wrap type="square" anchorx="margin"/>
              </v:shape>
            </w:pict>
          </mc:Fallback>
        </mc:AlternateContent>
      </w:r>
    </w:p>
    <w:p w14:paraId="1027CF2E" w14:textId="6243C6FD" w:rsidR="000A7912" w:rsidRPr="000A7912" w:rsidRDefault="000A7912" w:rsidP="000A7912"/>
    <w:p w14:paraId="5D35C95A" w14:textId="737A5BAE" w:rsidR="000A7912" w:rsidRPr="000A7912" w:rsidRDefault="000A7912" w:rsidP="000A7912"/>
    <w:p w14:paraId="381C282F" w14:textId="2B3E6439" w:rsidR="000A7912" w:rsidRPr="000A7912" w:rsidRDefault="000A7912" w:rsidP="000A7912"/>
    <w:p w14:paraId="1397ADAF" w14:textId="3CEED749" w:rsidR="000A7912" w:rsidRPr="000A7912" w:rsidRDefault="000A7912" w:rsidP="000A7912"/>
    <w:p w14:paraId="31C5D4A7" w14:textId="0D7BC8F0" w:rsidR="000A7912" w:rsidRPr="000A7912" w:rsidRDefault="000A7912" w:rsidP="000A7912"/>
    <w:p w14:paraId="60D8507D" w14:textId="6594B92E" w:rsidR="000A7912" w:rsidRPr="000A7912" w:rsidRDefault="000A7912" w:rsidP="000A7912"/>
    <w:p w14:paraId="1590F786" w14:textId="7574930A" w:rsidR="000A7912" w:rsidRPr="000A7912" w:rsidRDefault="000A7912" w:rsidP="000A7912"/>
    <w:p w14:paraId="1439CBCA" w14:textId="084BC041" w:rsidR="000A7912" w:rsidRPr="000A7912" w:rsidRDefault="000A7912" w:rsidP="000A7912"/>
    <w:p w14:paraId="5D1B361C" w14:textId="77F7A85C" w:rsidR="000A7912" w:rsidRPr="000A7912" w:rsidRDefault="000A7912" w:rsidP="000A7912"/>
    <w:p w14:paraId="7302C99B" w14:textId="06FBD3F5" w:rsidR="000A7912" w:rsidRPr="000A7912" w:rsidRDefault="000A7912" w:rsidP="000A7912">
      <w:pPr>
        <w:tabs>
          <w:tab w:val="left" w:pos="2182"/>
        </w:tabs>
      </w:pPr>
      <w:r>
        <w:tab/>
      </w:r>
    </w:p>
    <w:p w14:paraId="26C00146" w14:textId="2EFDADE7" w:rsidR="000A7912" w:rsidRPr="000A7912" w:rsidRDefault="000A7912" w:rsidP="000A7912"/>
    <w:p w14:paraId="550537BB" w14:textId="4437DF58" w:rsidR="000A7912" w:rsidRPr="000A7912" w:rsidRDefault="000A7912" w:rsidP="000A7912"/>
    <w:p w14:paraId="2E8007B7" w14:textId="00B4BBAB" w:rsidR="000A7912" w:rsidRPr="000A7912" w:rsidRDefault="000A7912" w:rsidP="000A7912"/>
    <w:p w14:paraId="30904DD6" w14:textId="2B06E5DC" w:rsidR="000A7912" w:rsidRPr="000A7912" w:rsidRDefault="000A7912" w:rsidP="000A7912"/>
    <w:p w14:paraId="42ACE31B" w14:textId="7D914B26" w:rsidR="000A7912" w:rsidRPr="000A7912" w:rsidRDefault="000A7912" w:rsidP="000A7912"/>
    <w:p w14:paraId="49FCEC23" w14:textId="77777777" w:rsidR="000A7912" w:rsidRPr="000A7912" w:rsidRDefault="000A7912" w:rsidP="000A7912"/>
    <w:sectPr w:rsidR="000A7912" w:rsidRPr="000A7912">
      <w:headerReference w:type="default" r:id="rId8"/>
      <w:footerReference w:type="default" r:id="rId9"/>
      <w:pgSz w:w="11906" w:h="16838"/>
      <w:pgMar w:top="1134" w:right="1134" w:bottom="1134" w:left="1134" w:header="284" w:footer="284"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EDFDDB" w14:textId="77777777" w:rsidR="007C4DDD" w:rsidRDefault="00BC1BCF">
      <w:pPr>
        <w:spacing w:after="0" w:line="240" w:lineRule="auto"/>
      </w:pPr>
      <w:r>
        <w:separator/>
      </w:r>
    </w:p>
  </w:endnote>
  <w:endnote w:type="continuationSeparator" w:id="0">
    <w:p w14:paraId="1079F389" w14:textId="77777777" w:rsidR="007C4DDD" w:rsidRDefault="00BC1B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519CD" w14:textId="76745F19" w:rsidR="00ED53CE" w:rsidRDefault="00BC1BCF">
    <w:pPr>
      <w:pStyle w:val="Fuzeile"/>
      <w:widowControl w:val="0"/>
      <w:pBdr>
        <w:top w:val="single" w:sz="12" w:space="1" w:color="000000"/>
      </w:pBdr>
      <w:jc w:val="center"/>
    </w:pPr>
    <w:r>
      <w:rPr>
        <w:sz w:val="16"/>
        <w:szCs w:val="16"/>
      </w:rPr>
      <w:t xml:space="preserve">Arbeitskreis für Landeskunde/Landesgeschichte an der ZSL-Regionalstelle Karlsruhe </w:t>
    </w:r>
    <w:r w:rsidR="00A930C9">
      <w:rPr>
        <w:sz w:val="16"/>
        <w:szCs w:val="16"/>
      </w:rPr>
      <w:br/>
    </w:r>
    <w:hyperlink r:id="rId1">
      <w:r>
        <w:rPr>
          <w:rStyle w:val="Internetverknpfung"/>
          <w:sz w:val="16"/>
          <w:szCs w:val="16"/>
        </w:rPr>
        <w:t>www.landeskunde-bw.de</w:t>
      </w:r>
    </w:hyperlink>
  </w:p>
  <w:p w14:paraId="6D2B7016" w14:textId="77777777" w:rsidR="00ED53CE" w:rsidRDefault="00BC1BCF">
    <w:pPr>
      <w:pStyle w:val="Fuzeile"/>
      <w:widowControl w:val="0"/>
      <w:pBdr>
        <w:top w:val="single" w:sz="12" w:space="1" w:color="000000"/>
      </w:pBdr>
    </w:pPr>
    <w:r>
      <w:rPr>
        <w:sz w:val="16"/>
        <w:szCs w:val="16"/>
      </w:rPr>
      <w:t xml:space="preserve">Diese Materialien sind unter der OER-konformen Lizenz </w:t>
    </w:r>
    <w:hyperlink r:id="rId2" w:tgtFrame="Öffnet die englischsprachige Seite mit dem rechtsgültigen Lizenztext in einem neuem Tab beziehungsweise Fenster.">
      <w:r>
        <w:rPr>
          <w:rStyle w:val="Internetverknpfung"/>
          <w:sz w:val="16"/>
          <w:szCs w:val="16"/>
        </w:rPr>
        <w:t>CC BY 4.0 International</w:t>
      </w:r>
    </w:hyperlink>
    <w:r>
      <w:rPr>
        <w:sz w:val="16"/>
        <w:szCs w:val="16"/>
      </w:rPr>
      <w:t xml:space="preserve"> verfügbar. Herausgeber: Landesbildungsserver Baden-Württemberg (</w:t>
    </w:r>
    <w:hyperlink r:id="rId3" w:tgtFrame="Öffnet die Startseite des Landesbildungsservers Baden-Württemberg in einem neuem Tab beziehungsweise Fenster.">
      <w:r>
        <w:rPr>
          <w:rStyle w:val="Internetverknpfung"/>
          <w:sz w:val="16"/>
          <w:szCs w:val="16"/>
        </w:rPr>
        <w:t>www.schule-bw.de</w:t>
      </w:r>
    </w:hyperlink>
    <w:r>
      <w:rPr>
        <w:sz w:val="16"/>
        <w:szCs w:val="16"/>
      </w:rPr>
      <w:t xml:space="preserve">). Urheberrechtsangaben gemäß </w:t>
    </w:r>
    <w:hyperlink r:id="rId4" w:tgtFrame="Öffnet die Seite Urheberrechtliche Hinweise">
      <w:r>
        <w:rPr>
          <w:rStyle w:val="Internetverknpfung"/>
          <w:sz w:val="16"/>
          <w:szCs w:val="16"/>
        </w:rPr>
        <w:t>www.schule-bw.de/urheberrecht</w:t>
      </w:r>
    </w:hyperlink>
    <w:r>
      <w:rPr>
        <w:sz w:val="16"/>
        <w:szCs w:val="16"/>
      </w:rPr>
      <w:t xml:space="preserve"> sind zu beachten. Bitte beachten Sie eventuell abweichende Lizenzangaben bei den eingebundenen Bildern und anderen Materialien.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D50B75" w14:textId="77777777" w:rsidR="007C4DDD" w:rsidRDefault="00BC1BCF">
      <w:pPr>
        <w:spacing w:after="0" w:line="240" w:lineRule="auto"/>
      </w:pPr>
      <w:r>
        <w:separator/>
      </w:r>
    </w:p>
  </w:footnote>
  <w:footnote w:type="continuationSeparator" w:id="0">
    <w:p w14:paraId="48D5017C" w14:textId="77777777" w:rsidR="007C4DDD" w:rsidRDefault="00BC1B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27551" w14:textId="77777777" w:rsidR="00ED53CE" w:rsidRDefault="00BC1BCF">
    <w:pPr>
      <w:pStyle w:val="Kopfzeile"/>
      <w:spacing w:after="720"/>
      <w:ind w:left="142"/>
    </w:pPr>
    <w:r>
      <w:rPr>
        <w:noProof/>
      </w:rPr>
      <w:drawing>
        <wp:anchor distT="0" distB="0" distL="0" distR="0" simplePos="0" relativeHeight="2" behindDoc="1" locked="0" layoutInCell="0" allowOverlap="1" wp14:anchorId="3CB8A6AE" wp14:editId="12DF2D1E">
          <wp:simplePos x="0" y="0"/>
          <wp:positionH relativeFrom="column">
            <wp:posOffset>2835910</wp:posOffset>
          </wp:positionH>
          <wp:positionV relativeFrom="page">
            <wp:posOffset>235585</wp:posOffset>
          </wp:positionV>
          <wp:extent cx="359410" cy="503555"/>
          <wp:effectExtent l="0" t="0" r="0" b="0"/>
          <wp:wrapNone/>
          <wp:docPr id="1" name="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3">
                    <a:hlinkClick r:id="rId1"/>
                  </pic:cNvPr>
                  <pic:cNvPicPr>
                    <a:picLocks noChangeAspect="1" noChangeArrowheads="1"/>
                  </pic:cNvPicPr>
                </pic:nvPicPr>
                <pic:blipFill>
                  <a:blip r:embed="rId2"/>
                  <a:stretch>
                    <a:fillRect/>
                  </a:stretch>
                </pic:blipFill>
                <pic:spPr bwMode="auto">
                  <a:xfrm>
                    <a:off x="0" y="0"/>
                    <a:ext cx="359410" cy="503555"/>
                  </a:xfrm>
                  <a:prstGeom prst="rect">
                    <a:avLst/>
                  </a:prstGeom>
                </pic:spPr>
              </pic:pic>
            </a:graphicData>
          </a:graphic>
        </wp:anchor>
      </w:drawing>
    </w:r>
    <w:r>
      <w:rPr>
        <w:noProof/>
      </w:rPr>
      <w:drawing>
        <wp:anchor distT="0" distB="0" distL="114300" distR="114300" simplePos="0" relativeHeight="3" behindDoc="0" locked="0" layoutInCell="0" allowOverlap="1" wp14:anchorId="16D28B74" wp14:editId="263C936B">
          <wp:simplePos x="0" y="0"/>
          <wp:positionH relativeFrom="column">
            <wp:posOffset>11430</wp:posOffset>
          </wp:positionH>
          <wp:positionV relativeFrom="paragraph">
            <wp:posOffset>129540</wp:posOffset>
          </wp:positionV>
          <wp:extent cx="2195830" cy="441325"/>
          <wp:effectExtent l="0" t="0" r="0" b="0"/>
          <wp:wrapSquare wrapText="bothSides"/>
          <wp:docPr id="2" name="2">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
                    <a:hlinkClick r:id="rId3"/>
                  </pic:cNvPr>
                  <pic:cNvPicPr>
                    <a:picLocks noChangeAspect="1" noChangeArrowheads="1"/>
                  </pic:cNvPicPr>
                </pic:nvPicPr>
                <pic:blipFill>
                  <a:blip r:embed="rId4"/>
                  <a:stretch>
                    <a:fillRect/>
                  </a:stretch>
                </pic:blipFill>
                <pic:spPr bwMode="auto">
                  <a:xfrm>
                    <a:off x="0" y="0"/>
                    <a:ext cx="2195830" cy="441325"/>
                  </a:xfrm>
                  <a:prstGeom prst="rect">
                    <a:avLst/>
                  </a:prstGeom>
                </pic:spPr>
              </pic:pic>
            </a:graphicData>
          </a:graphic>
        </wp:anchor>
      </w:drawing>
    </w:r>
    <w:r>
      <w:rPr>
        <w:noProof/>
      </w:rPr>
      <w:drawing>
        <wp:anchor distT="0" distB="0" distL="114300" distR="114300" simplePos="0" relativeHeight="4" behindDoc="0" locked="0" layoutInCell="0" allowOverlap="1" wp14:anchorId="7CF04523" wp14:editId="289944AE">
          <wp:simplePos x="0" y="0"/>
          <wp:positionH relativeFrom="column">
            <wp:posOffset>4428490</wp:posOffset>
          </wp:positionH>
          <wp:positionV relativeFrom="paragraph">
            <wp:posOffset>48895</wp:posOffset>
          </wp:positionV>
          <wp:extent cx="1634490" cy="568960"/>
          <wp:effectExtent l="0" t="0" r="0" b="0"/>
          <wp:wrapSquare wrapText="bothSides"/>
          <wp:docPr id="3" name="1">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
                    <a:hlinkClick r:id="rId5"/>
                  </pic:cNvPr>
                  <pic:cNvPicPr>
                    <a:picLocks noChangeAspect="1" noChangeArrowheads="1"/>
                  </pic:cNvPicPr>
                </pic:nvPicPr>
                <pic:blipFill>
                  <a:blip r:embed="rId6"/>
                  <a:srcRect l="6217" t="13963" r="6417" b="13963"/>
                  <a:stretch>
                    <a:fillRect/>
                  </a:stretch>
                </pic:blipFill>
                <pic:spPr bwMode="auto">
                  <a:xfrm>
                    <a:off x="0" y="0"/>
                    <a:ext cx="1634490" cy="568960"/>
                  </a:xfrm>
                  <a:prstGeom prst="rect">
                    <a:avLst/>
                  </a:prstGeom>
                </pic:spPr>
              </pic:pic>
            </a:graphicData>
          </a:graphic>
        </wp:anchor>
      </w:drawing>
    </w:r>
  </w:p>
  <w:p w14:paraId="1B4B7D38" w14:textId="77777777" w:rsidR="00ED53CE" w:rsidRDefault="00ED53CE">
    <w:pPr>
      <w:pBdr>
        <w:top w:val="single" w:sz="12" w:space="1" w:color="000000"/>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53298D"/>
    <w:multiLevelType w:val="multilevel"/>
    <w:tmpl w:val="610C7188"/>
    <w:lvl w:ilvl="0">
      <w:start w:val="1"/>
      <w:numFmt w:val="upperRoman"/>
      <w:pStyle w:val="berschrift1"/>
      <w:lvlText w:val="%1"/>
      <w:lvlJc w:val="left"/>
      <w:pPr>
        <w:tabs>
          <w:tab w:val="num" w:pos="0"/>
        </w:tabs>
        <w:ind w:left="0" w:firstLine="0"/>
      </w:pPr>
    </w:lvl>
    <w:lvl w:ilvl="1">
      <w:start w:val="1"/>
      <w:numFmt w:val="upperLetter"/>
      <w:pStyle w:val="berschrift2"/>
      <w:lvlText w:val="%1.%2"/>
      <w:lvlJc w:val="left"/>
      <w:pPr>
        <w:tabs>
          <w:tab w:val="num" w:pos="0"/>
        </w:tabs>
        <w:ind w:left="72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3CE"/>
    <w:rsid w:val="000A7912"/>
    <w:rsid w:val="00145777"/>
    <w:rsid w:val="004355BD"/>
    <w:rsid w:val="0065591A"/>
    <w:rsid w:val="007C4DDD"/>
    <w:rsid w:val="008E130F"/>
    <w:rsid w:val="00A930C9"/>
    <w:rsid w:val="00BC1BCF"/>
    <w:rsid w:val="00D570C4"/>
    <w:rsid w:val="00ED53CE"/>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4A9FA9"/>
  <w15:docId w15:val="{006395A3-67B6-4302-86CF-D21F26B4D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4"/>
        <w:lang w:val="de-DE" w:eastAsia="de-DE"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overflowPunct w:val="0"/>
      <w:spacing w:after="60" w:line="276" w:lineRule="auto"/>
      <w:textAlignment w:val="baseline"/>
    </w:pPr>
  </w:style>
  <w:style w:type="paragraph" w:styleId="berschrift1">
    <w:name w:val="heading 1"/>
    <w:basedOn w:val="berschrift"/>
    <w:next w:val="Textbody"/>
    <w:qFormat/>
    <w:pPr>
      <w:numPr>
        <w:numId w:val="1"/>
      </w:numPr>
      <w:spacing w:after="0"/>
      <w:outlineLvl w:val="0"/>
    </w:pPr>
    <w:rPr>
      <w:b/>
      <w:bCs/>
      <w:color w:val="4F81BD"/>
    </w:rPr>
  </w:style>
  <w:style w:type="paragraph" w:styleId="berschrift2">
    <w:name w:val="heading 2"/>
    <w:basedOn w:val="Standard"/>
    <w:next w:val="Standard"/>
    <w:qFormat/>
    <w:pPr>
      <w:keepNext/>
      <w:keepLines/>
      <w:numPr>
        <w:ilvl w:val="1"/>
        <w:numId w:val="1"/>
      </w:numPr>
      <w:spacing w:before="180"/>
      <w:outlineLvl w:val="1"/>
    </w:pPr>
    <w:rPr>
      <w:rFonts w:ascii="Cambria" w:hAnsi="Cambria"/>
      <w:b/>
      <w:bCs/>
      <w:color w:val="4F81BD"/>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qFormat/>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rPr>
  </w:style>
  <w:style w:type="character" w:customStyle="1" w:styleId="WW8Num1z3">
    <w:name w:val="WW8Num1z3"/>
    <w:qFormat/>
    <w:rPr>
      <w:rFonts w:ascii="Symbol" w:hAnsi="Symbol"/>
    </w:rPr>
  </w:style>
  <w:style w:type="character" w:customStyle="1" w:styleId="WW8Num2z0">
    <w:name w:val="WW8Num2z0"/>
    <w:qFormat/>
    <w:rPr>
      <w:rFonts w:ascii="Wingdings" w:hAnsi="Wingdings"/>
    </w:rPr>
  </w:style>
  <w:style w:type="character" w:customStyle="1" w:styleId="WW8Num2z1">
    <w:name w:val="WW8Num2z1"/>
    <w:qFormat/>
    <w:rPr>
      <w:rFonts w:ascii="Courier New" w:hAnsi="Courier New" w:cs="Courier New"/>
    </w:rPr>
  </w:style>
  <w:style w:type="character" w:customStyle="1" w:styleId="WW8Num2z3">
    <w:name w:val="WW8Num2z3"/>
    <w:qFormat/>
    <w:rPr>
      <w:rFonts w:ascii="Symbol" w:hAnsi="Symbol"/>
    </w:rPr>
  </w:style>
  <w:style w:type="character" w:customStyle="1" w:styleId="WW8Num3z0">
    <w:name w:val="WW8Num3z0"/>
    <w:qFormat/>
    <w:rPr>
      <w:rFonts w:ascii="Wingdings" w:hAnsi="Wingdings"/>
    </w:rPr>
  </w:style>
  <w:style w:type="character" w:customStyle="1" w:styleId="WW8Num3z1">
    <w:name w:val="WW8Num3z1"/>
    <w:qFormat/>
    <w:rPr>
      <w:rFonts w:ascii="Courier New" w:hAnsi="Courier New" w:cs="Courier New"/>
    </w:rPr>
  </w:style>
  <w:style w:type="character" w:customStyle="1" w:styleId="WW8Num3z3">
    <w:name w:val="WW8Num3z3"/>
    <w:qFormat/>
    <w:rPr>
      <w:rFonts w:ascii="Symbol" w:hAnsi="Symbol"/>
    </w:rPr>
  </w:style>
  <w:style w:type="character" w:customStyle="1" w:styleId="WW8Num4z0">
    <w:name w:val="WW8Num4z0"/>
    <w:qFormat/>
    <w:rPr>
      <w:rFonts w:ascii="Wingdings" w:hAnsi="Wingdings"/>
    </w:rPr>
  </w:style>
  <w:style w:type="character" w:customStyle="1" w:styleId="WW8Num4z1">
    <w:name w:val="WW8Num4z1"/>
    <w:qFormat/>
    <w:rPr>
      <w:rFonts w:ascii="Courier New" w:hAnsi="Courier New" w:cs="Courier New"/>
    </w:rPr>
  </w:style>
  <w:style w:type="character" w:customStyle="1" w:styleId="WW8Num4z3">
    <w:name w:val="WW8Num4z3"/>
    <w:qFormat/>
    <w:rPr>
      <w:rFonts w:ascii="Symbol" w:hAnsi="Symbol"/>
    </w:rPr>
  </w:style>
  <w:style w:type="character" w:customStyle="1" w:styleId="WW8Num5z0">
    <w:name w:val="WW8Num5z0"/>
    <w:qFormat/>
  </w:style>
  <w:style w:type="character" w:customStyle="1" w:styleId="WW8Num5z1">
    <w:name w:val="WW8Num5z1"/>
    <w:qFormat/>
    <w:rPr>
      <w:rFonts w:ascii="Courier New" w:hAnsi="Courier New" w:cs="Courier New"/>
    </w:rPr>
  </w:style>
  <w:style w:type="character" w:customStyle="1" w:styleId="WW8Num5z2">
    <w:name w:val="WW8Num5z2"/>
    <w:qFormat/>
    <w:rPr>
      <w:rFonts w:ascii="Wingdings" w:hAnsi="Wingdings"/>
    </w:rPr>
  </w:style>
  <w:style w:type="character" w:customStyle="1" w:styleId="WW8Num5z3">
    <w:name w:val="WW8Num5z3"/>
    <w:qFormat/>
    <w:rPr>
      <w:rFonts w:ascii="Symbol" w:hAnsi="Symbol"/>
    </w:rPr>
  </w:style>
  <w:style w:type="character" w:customStyle="1" w:styleId="WW8Num6z0">
    <w:name w:val="WW8Num6z0"/>
    <w:qFormat/>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rPr>
  </w:style>
  <w:style w:type="character" w:customStyle="1" w:styleId="WW8Num6z3">
    <w:name w:val="WW8Num6z3"/>
    <w:qFormat/>
    <w:rPr>
      <w:rFonts w:ascii="Symbol" w:hAnsi="Symbol"/>
    </w:rPr>
  </w:style>
  <w:style w:type="character" w:customStyle="1" w:styleId="Absatz-Standardschriftart1">
    <w:name w:val="Absatz-Standardschriftart1"/>
    <w:qFormat/>
  </w:style>
  <w:style w:type="character" w:styleId="Seitenzahl">
    <w:name w:val="page number"/>
    <w:basedOn w:val="Absatz-Standardschriftart1"/>
    <w:qFormat/>
  </w:style>
  <w:style w:type="character" w:customStyle="1" w:styleId="KopfzeileZchn">
    <w:name w:val="Kopfzeile Zchn"/>
    <w:basedOn w:val="Absatz-Standardschriftart"/>
    <w:qFormat/>
  </w:style>
  <w:style w:type="character" w:styleId="Platzhaltertext">
    <w:name w:val="Placeholder Text"/>
    <w:basedOn w:val="Absatz-Standardschriftart"/>
    <w:qFormat/>
    <w:rPr>
      <w:color w:val="808080"/>
    </w:rPr>
  </w:style>
  <w:style w:type="character" w:styleId="Kommentarzeichen">
    <w:name w:val="annotation reference"/>
    <w:basedOn w:val="Absatz-Standardschriftart"/>
    <w:qFormat/>
    <w:rPr>
      <w:sz w:val="16"/>
      <w:szCs w:val="16"/>
    </w:rPr>
  </w:style>
  <w:style w:type="character" w:customStyle="1" w:styleId="KommentartextZchn">
    <w:name w:val="Kommentartext Zchn"/>
    <w:basedOn w:val="Absatz-Standardschriftart"/>
    <w:qFormat/>
  </w:style>
  <w:style w:type="character" w:customStyle="1" w:styleId="KommentarthemaZchn">
    <w:name w:val="Kommentarthema Zchn"/>
    <w:basedOn w:val="KommentartextZchn"/>
    <w:qFormat/>
    <w:rPr>
      <w:b/>
      <w:bCs/>
    </w:rPr>
  </w:style>
  <w:style w:type="character" w:customStyle="1" w:styleId="MSGENFONTSTYLENAMETEMPLATEROLENUMBERMSGENFONTSTYLENAMEBYROLETEXT2">
    <w:name w:val="MSG_EN_FONT_STYLE_NAME_TEMPLATE_ROLE_NUMBER MSG_EN_FONT_STYLE_NAME_BY_ROLE_TEXT 2_"/>
    <w:basedOn w:val="Absatz-Standardschriftart"/>
    <w:qFormat/>
    <w:rPr>
      <w:rFonts w:ascii="Arial" w:eastAsia="Arial" w:hAnsi="Arial" w:cs="Arial"/>
      <w:sz w:val="22"/>
      <w:szCs w:val="22"/>
      <w:shd w:val="clear" w:color="auto" w:fill="FFFFFF"/>
    </w:rPr>
  </w:style>
  <w:style w:type="character" w:customStyle="1" w:styleId="MSGENFONTSTYLENAMETEMPLATEROLELEVELMSGENFONTSTYLENAMEBYROLEHEADING1">
    <w:name w:val="MSG_EN_FONT_STYLE_NAME_TEMPLATE_ROLE_LEVEL MSG_EN_FONT_STYLE_NAME_BY_ROLE_HEADING 1_"/>
    <w:basedOn w:val="Absatz-Standardschriftart"/>
    <w:qFormat/>
    <w:rPr>
      <w:rFonts w:ascii="Arial" w:eastAsia="Arial" w:hAnsi="Arial" w:cs="Arial"/>
      <w:shd w:val="clear" w:color="auto" w:fill="FFFFFF"/>
    </w:rPr>
  </w:style>
  <w:style w:type="character" w:customStyle="1" w:styleId="Internetverknpfung">
    <w:name w:val="Internetverknüpfung"/>
    <w:basedOn w:val="Absatz-Standardschriftart"/>
    <w:qFormat/>
    <w:rPr>
      <w:color w:val="0000FF"/>
      <w:u w:val="single"/>
    </w:rPr>
  </w:style>
  <w:style w:type="character" w:customStyle="1" w:styleId="BesuchteInternetverknpfung">
    <w:name w:val="Besuchte Internetverknüpfung"/>
    <w:basedOn w:val="Absatz-Standardschriftart"/>
    <w:qFormat/>
    <w:rPr>
      <w:color w:val="800080"/>
      <w:u w:val="single"/>
    </w:rPr>
  </w:style>
  <w:style w:type="character" w:customStyle="1" w:styleId="KeinLeerraumZchn">
    <w:name w:val="Kein Leerraum Zchn"/>
    <w:basedOn w:val="Absatz-Standardschriftart"/>
    <w:qFormat/>
    <w:rPr>
      <w:rFonts w:ascii="Calibri" w:eastAsia="Times New Roman" w:hAnsi="Calibri" w:cs="Arial"/>
      <w:sz w:val="22"/>
      <w:szCs w:val="22"/>
    </w:rPr>
  </w:style>
  <w:style w:type="character" w:customStyle="1" w:styleId="TitelZchn">
    <w:name w:val="Titel Zchn"/>
    <w:basedOn w:val="Absatz-Standardschriftart"/>
    <w:qFormat/>
    <w:rPr>
      <w:rFonts w:ascii="Cambria" w:eastAsia="Times New Roman" w:hAnsi="Cambria" w:cs="Times New Roman"/>
      <w:color w:val="17365D"/>
      <w:spacing w:val="5"/>
      <w:kern w:val="2"/>
      <w:sz w:val="52"/>
      <w:szCs w:val="52"/>
    </w:rPr>
  </w:style>
  <w:style w:type="character" w:customStyle="1" w:styleId="UntertitelZchn">
    <w:name w:val="Untertitel Zchn"/>
    <w:basedOn w:val="Absatz-Standardschriftart"/>
    <w:qFormat/>
    <w:rPr>
      <w:rFonts w:ascii="Cambria" w:eastAsia="Times New Roman" w:hAnsi="Cambria" w:cs="Times New Roman"/>
      <w:i/>
      <w:iCs/>
      <w:color w:val="4F81BD"/>
      <w:spacing w:val="15"/>
      <w:szCs w:val="24"/>
    </w:rPr>
  </w:style>
  <w:style w:type="character" w:customStyle="1" w:styleId="berschrift2Zchn">
    <w:name w:val="Überschrift 2 Zchn"/>
    <w:basedOn w:val="Absatz-Standardschriftart"/>
    <w:qFormat/>
    <w:rPr>
      <w:rFonts w:ascii="Cambria" w:eastAsia="Times New Roman" w:hAnsi="Cambria" w:cs="Times New Roman"/>
      <w:b/>
      <w:bCs/>
      <w:color w:val="4F81BD"/>
      <w:sz w:val="26"/>
      <w:szCs w:val="26"/>
    </w:rPr>
  </w:style>
  <w:style w:type="character" w:customStyle="1" w:styleId="berschrift1Zchn">
    <w:name w:val="Überschrift 1 Zchn"/>
    <w:basedOn w:val="Absatz-Standardschriftart"/>
    <w:qFormat/>
    <w:rPr>
      <w:rFonts w:eastAsia="Microsoft YaHei" w:cs="Mangal"/>
      <w:b/>
      <w:bCs/>
      <w:color w:val="4F81BD"/>
      <w:sz w:val="28"/>
      <w:szCs w:val="28"/>
    </w:rPr>
  </w:style>
  <w:style w:type="character" w:styleId="Fett">
    <w:name w:val="Strong"/>
    <w:basedOn w:val="Absatz-Standardschriftart"/>
    <w:qFormat/>
    <w:rPr>
      <w:b/>
      <w:bCs/>
    </w:rPr>
  </w:style>
  <w:style w:type="character" w:customStyle="1" w:styleId="Betont">
    <w:name w:val="Betont"/>
    <w:basedOn w:val="Absatz-Standardschriftart"/>
    <w:qFormat/>
    <w:rPr>
      <w:i/>
      <w:iCs/>
    </w:rPr>
  </w:style>
  <w:style w:type="character" w:customStyle="1" w:styleId="ckeimageresizer">
    <w:name w:val="cke_image_resizer"/>
    <w:basedOn w:val="Absatz-Standardschriftart"/>
    <w:qFormat/>
  </w:style>
  <w:style w:type="character" w:customStyle="1" w:styleId="FuzeileZchn">
    <w:name w:val="Fußzeile Zchn"/>
    <w:basedOn w:val="Absatz-Standardschriftart"/>
    <w:qFormat/>
  </w:style>
  <w:style w:type="paragraph" w:customStyle="1" w:styleId="berschrift">
    <w:name w:val="Überschrift"/>
    <w:basedOn w:val="Standard"/>
    <w:next w:val="Textbody"/>
    <w:qFormat/>
    <w:pPr>
      <w:keepNext/>
      <w:spacing w:before="240" w:after="120"/>
    </w:pPr>
    <w:rPr>
      <w:rFonts w:eastAsia="Microsoft YaHei" w:cs="Mangal"/>
      <w:sz w:val="28"/>
      <w:szCs w:val="28"/>
    </w:rPr>
  </w:style>
  <w:style w:type="paragraph" w:styleId="Textkrper">
    <w:name w:val="Body Text"/>
    <w:basedOn w:val="Standard"/>
    <w:pPr>
      <w:spacing w:after="140"/>
    </w:pPr>
  </w:style>
  <w:style w:type="paragraph" w:styleId="Liste">
    <w:name w:val="List"/>
    <w:basedOn w:val="Textbody"/>
    <w:rPr>
      <w:rFonts w:cs="Mangal"/>
    </w:rPr>
  </w:style>
  <w:style w:type="paragraph" w:styleId="Beschriftung">
    <w:name w:val="caption"/>
    <w:basedOn w:val="Standard"/>
    <w:qFormat/>
    <w:pPr>
      <w:suppressLineNumbers/>
      <w:spacing w:before="120" w:after="120"/>
    </w:pPr>
    <w:rPr>
      <w:rFonts w:cs="Mangal"/>
      <w:i/>
      <w:iCs/>
      <w:szCs w:val="24"/>
    </w:rPr>
  </w:style>
  <w:style w:type="paragraph" w:customStyle="1" w:styleId="Verzeichnis">
    <w:name w:val="Verzeichnis"/>
    <w:basedOn w:val="Standard"/>
    <w:qFormat/>
    <w:pPr>
      <w:suppressLineNumbers/>
    </w:pPr>
    <w:rPr>
      <w:rFonts w:cs="Mangal"/>
    </w:rPr>
  </w:style>
  <w:style w:type="paragraph" w:customStyle="1" w:styleId="Textbody">
    <w:name w:val="Text body"/>
    <w:basedOn w:val="Standard"/>
    <w:qFormat/>
    <w:pPr>
      <w:spacing w:after="140"/>
    </w:pPr>
  </w:style>
  <w:style w:type="paragraph" w:customStyle="1" w:styleId="Kopf-undFuzeile">
    <w:name w:val="Kopf- und Fußzeile"/>
    <w:basedOn w:val="Standard"/>
    <w:qFormat/>
  </w:style>
  <w:style w:type="paragraph" w:styleId="Kopfzeile">
    <w:name w:val="header"/>
    <w:basedOn w:val="Standard"/>
    <w:pPr>
      <w:suppressLineNumbers/>
      <w:tabs>
        <w:tab w:val="center" w:pos="4819"/>
        <w:tab w:val="right" w:pos="9638"/>
      </w:tabs>
    </w:pPr>
  </w:style>
  <w:style w:type="paragraph" w:styleId="Fuzeile">
    <w:name w:val="footer"/>
    <w:basedOn w:val="Standard"/>
    <w:pPr>
      <w:suppressLineNumbers/>
      <w:tabs>
        <w:tab w:val="center" w:pos="4819"/>
        <w:tab w:val="right" w:pos="9638"/>
      </w:tabs>
    </w:pPr>
  </w:style>
  <w:style w:type="paragraph" w:styleId="Listenabsatz">
    <w:name w:val="List Paragraph"/>
    <w:basedOn w:val="Standard"/>
    <w:qFormat/>
    <w:pPr>
      <w:ind w:left="720"/>
    </w:pPr>
    <w:rPr>
      <w:sz w:val="20"/>
    </w:rPr>
  </w:style>
  <w:style w:type="paragraph" w:customStyle="1" w:styleId="MSGENFONTSTYLENAMETEMPLATEROLENUMBERMSGENFONTSTYLENAMEBYROLETEXT20">
    <w:name w:val="MSG_EN_FONT_STYLE_NAME_TEMPLATE_ROLE_NUMBER MSG_EN_FONT_STYLE_NAME_BY_ROLE_TEXT 2"/>
    <w:basedOn w:val="Standard"/>
    <w:qFormat/>
    <w:pPr>
      <w:shd w:val="clear" w:color="auto" w:fill="FFFFFF"/>
      <w:spacing w:before="560" w:line="274" w:lineRule="exact"/>
      <w:ind w:hanging="360"/>
    </w:pPr>
    <w:rPr>
      <w:rFonts w:ascii="Arial" w:eastAsia="Arial" w:hAnsi="Arial" w:cs="Arial"/>
      <w:sz w:val="22"/>
      <w:szCs w:val="22"/>
    </w:rPr>
  </w:style>
  <w:style w:type="paragraph" w:styleId="Dokumentstruktur">
    <w:name w:val="Document Map"/>
    <w:qFormat/>
    <w:pPr>
      <w:widowControl w:val="0"/>
      <w:overflowPunct w:val="0"/>
    </w:pPr>
    <w:rPr>
      <w:rFonts w:ascii="Times New Roman" w:hAnsi="Times New Roman"/>
      <w:szCs w:val="24"/>
      <w:lang w:val="en-US" w:eastAsia="en-US"/>
    </w:rPr>
  </w:style>
  <w:style w:type="paragraph" w:customStyle="1" w:styleId="Rahmeninhalt">
    <w:name w:val="Rahmeninhalt"/>
    <w:basedOn w:val="Standard"/>
    <w:qFormat/>
  </w:style>
  <w:style w:type="paragraph" w:customStyle="1" w:styleId="Beschriftung1">
    <w:name w:val="Beschriftung1"/>
    <w:basedOn w:val="Standard"/>
    <w:qFormat/>
    <w:pPr>
      <w:suppressLineNumbers/>
      <w:spacing w:before="120" w:after="120"/>
    </w:pPr>
  </w:style>
  <w:style w:type="paragraph" w:customStyle="1" w:styleId="Einrckung0">
    <w:name w:val="Einrückung0"/>
    <w:basedOn w:val="Standard"/>
    <w:qFormat/>
    <w:pPr>
      <w:spacing w:line="360" w:lineRule="atLeast"/>
    </w:pPr>
  </w:style>
  <w:style w:type="paragraph" w:customStyle="1" w:styleId="Einrckung1">
    <w:name w:val="Einrückung1"/>
    <w:basedOn w:val="Standard"/>
    <w:qFormat/>
    <w:pPr>
      <w:spacing w:line="360" w:lineRule="atLeast"/>
      <w:ind w:left="425" w:hanging="425"/>
    </w:pPr>
  </w:style>
  <w:style w:type="paragraph" w:customStyle="1" w:styleId="Einrckung2">
    <w:name w:val="Einrückung2"/>
    <w:basedOn w:val="Standard"/>
    <w:qFormat/>
    <w:pPr>
      <w:spacing w:line="360" w:lineRule="atLeast"/>
      <w:ind w:left="850" w:hanging="425"/>
    </w:pPr>
  </w:style>
  <w:style w:type="paragraph" w:customStyle="1" w:styleId="Einrckung3">
    <w:name w:val="Einrückung3"/>
    <w:basedOn w:val="Standard"/>
    <w:qFormat/>
    <w:pPr>
      <w:spacing w:line="360" w:lineRule="atLeast"/>
      <w:ind w:left="1276" w:hanging="425"/>
    </w:pPr>
  </w:style>
  <w:style w:type="paragraph" w:customStyle="1" w:styleId="Einrckung4">
    <w:name w:val="Einrückung4"/>
    <w:basedOn w:val="Standard"/>
    <w:qFormat/>
    <w:pPr>
      <w:spacing w:line="360" w:lineRule="atLeast"/>
      <w:ind w:left="1701" w:hanging="425"/>
    </w:pPr>
  </w:style>
  <w:style w:type="paragraph" w:customStyle="1" w:styleId="DLTabs">
    <w:name w:val="DLTabs"/>
    <w:basedOn w:val="Standard"/>
    <w:qFormat/>
    <w:pPr>
      <w:tabs>
        <w:tab w:val="left" w:pos="567"/>
        <w:tab w:val="right" w:pos="7371"/>
        <w:tab w:val="left" w:pos="7938"/>
        <w:tab w:val="left" w:pos="9214"/>
      </w:tabs>
    </w:pPr>
    <w:rPr>
      <w:sz w:val="16"/>
    </w:rPr>
  </w:style>
  <w:style w:type="paragraph" w:styleId="Sprechblasentext">
    <w:name w:val="Balloon Text"/>
    <w:basedOn w:val="Standard"/>
    <w:qFormat/>
  </w:style>
  <w:style w:type="paragraph" w:styleId="Kommentartext">
    <w:name w:val="annotation text"/>
    <w:basedOn w:val="Standard"/>
    <w:qFormat/>
  </w:style>
  <w:style w:type="paragraph" w:styleId="Kommentarthema">
    <w:name w:val="annotation subject"/>
    <w:basedOn w:val="Kommentartext"/>
    <w:next w:val="Kommentartext"/>
    <w:qFormat/>
    <w:rPr>
      <w:b/>
      <w:bCs/>
    </w:rPr>
  </w:style>
  <w:style w:type="paragraph" w:customStyle="1" w:styleId="MSGENFONTSTYLENAMETEMPLATEROLELEVELMSGENFONTSTYLENAMEBYROLEHEADING10">
    <w:name w:val="MSG_EN_FONT_STYLE_NAME_TEMPLATE_ROLE_LEVEL MSG_EN_FONT_STYLE_NAME_BY_ROLE_HEADING 1"/>
    <w:basedOn w:val="Standard"/>
    <w:qFormat/>
    <w:pPr>
      <w:widowControl w:val="0"/>
      <w:shd w:val="clear" w:color="auto" w:fill="FFFFFF"/>
      <w:spacing w:after="560" w:line="274" w:lineRule="exact"/>
      <w:textAlignment w:val="auto"/>
      <w:outlineLvl w:val="0"/>
    </w:pPr>
    <w:rPr>
      <w:rFonts w:ascii="Arial" w:eastAsia="Arial" w:hAnsi="Arial" w:cs="Arial"/>
      <w:b/>
      <w:bCs/>
      <w:szCs w:val="24"/>
      <w:lang w:val="en-US" w:eastAsia="en-US"/>
    </w:rPr>
  </w:style>
  <w:style w:type="paragraph" w:customStyle="1" w:styleId="berschrift1-allerersteaufersterSeitefrNutzungserklrungWebServicesLBS">
    <w:name w:val="Überschrift1 - allererste auf erster Seite (für Nutzungserklärung WebServices LBS)"/>
    <w:basedOn w:val="berschrift1"/>
    <w:next w:val="Standard-frNutzungserklrungWebServicesLBS"/>
    <w:qFormat/>
    <w:pPr>
      <w:numPr>
        <w:numId w:val="0"/>
      </w:numPr>
      <w:spacing w:before="0" w:after="57" w:line="259" w:lineRule="auto"/>
    </w:pPr>
    <w:rPr>
      <w:sz w:val="22"/>
    </w:rPr>
  </w:style>
  <w:style w:type="paragraph" w:customStyle="1" w:styleId="berschrift1-alleweiterenfrNutzungserklrungWebServicesLBS">
    <w:name w:val="Überschrift1 - alle weiteren für Nutzungserklärung WebServices LBS"/>
    <w:basedOn w:val="berschrift1"/>
    <w:next w:val="Standard-frNutzungserklrungWebServicesLBS"/>
    <w:qFormat/>
    <w:pPr>
      <w:numPr>
        <w:numId w:val="0"/>
      </w:numPr>
      <w:spacing w:before="238" w:after="57" w:line="259" w:lineRule="auto"/>
    </w:pPr>
    <w:rPr>
      <w:sz w:val="22"/>
    </w:rPr>
  </w:style>
  <w:style w:type="paragraph" w:customStyle="1" w:styleId="Standard-frNutzungserklrungWebServicesLBS">
    <w:name w:val="Standard - für Nutzungserklärung WebServices LBS"/>
    <w:basedOn w:val="Standard"/>
    <w:qFormat/>
    <w:pPr>
      <w:spacing w:after="57" w:line="259" w:lineRule="auto"/>
      <w:jc w:val="both"/>
    </w:pPr>
    <w:rPr>
      <w:sz w:val="22"/>
    </w:rPr>
  </w:style>
  <w:style w:type="paragraph" w:customStyle="1" w:styleId="Abbildung">
    <w:name w:val="Abbildung"/>
    <w:basedOn w:val="Beschriftung"/>
    <w:qFormat/>
  </w:style>
  <w:style w:type="paragraph" w:styleId="KeinLeerraum">
    <w:name w:val="No Spacing"/>
    <w:qFormat/>
    <w:pPr>
      <w:suppressAutoHyphens w:val="0"/>
      <w:overflowPunct w:val="0"/>
    </w:pPr>
    <w:rPr>
      <w:rFonts w:cs="Arial"/>
      <w:sz w:val="22"/>
      <w:szCs w:val="22"/>
    </w:rPr>
  </w:style>
  <w:style w:type="paragraph" w:styleId="Titel">
    <w:name w:val="Title"/>
    <w:basedOn w:val="Standard"/>
    <w:next w:val="Standard"/>
    <w:qFormat/>
    <w:pPr>
      <w:pBdr>
        <w:bottom w:val="single" w:sz="8" w:space="4" w:color="4F81BD"/>
      </w:pBdr>
      <w:spacing w:after="300"/>
      <w:contextualSpacing/>
    </w:pPr>
    <w:rPr>
      <w:rFonts w:ascii="Cambria" w:hAnsi="Cambria"/>
      <w:color w:val="17365D"/>
      <w:spacing w:val="5"/>
      <w:kern w:val="2"/>
      <w:sz w:val="52"/>
      <w:szCs w:val="52"/>
    </w:rPr>
  </w:style>
  <w:style w:type="paragraph" w:styleId="Untertitel">
    <w:name w:val="Subtitle"/>
    <w:basedOn w:val="Standard"/>
    <w:next w:val="Standard"/>
    <w:qFormat/>
    <w:rPr>
      <w:rFonts w:ascii="Cambria" w:hAnsi="Cambria"/>
      <w:i/>
      <w:iCs/>
      <w:color w:val="4F81BD"/>
      <w:spacing w:val="15"/>
      <w:szCs w:val="24"/>
    </w:rPr>
  </w:style>
  <w:style w:type="paragraph" w:styleId="berarbeitung">
    <w:name w:val="Revision"/>
    <w:qFormat/>
    <w:pPr>
      <w:suppressAutoHyphens w:val="0"/>
      <w:overflowPunct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https://www.schule-bw.de/" TargetMode="External"/><Relationship Id="rId2" Type="http://schemas.openxmlformats.org/officeDocument/2006/relationships/hyperlink" Target="https://creativecommons.org/licenses/by/4.0/legalcode" TargetMode="External"/><Relationship Id="rId1" Type="http://schemas.openxmlformats.org/officeDocument/2006/relationships/hyperlink" Target="http://www.landeskunde-bw.de/" TargetMode="External"/><Relationship Id="rId4" Type="http://schemas.openxmlformats.org/officeDocument/2006/relationships/hyperlink" Target="file:///C:\Users\fh\AppData\Local\Microsoft\Windows\INetCache\Content.Outlook\AppData\Local\Temp\Fenster"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s://www.schule-bw.de/" TargetMode="External"/><Relationship Id="rId2" Type="http://schemas.openxmlformats.org/officeDocument/2006/relationships/image" Target="media/image2.png"/><Relationship Id="rId1" Type="http://schemas.openxmlformats.org/officeDocument/2006/relationships/hyperlink" Target="https://km-bw.de/" TargetMode="External"/><Relationship Id="rId6" Type="http://schemas.openxmlformats.org/officeDocument/2006/relationships/image" Target="media/image4.jpeg"/><Relationship Id="rId5" Type="http://schemas.openxmlformats.org/officeDocument/2006/relationships/hyperlink" Target="https://ibbw.kultus-bw.de/" TargetMode="External"/><Relationship Id="rId4"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318</Words>
  <Characters>2010</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Matthias Fellinghauer</dc:creator>
  <cp:lastModifiedBy>Tobias Markowitsch</cp:lastModifiedBy>
  <cp:revision>3</cp:revision>
  <dcterms:created xsi:type="dcterms:W3CDTF">2022-03-14T17:50:00Z</dcterms:created>
  <dcterms:modified xsi:type="dcterms:W3CDTF">2022-04-04T10:24:00Z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cp:category>Dokumentvorlage</cp:category>
  <dcterms:created xsi:type="dcterms:W3CDTF">2021-05-30T08:45:16Z</dcterms:created>
  <dc:creator/>
  <dc:description>mit integrierten Tipps zur Maschinenlesbarkeit und Barrierefreiheit</dc:description>
  <cp:keywords>Landesbildungsserver Landesbildungsserver Landesbildungsserver Baden-Württemberg LBS BW Unterrichtsmaterialien Lernmaterialien Arbeitsblatt AB Lernblatt</cp:keywords>
  <dc:language>de-DE</dc:language>
  <cp:lastModifiedBy/>
  <dcterms:modified xsi:type="dcterms:W3CDTF">2021-05-30T09:08:16Z</dcterms:modified>
  <cp:revision>140</cp:revision>
  <dc:subject>Dokumentvorlage für Arbeitsblätter u.Ä.</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or">
    <vt:lpwstr>Landesbildungsserver Baden-Württemberg</vt:lpwstr>
  </property>
  <property fmtid="{D5CDD505-2E9C-101B-9397-08002B2CF9AE}" pid="3" name="Base Target">
    <vt:lpwstr>_blank</vt:lpwstr>
  </property>
</Properties>
</file>