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2B75F" w14:textId="589DFD34" w:rsidR="00ED53CE" w:rsidRDefault="00E47991" w:rsidP="00E47991">
      <w:pPr>
        <w:pStyle w:val="Titel"/>
      </w:pPr>
      <w:r>
        <w:t>Kurt Knittels Entnazifizierung</w:t>
      </w:r>
      <w:r w:rsidR="00BC1BCF">
        <w:t xml:space="preserve"> </w:t>
      </w:r>
    </w:p>
    <w:p w14:paraId="4EA1775A" w14:textId="77777777" w:rsidR="00ED53CE" w:rsidRDefault="00ED53CE"/>
    <w:p w14:paraId="14ED87B2" w14:textId="77777777" w:rsidR="00E47991" w:rsidRPr="00E47991" w:rsidRDefault="00E47991" w:rsidP="00E47991">
      <w:pPr>
        <w:suppressAutoHyphens w:val="0"/>
        <w:overflowPunct/>
        <w:spacing w:after="160" w:line="259" w:lineRule="auto"/>
        <w:textAlignment w:val="auto"/>
        <w:rPr>
          <w:rFonts w:ascii="Times New Roman" w:eastAsia="Calibri" w:hAnsi="Times New Roman"/>
          <w:b/>
          <w:bCs/>
          <w:sz w:val="22"/>
          <w:szCs w:val="22"/>
          <w:lang w:eastAsia="en-US"/>
        </w:rPr>
      </w:pPr>
      <w:r w:rsidRPr="00E47991">
        <w:rPr>
          <w:rFonts w:ascii="Times New Roman" w:eastAsia="Calibri" w:hAnsi="Times New Roman"/>
          <w:b/>
          <w:bCs/>
          <w:sz w:val="22"/>
          <w:szCs w:val="22"/>
          <w:lang w:eastAsia="en-US"/>
        </w:rPr>
        <w:t xml:space="preserve">Spruchkammer </w:t>
      </w:r>
      <w:r w:rsidRPr="00E47991">
        <w:rPr>
          <w:rFonts w:ascii="Times New Roman" w:eastAsia="Calibri" w:hAnsi="Times New Roman"/>
          <w:sz w:val="22"/>
          <w:szCs w:val="22"/>
          <w:lang w:eastAsia="en-US"/>
        </w:rPr>
        <w:t>18 der Internierungslager [Ludwigsburg]</w:t>
      </w:r>
      <w:r w:rsidRPr="00E47991">
        <w:rPr>
          <w:rFonts w:ascii="Times New Roman" w:eastAsia="Calibri" w:hAnsi="Times New Roman"/>
          <w:sz w:val="22"/>
          <w:szCs w:val="22"/>
          <w:lang w:eastAsia="en-US"/>
        </w:rPr>
        <w:tab/>
      </w:r>
      <w:r w:rsidRPr="00E47991">
        <w:rPr>
          <w:rFonts w:ascii="Times New Roman" w:eastAsia="Calibri" w:hAnsi="Times New Roman"/>
          <w:sz w:val="22"/>
          <w:szCs w:val="22"/>
          <w:lang w:eastAsia="en-US"/>
        </w:rPr>
        <w:tab/>
      </w:r>
      <w:r w:rsidRPr="00E47991">
        <w:rPr>
          <w:rFonts w:ascii="Times New Roman" w:eastAsia="Calibri" w:hAnsi="Times New Roman"/>
          <w:sz w:val="22"/>
          <w:szCs w:val="22"/>
          <w:lang w:eastAsia="en-US"/>
        </w:rPr>
        <w:tab/>
        <w:t>Den 9.2.1948</w:t>
      </w:r>
    </w:p>
    <w:p w14:paraId="777B642B" w14:textId="77777777" w:rsidR="00E47991" w:rsidRPr="00E47991" w:rsidRDefault="00E47991" w:rsidP="00E47991">
      <w:pPr>
        <w:suppressAutoHyphens w:val="0"/>
        <w:overflowPunct/>
        <w:spacing w:after="160" w:line="259" w:lineRule="auto"/>
        <w:textAlignment w:val="auto"/>
        <w:rPr>
          <w:rFonts w:ascii="Times New Roman" w:eastAsia="Calibri" w:hAnsi="Times New Roman"/>
          <w:sz w:val="22"/>
          <w:szCs w:val="22"/>
          <w:lang w:eastAsia="en-US"/>
        </w:rPr>
      </w:pPr>
    </w:p>
    <w:p w14:paraId="53BEC1C7" w14:textId="77777777" w:rsidR="00E47991" w:rsidRPr="00E47991" w:rsidRDefault="00E47991" w:rsidP="00E47991">
      <w:pPr>
        <w:suppressAutoHyphens w:val="0"/>
        <w:overflowPunct/>
        <w:spacing w:after="160" w:line="259" w:lineRule="auto"/>
        <w:jc w:val="center"/>
        <w:textAlignment w:val="auto"/>
        <w:rPr>
          <w:rFonts w:ascii="Times New Roman" w:eastAsia="Calibri" w:hAnsi="Times New Roman"/>
          <w:b/>
          <w:bCs/>
          <w:sz w:val="32"/>
          <w:szCs w:val="32"/>
          <w:lang w:eastAsia="en-US"/>
        </w:rPr>
      </w:pPr>
      <w:r w:rsidRPr="00E47991">
        <w:rPr>
          <w:rFonts w:ascii="Times New Roman" w:eastAsia="Calibri" w:hAnsi="Times New Roman"/>
          <w:b/>
          <w:bCs/>
          <w:sz w:val="32"/>
          <w:szCs w:val="32"/>
          <w:lang w:eastAsia="en-US"/>
        </w:rPr>
        <w:t>Spruch</w:t>
      </w:r>
    </w:p>
    <w:p w14:paraId="581CC862"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szCs w:val="24"/>
          <w:lang w:eastAsia="en-US"/>
        </w:rPr>
        <w:t xml:space="preserve">Auf Grund des Gesetzes zur Befreiung von Nationalsozialismus und Militarismus vom 5. März 1946 </w:t>
      </w:r>
      <w:proofErr w:type="spellStart"/>
      <w:r w:rsidRPr="00E47991">
        <w:rPr>
          <w:rFonts w:ascii="Times New Roman" w:eastAsia="Calibri" w:hAnsi="Times New Roman"/>
          <w:szCs w:val="24"/>
          <w:lang w:eastAsia="en-US"/>
        </w:rPr>
        <w:t>erläßt</w:t>
      </w:r>
      <w:proofErr w:type="spellEnd"/>
      <w:r w:rsidRPr="00E47991">
        <w:rPr>
          <w:rFonts w:ascii="Times New Roman" w:eastAsia="Calibri" w:hAnsi="Times New Roman"/>
          <w:szCs w:val="24"/>
          <w:lang w:eastAsia="en-US"/>
        </w:rPr>
        <w:t xml:space="preserve"> die Spruchkammer […] auf Grund der mündlichen Verhandlung folgenden </w:t>
      </w:r>
    </w:p>
    <w:p w14:paraId="63403051" w14:textId="77777777" w:rsidR="00E47991" w:rsidRPr="00E47991" w:rsidRDefault="00E47991" w:rsidP="00E47991">
      <w:pPr>
        <w:suppressAutoHyphens w:val="0"/>
        <w:overflowPunct/>
        <w:spacing w:after="160" w:line="259" w:lineRule="auto"/>
        <w:jc w:val="center"/>
        <w:textAlignment w:val="auto"/>
        <w:rPr>
          <w:rFonts w:ascii="Times New Roman" w:eastAsia="Calibri" w:hAnsi="Times New Roman"/>
          <w:b/>
          <w:bCs/>
          <w:szCs w:val="24"/>
          <w:lang w:eastAsia="en-US"/>
        </w:rPr>
      </w:pPr>
      <w:r w:rsidRPr="00E47991">
        <w:rPr>
          <w:rFonts w:ascii="Times New Roman" w:eastAsia="Calibri" w:hAnsi="Times New Roman"/>
          <w:b/>
          <w:bCs/>
          <w:szCs w:val="24"/>
          <w:lang w:eastAsia="en-US"/>
        </w:rPr>
        <w:t>SPRUCH:</w:t>
      </w:r>
    </w:p>
    <w:p w14:paraId="308A6FAA" w14:textId="77777777" w:rsidR="00E47991" w:rsidRPr="00E47991" w:rsidRDefault="00E47991" w:rsidP="00E47991">
      <w:pPr>
        <w:numPr>
          <w:ilvl w:val="0"/>
          <w:numId w:val="2"/>
        </w:numPr>
        <w:suppressAutoHyphens w:val="0"/>
        <w:overflowPunct/>
        <w:spacing w:after="160" w:line="259" w:lineRule="auto"/>
        <w:contextualSpacing/>
        <w:textAlignment w:val="auto"/>
        <w:rPr>
          <w:rFonts w:ascii="Times New Roman" w:eastAsia="Calibri" w:hAnsi="Times New Roman"/>
          <w:szCs w:val="24"/>
          <w:lang w:eastAsia="en-US"/>
        </w:rPr>
      </w:pPr>
      <w:r w:rsidRPr="00E47991">
        <w:rPr>
          <w:rFonts w:ascii="Times New Roman" w:eastAsia="Calibri" w:hAnsi="Times New Roman"/>
          <w:szCs w:val="24"/>
          <w:lang w:eastAsia="en-US"/>
        </w:rPr>
        <w:t>Der Betroffene [Kurt Knittel] erhält eine Bewährungsfrist von 1 ½ Jahren. Sie beginnt mit dem Tage der Rechtskraft des Spruches.</w:t>
      </w:r>
    </w:p>
    <w:p w14:paraId="49EA973C" w14:textId="77777777" w:rsidR="00E47991" w:rsidRPr="00E47991" w:rsidRDefault="00E47991" w:rsidP="00E47991">
      <w:pPr>
        <w:numPr>
          <w:ilvl w:val="0"/>
          <w:numId w:val="2"/>
        </w:numPr>
        <w:suppressAutoHyphens w:val="0"/>
        <w:overflowPunct/>
        <w:spacing w:after="160" w:line="259" w:lineRule="auto"/>
        <w:contextualSpacing/>
        <w:textAlignment w:val="auto"/>
        <w:rPr>
          <w:rFonts w:ascii="Times New Roman" w:eastAsia="Calibri" w:hAnsi="Times New Roman"/>
          <w:szCs w:val="24"/>
          <w:lang w:eastAsia="en-US"/>
        </w:rPr>
      </w:pPr>
      <w:r w:rsidRPr="00E47991">
        <w:rPr>
          <w:rFonts w:ascii="Times New Roman" w:eastAsia="Calibri" w:hAnsi="Times New Roman"/>
          <w:szCs w:val="24"/>
          <w:lang w:eastAsia="en-US"/>
        </w:rPr>
        <w:t>Der Betroffene hat einen einmaligen Sonderbeitrag zu einem Wiedergutmachungsfond einen Betrag in der Höhe von RM 1000,- zu zahlen. […]</w:t>
      </w:r>
    </w:p>
    <w:p w14:paraId="47B8C7C4" w14:textId="77777777" w:rsidR="00E47991" w:rsidRPr="00E47991" w:rsidRDefault="00E47991" w:rsidP="00E47991">
      <w:pPr>
        <w:suppressAutoHyphens w:val="0"/>
        <w:overflowPunct/>
        <w:spacing w:after="160" w:line="259" w:lineRule="auto"/>
        <w:ind w:left="360"/>
        <w:textAlignment w:val="auto"/>
        <w:rPr>
          <w:rFonts w:ascii="Times New Roman" w:eastAsia="Calibri" w:hAnsi="Times New Roman"/>
          <w:sz w:val="20"/>
          <w:lang w:eastAsia="en-US"/>
        </w:rPr>
      </w:pPr>
      <w:r w:rsidRPr="00E47991">
        <w:rPr>
          <w:rFonts w:ascii="Times New Roman" w:eastAsia="Calibri" w:hAnsi="Times New Roman"/>
          <w:sz w:val="20"/>
          <w:lang w:eastAsia="en-US"/>
        </w:rPr>
        <w:t>Die Kosten des Verfahrens trägt der Betroffene.</w:t>
      </w:r>
      <w:r w:rsidRPr="00E47991">
        <w:rPr>
          <w:rFonts w:ascii="Times New Roman" w:eastAsia="Calibri" w:hAnsi="Times New Roman"/>
          <w:sz w:val="20"/>
          <w:lang w:eastAsia="en-US"/>
        </w:rPr>
        <w:br/>
        <w:t>Streitwert 6000,- RM auf Grund seines Einkommens im Jahre 1943.</w:t>
      </w:r>
    </w:p>
    <w:p w14:paraId="16D4846B" w14:textId="77777777" w:rsidR="00E47991" w:rsidRPr="00E47991" w:rsidRDefault="00E47991" w:rsidP="00E47991">
      <w:pPr>
        <w:suppressAutoHyphens w:val="0"/>
        <w:overflowPunct/>
        <w:spacing w:after="160" w:line="259" w:lineRule="auto"/>
        <w:jc w:val="center"/>
        <w:textAlignment w:val="auto"/>
        <w:rPr>
          <w:rFonts w:ascii="Times New Roman" w:eastAsia="Calibri" w:hAnsi="Times New Roman"/>
          <w:b/>
          <w:bCs/>
          <w:sz w:val="20"/>
          <w:lang w:eastAsia="en-US"/>
        </w:rPr>
      </w:pPr>
    </w:p>
    <w:p w14:paraId="71E8CB05" w14:textId="77777777" w:rsidR="00E47991" w:rsidRPr="00E47991" w:rsidRDefault="00E47991" w:rsidP="00E47991">
      <w:pPr>
        <w:suppressAutoHyphens w:val="0"/>
        <w:overflowPunct/>
        <w:spacing w:after="160" w:line="259" w:lineRule="auto"/>
        <w:jc w:val="center"/>
        <w:textAlignment w:val="auto"/>
        <w:rPr>
          <w:rFonts w:ascii="Times New Roman" w:eastAsia="Calibri" w:hAnsi="Times New Roman"/>
          <w:b/>
          <w:bCs/>
          <w:szCs w:val="24"/>
          <w:lang w:eastAsia="en-US"/>
        </w:rPr>
      </w:pPr>
      <w:r w:rsidRPr="00E47991">
        <w:rPr>
          <w:rFonts w:ascii="Times New Roman" w:eastAsia="Calibri" w:hAnsi="Times New Roman"/>
          <w:b/>
          <w:bCs/>
          <w:szCs w:val="24"/>
          <w:lang w:eastAsia="en-US"/>
        </w:rPr>
        <w:t xml:space="preserve">BEGRÜNDUNG: </w:t>
      </w:r>
    </w:p>
    <w:p w14:paraId="0AC169F8"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szCs w:val="24"/>
          <w:lang w:eastAsia="en-US"/>
        </w:rPr>
        <w:t xml:space="preserve">[…] </w:t>
      </w:r>
    </w:p>
    <w:p w14:paraId="390AF8FB" w14:textId="79E3FD76"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szCs w:val="24"/>
          <w:lang w:eastAsia="en-US"/>
        </w:rPr>
        <w:t xml:space="preserve">IV. […] Wenn nun der Betr.[offene] in seiner Klageerwiderung, er hätte während seiner ganzen Tätigkeit in Oberschlesien kein nationalsozialistisches Theaterstück oder kein Stück eines nationalsozialistischen Autors gebracht, oder keinen Abend mit </w:t>
      </w:r>
      <w:proofErr w:type="spellStart"/>
      <w:r w:rsidRPr="00E47991">
        <w:rPr>
          <w:rFonts w:ascii="Times New Roman" w:eastAsia="Calibri" w:hAnsi="Times New Roman"/>
          <w:szCs w:val="24"/>
          <w:lang w:eastAsia="en-US"/>
        </w:rPr>
        <w:t>nat.soz</w:t>
      </w:r>
      <w:proofErr w:type="spellEnd"/>
      <w:r w:rsidRPr="00E47991">
        <w:rPr>
          <w:rFonts w:ascii="Times New Roman" w:eastAsia="Calibri" w:hAnsi="Times New Roman"/>
          <w:szCs w:val="24"/>
          <w:lang w:eastAsia="en-US"/>
        </w:rPr>
        <w:t xml:space="preserve">. Tendenz veranstaltet, so ist dieses einfach nicht glaubhaft und konnte von ihm in der Beweisaufnahme nicht bestätigt werden. </w:t>
      </w:r>
      <w:r w:rsidRPr="00E47991">
        <w:rPr>
          <w:rFonts w:ascii="Times New Roman" w:eastAsia="Calibri" w:hAnsi="Times New Roman"/>
          <w:szCs w:val="24"/>
          <w:lang w:eastAsia="en-US"/>
        </w:rPr>
        <w:br/>
        <w:t>Ebenfalls musste der Betr</w:t>
      </w:r>
      <w:r w:rsidR="005D2B13">
        <w:rPr>
          <w:rFonts w:ascii="Times New Roman" w:eastAsia="Calibri" w:hAnsi="Times New Roman"/>
          <w:szCs w:val="24"/>
          <w:lang w:eastAsia="en-US"/>
        </w:rPr>
        <w:t>.[offene]</w:t>
      </w:r>
      <w:r w:rsidRPr="00E47991">
        <w:rPr>
          <w:rFonts w:ascii="Times New Roman" w:eastAsia="Calibri" w:hAnsi="Times New Roman"/>
          <w:szCs w:val="24"/>
          <w:lang w:eastAsia="en-US"/>
        </w:rPr>
        <w:t xml:space="preserve"> auch seine Behauptung korrigieren, indem er behauptete, nicht</w:t>
      </w:r>
      <w:r w:rsidR="005D2B13">
        <w:rPr>
          <w:rFonts w:ascii="Times New Roman" w:eastAsia="Calibri" w:hAnsi="Times New Roman"/>
          <w:szCs w:val="24"/>
          <w:lang w:eastAsia="en-US"/>
        </w:rPr>
        <w:t>s</w:t>
      </w:r>
      <w:r w:rsidRPr="00E47991">
        <w:rPr>
          <w:rFonts w:ascii="Times New Roman" w:eastAsia="Calibri" w:hAnsi="Times New Roman"/>
          <w:szCs w:val="24"/>
          <w:lang w:eastAsia="en-US"/>
        </w:rPr>
        <w:t xml:space="preserve"> von den Vorgängen im K.Z. Auschwitz gewusst zu haben.</w:t>
      </w:r>
      <w:r w:rsidRPr="00E47991">
        <w:rPr>
          <w:rFonts w:ascii="Times New Roman" w:eastAsia="Calibri" w:hAnsi="Times New Roman"/>
          <w:szCs w:val="24"/>
          <w:lang w:eastAsia="en-US"/>
        </w:rPr>
        <w:br/>
        <w:t xml:space="preserve">Wenn der Betr. tatsächlich fortgesetzt gegen die ihm vorgesetzten Dienststellen in Auschwitz, Oberschlesien und Berlin gearbeitet hätte, und Sachen nicht nationalsozialistischer Tendenz oder gar Artikel, die gegen die </w:t>
      </w:r>
      <w:proofErr w:type="spellStart"/>
      <w:r w:rsidRPr="00E47991">
        <w:rPr>
          <w:rFonts w:ascii="Times New Roman" w:eastAsia="Calibri" w:hAnsi="Times New Roman"/>
          <w:szCs w:val="24"/>
          <w:lang w:eastAsia="en-US"/>
        </w:rPr>
        <w:t>nat.soz</w:t>
      </w:r>
      <w:proofErr w:type="spellEnd"/>
      <w:r w:rsidRPr="00E47991">
        <w:rPr>
          <w:rFonts w:ascii="Times New Roman" w:eastAsia="Calibri" w:hAnsi="Times New Roman"/>
          <w:szCs w:val="24"/>
          <w:lang w:eastAsia="en-US"/>
        </w:rPr>
        <w:t>. Idee handelten gebracht hätte, so wäre er sehr schnell von seinem Posten entfernt worden.</w:t>
      </w:r>
      <w:r w:rsidRPr="00E47991">
        <w:rPr>
          <w:rFonts w:ascii="Times New Roman" w:eastAsia="Calibri" w:hAnsi="Times New Roman"/>
          <w:szCs w:val="24"/>
          <w:lang w:eastAsia="en-US"/>
        </w:rPr>
        <w:br/>
        <w:t>Er hätte bestimmt nicht unbehelligt bis zum Zusammenbruch als SS-Truppenbetreuer wirken können und zum Schluss noch befördert werden können.</w:t>
      </w:r>
    </w:p>
    <w:p w14:paraId="74FE7D43"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szCs w:val="24"/>
          <w:lang w:eastAsia="en-US"/>
        </w:rPr>
        <w:t xml:space="preserve">V. […] Die gegen den Betr. vorgebrachte Vermutung im Sinne 7 I 2 er habe Häftlinge des K.Z. Auschwitz bei der Lagerführung angeschwärzt war der Hautpunkt des Verfahrens. […] Es gelang dem Betr. nicht, die gegen ihn sprechende Vermutung restlos auszuräumen. Andererseits möchte die Kammer diesen Fall nicht zur Auferlegung härterer Sühnemaßnahmen in Anwendung bringen, weil der Betr. in vielen Fällen eine durchaus menschliche Handlungsweise an den Tag legte. </w:t>
      </w:r>
      <w:r w:rsidRPr="00E47991">
        <w:rPr>
          <w:rFonts w:ascii="Times New Roman" w:eastAsia="Calibri" w:hAnsi="Times New Roman"/>
          <w:szCs w:val="24"/>
          <w:lang w:eastAsia="en-US"/>
        </w:rPr>
        <w:br/>
        <w:t>Es wird ihm von ehemaligen K.Z. Häftlingen bestätigt, dass seine Frau, sowie auch er sich gegen weibliche Häftlinge, die in seinem Haushalt beschäftigt waren, korrekt und anständig ja sogar hilfsbereit benommen haben. […]</w:t>
      </w:r>
    </w:p>
    <w:p w14:paraId="62186980"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szCs w:val="24"/>
          <w:lang w:eastAsia="en-US"/>
        </w:rPr>
        <w:lastRenderedPageBreak/>
        <w:t>Auch unterstellt die Kammer als wahr, dass er Theater- und Konzertstücke jüdischer Autoren zur Aufführung brachte, ebenso dass er Bücher nicht nazistischer ja auch jüdischer Schriftsteller an zuverlässige Bekannte gab. […]</w:t>
      </w:r>
    </w:p>
    <w:p w14:paraId="5D943E92"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szCs w:val="24"/>
          <w:lang w:eastAsia="en-US"/>
        </w:rPr>
        <w:t>Dieses alles sind Handlungen, die zeigen, dass er kein brutaler, fanatischer Nazi war, sie können aber nicht als antinationalsozialistische Handlungen gewertet werden. […]</w:t>
      </w:r>
    </w:p>
    <w:p w14:paraId="1B315689"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szCs w:val="24"/>
          <w:lang w:eastAsia="en-US"/>
        </w:rPr>
        <w:t>Die übrigen eidesstattlichen Erklärungen sind die üblichen Entlastungsschreiben</w:t>
      </w:r>
      <w:r w:rsidRPr="00E47991">
        <w:rPr>
          <w:rFonts w:ascii="Times New Roman" w:eastAsia="Calibri" w:hAnsi="Times New Roman"/>
          <w:szCs w:val="24"/>
          <w:vertAlign w:val="superscript"/>
          <w:lang w:eastAsia="en-US"/>
        </w:rPr>
        <w:footnoteReference w:id="1"/>
      </w:r>
      <w:r w:rsidRPr="00E47991">
        <w:rPr>
          <w:rFonts w:ascii="Times New Roman" w:eastAsia="Calibri" w:hAnsi="Times New Roman"/>
          <w:szCs w:val="24"/>
          <w:lang w:eastAsia="en-US"/>
        </w:rPr>
        <w:t xml:space="preserve">, sie bringen nichts </w:t>
      </w:r>
      <w:proofErr w:type="spellStart"/>
      <w:r w:rsidRPr="00E47991">
        <w:rPr>
          <w:rFonts w:ascii="Times New Roman" w:eastAsia="Calibri" w:hAnsi="Times New Roman"/>
          <w:szCs w:val="24"/>
          <w:lang w:eastAsia="en-US"/>
        </w:rPr>
        <w:t>besonderes</w:t>
      </w:r>
      <w:proofErr w:type="spellEnd"/>
      <w:r w:rsidRPr="00E47991">
        <w:rPr>
          <w:rFonts w:ascii="Times New Roman" w:eastAsia="Calibri" w:hAnsi="Times New Roman"/>
          <w:szCs w:val="24"/>
          <w:lang w:eastAsia="en-US"/>
        </w:rPr>
        <w:t xml:space="preserve"> […], sie stellen nur Werturteile dar. […]</w:t>
      </w:r>
    </w:p>
    <w:p w14:paraId="4ED18409"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szCs w:val="24"/>
          <w:lang w:eastAsia="en-US"/>
        </w:rPr>
        <w:t>In Würdigung aller, während der Verhandlung zur Sprache gekommenen Tatbestandsmerkmale und unter Anhörung der Zeugen Dr. Petzold</w:t>
      </w:r>
      <w:r w:rsidRPr="00E47991">
        <w:rPr>
          <w:rFonts w:ascii="Times New Roman" w:eastAsia="Calibri" w:hAnsi="Times New Roman"/>
          <w:szCs w:val="24"/>
          <w:vertAlign w:val="superscript"/>
          <w:lang w:eastAsia="en-US"/>
        </w:rPr>
        <w:footnoteReference w:id="2"/>
      </w:r>
      <w:r w:rsidRPr="00E47991">
        <w:rPr>
          <w:rFonts w:ascii="Times New Roman" w:eastAsia="Calibri" w:hAnsi="Times New Roman"/>
          <w:szCs w:val="24"/>
          <w:lang w:eastAsia="en-US"/>
        </w:rPr>
        <w:t xml:space="preserve"> und Frau Maria Lehmann</w:t>
      </w:r>
      <w:r w:rsidRPr="00E47991">
        <w:rPr>
          <w:rFonts w:ascii="Times New Roman" w:eastAsia="Calibri" w:hAnsi="Times New Roman"/>
          <w:szCs w:val="24"/>
          <w:vertAlign w:val="superscript"/>
          <w:lang w:eastAsia="en-US"/>
        </w:rPr>
        <w:footnoteReference w:id="3"/>
      </w:r>
      <w:r w:rsidRPr="00E47991">
        <w:rPr>
          <w:rFonts w:ascii="Times New Roman" w:eastAsia="Calibri" w:hAnsi="Times New Roman"/>
          <w:szCs w:val="24"/>
          <w:lang w:eastAsia="en-US"/>
        </w:rPr>
        <w:t>, kam die Kammer zu dem Schluss, den Betroffenen, der an sich zur Gruppe der Belasteten gehört, jedoch besonderer Umstände halber […] einer minderen Beurteilung für würdig zu halten, in die Gruppe der Minderbelasteten einzustufen.</w:t>
      </w:r>
      <w:r w:rsidRPr="00E47991">
        <w:rPr>
          <w:rFonts w:ascii="Times New Roman" w:eastAsia="Calibri" w:hAnsi="Times New Roman"/>
          <w:szCs w:val="24"/>
          <w:lang w:eastAsia="en-US"/>
        </w:rPr>
        <w:br/>
        <w:t>Die Kammer hat von dem Betr. den Eindruck, dass er nach einer Probezeit seine Pflichten als Bürger eines friedlichen, demokratischen Staates erfüllen wird. […]“</w:t>
      </w:r>
    </w:p>
    <w:p w14:paraId="56C324EF"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eastAsia="Calibri" w:cs="Calibri"/>
          <w:i/>
          <w:iCs/>
          <w:sz w:val="18"/>
          <w:szCs w:val="18"/>
          <w:lang w:eastAsia="en-US"/>
        </w:rPr>
        <w:t>Quelle: Auszug aus: GLA Karlsruhe 465 h Nr. 54362</w:t>
      </w:r>
      <w:r w:rsidRPr="00E47991">
        <w:rPr>
          <w:rFonts w:ascii="Times New Roman" w:eastAsia="Calibri" w:hAnsi="Times New Roman"/>
          <w:szCs w:val="24"/>
          <w:lang w:eastAsia="en-US"/>
        </w:rPr>
        <w:t>.</w:t>
      </w:r>
    </w:p>
    <w:p w14:paraId="455C3A5B" w14:textId="77777777" w:rsid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347BD7CF" w14:textId="77777777" w:rsid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176CD299" w14:textId="62090AA0"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44D7EF07" w14:textId="0FE97C7C"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noProof/>
          <w:szCs w:val="24"/>
          <w:lang w:eastAsia="en-US"/>
        </w:rPr>
        <mc:AlternateContent>
          <mc:Choice Requires="wps">
            <w:drawing>
              <wp:anchor distT="45720" distB="45720" distL="114300" distR="114300" simplePos="0" relativeHeight="251659264" behindDoc="0" locked="0" layoutInCell="1" allowOverlap="1" wp14:anchorId="6B0B7A4A" wp14:editId="010E68FD">
                <wp:simplePos x="0" y="0"/>
                <wp:positionH relativeFrom="column">
                  <wp:posOffset>27940</wp:posOffset>
                </wp:positionH>
                <wp:positionV relativeFrom="paragraph">
                  <wp:posOffset>106045</wp:posOffset>
                </wp:positionV>
                <wp:extent cx="5623560" cy="1274445"/>
                <wp:effectExtent l="0" t="0" r="15240" b="2095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3560" cy="1274445"/>
                        </a:xfrm>
                        <a:prstGeom prst="rect">
                          <a:avLst/>
                        </a:prstGeom>
                        <a:solidFill>
                          <a:srgbClr val="FFFFFF"/>
                        </a:solidFill>
                        <a:ln w="9525">
                          <a:solidFill>
                            <a:srgbClr val="000000"/>
                          </a:solidFill>
                          <a:miter lim="800000"/>
                          <a:headEnd/>
                          <a:tailEnd/>
                        </a:ln>
                      </wps:spPr>
                      <wps:txbx>
                        <w:txbxContent>
                          <w:p w14:paraId="01B92C8C" w14:textId="77777777" w:rsidR="00E47991" w:rsidRPr="005D2B13" w:rsidRDefault="00E47991" w:rsidP="00E47991">
                            <w:pPr>
                              <w:rPr>
                                <w:u w:val="single"/>
                              </w:rPr>
                            </w:pPr>
                            <w:r w:rsidRPr="005D2B13">
                              <w:rPr>
                                <w:u w:val="single"/>
                              </w:rPr>
                              <w:t>Arbeitsaufträge</w:t>
                            </w:r>
                          </w:p>
                          <w:p w14:paraId="37EEB068" w14:textId="77777777" w:rsidR="00E47991" w:rsidRPr="005D2B13" w:rsidRDefault="00E47991" w:rsidP="00E47991">
                            <w:r w:rsidRPr="005D2B13">
                              <w:t>1. Arbeite aus dem Spruch der Spruchkammer die Begründung heraus, warum Kurt Knittel aus der Gruppe der Belasteten in die Gruppe der Minderbelasteten überführt wird.</w:t>
                            </w:r>
                          </w:p>
                          <w:p w14:paraId="5AF24C71" w14:textId="77777777" w:rsidR="00E47991" w:rsidRPr="005D2B13" w:rsidRDefault="00E47991" w:rsidP="00E47991">
                            <w:r w:rsidRPr="005D2B13">
                              <w:t>2. Vergleiche den Spruch mit deinen bisherigen Ergebnissen und bewerte ihn.</w:t>
                            </w:r>
                          </w:p>
                          <w:p w14:paraId="1C6B608C" w14:textId="77777777" w:rsidR="00E47991" w:rsidRDefault="00E47991" w:rsidP="00E4799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0B7A4A" id="_x0000_t202" coordsize="21600,21600" o:spt="202" path="m,l,21600r21600,l21600,xe">
                <v:stroke joinstyle="miter"/>
                <v:path gradientshapeok="t" o:connecttype="rect"/>
              </v:shapetype>
              <v:shape id="Textfeld 2" o:spid="_x0000_s1026" type="#_x0000_t202" style="position:absolute;margin-left:2.2pt;margin-top:8.35pt;width:442.8pt;height:100.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">
                <v:textbox>
                  <w:txbxContent>
                    <w:p w14:paraId="01B92C8C" w14:textId="77777777" w:rsidR="00E47991" w:rsidRPr="005D2B13" w:rsidRDefault="00E47991" w:rsidP="00E47991">
                      <w:pPr>
                        <w:rPr>
                          <w:u w:val="single"/>
                        </w:rPr>
                      </w:pPr>
                      <w:r w:rsidRPr="005D2B13">
                        <w:rPr>
                          <w:u w:val="single"/>
                        </w:rPr>
                        <w:t>Arbeitsaufträge</w:t>
                      </w:r>
                    </w:p>
                    <w:p w14:paraId="37EEB068" w14:textId="77777777" w:rsidR="00E47991" w:rsidRPr="005D2B13" w:rsidRDefault="00E47991" w:rsidP="00E47991">
                      <w:r w:rsidRPr="005D2B13">
                        <w:t>1. Arbeite aus dem Spruch der Spruchkammer die Begründung heraus, warum Kurt Knittel aus der Gruppe der Belasteten in die Gruppe der Minderbelasteten überführt wird.</w:t>
                      </w:r>
                    </w:p>
                    <w:p w14:paraId="5AF24C71" w14:textId="77777777" w:rsidR="00E47991" w:rsidRPr="005D2B13" w:rsidRDefault="00E47991" w:rsidP="00E47991">
                      <w:r w:rsidRPr="005D2B13">
                        <w:t>2. Vergleiche den Spruch mit deinen bisherigen Ergebnissen und bewerte ihn.</w:t>
                      </w:r>
                    </w:p>
                    <w:p w14:paraId="1C6B608C" w14:textId="77777777" w:rsidR="00E47991" w:rsidRDefault="00E47991" w:rsidP="00E47991"/>
                  </w:txbxContent>
                </v:textbox>
                <w10:wrap type="square"/>
              </v:shape>
            </w:pict>
          </mc:Fallback>
        </mc:AlternateContent>
      </w:r>
    </w:p>
    <w:p w14:paraId="2AF9C945"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4BAB1ADB"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7E3225A3"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64DAD580"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3A3D6FEF"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61FBF4E5"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19EEE390"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7C9CD424"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27835833"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p>
    <w:p w14:paraId="74DB5E63" w14:textId="77777777" w:rsidR="00E47991" w:rsidRPr="00E47991" w:rsidRDefault="00E47991" w:rsidP="00E47991">
      <w:pPr>
        <w:suppressAutoHyphens w:val="0"/>
        <w:overflowPunct/>
        <w:spacing w:after="160" w:line="259" w:lineRule="auto"/>
        <w:textAlignment w:val="auto"/>
        <w:rPr>
          <w:rFonts w:ascii="Times New Roman" w:eastAsia="Calibri" w:hAnsi="Times New Roman"/>
          <w:szCs w:val="24"/>
          <w:lang w:eastAsia="en-US"/>
        </w:rPr>
      </w:pPr>
      <w:r w:rsidRPr="00E47991">
        <w:rPr>
          <w:rFonts w:ascii="Times New Roman" w:eastAsia="Calibri" w:hAnsi="Times New Roman"/>
          <w:noProof/>
          <w:szCs w:val="24"/>
          <w:lang w:eastAsia="en-US"/>
        </w:rPr>
        <mc:AlternateContent>
          <mc:Choice Requires="wps">
            <w:drawing>
              <wp:anchor distT="45720" distB="45720" distL="114300" distR="114300" simplePos="0" relativeHeight="251660288" behindDoc="0" locked="0" layoutInCell="1" allowOverlap="1" wp14:anchorId="101E9073" wp14:editId="7F98549B">
                <wp:simplePos x="0" y="0"/>
                <wp:positionH relativeFrom="margin">
                  <wp:posOffset>-206375</wp:posOffset>
                </wp:positionH>
                <wp:positionV relativeFrom="paragraph">
                  <wp:posOffset>0</wp:posOffset>
                </wp:positionV>
                <wp:extent cx="6393180" cy="937895"/>
                <wp:effectExtent l="0" t="0" r="26670" b="1270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3180" cy="937895"/>
                        </a:xfrm>
                        <a:prstGeom prst="rect">
                          <a:avLst/>
                        </a:prstGeom>
                        <a:solidFill>
                          <a:srgbClr val="FFFFFF"/>
                        </a:solidFill>
                        <a:ln w="9525">
                          <a:solidFill>
                            <a:srgbClr val="000000"/>
                          </a:solidFill>
                          <a:miter lim="800000"/>
                          <a:headEnd/>
                          <a:tailEnd/>
                        </a:ln>
                      </wps:spPr>
                      <wps:txbx>
                        <w:txbxContent>
                          <w:p w14:paraId="2DCB1A3C" w14:textId="77777777" w:rsidR="00E47991" w:rsidRPr="00EF499C" w:rsidRDefault="00E47991" w:rsidP="00E47991">
                            <w:pPr>
                              <w:rPr>
                                <w:b/>
                                <w:bCs/>
                                <w:u w:val="single"/>
                              </w:rPr>
                            </w:pPr>
                            <w:r w:rsidRPr="00EF499C">
                              <w:rPr>
                                <w:b/>
                                <w:bCs/>
                                <w:u w:val="single"/>
                              </w:rPr>
                              <w:t>Info</w:t>
                            </w:r>
                          </w:p>
                          <w:p w14:paraId="63BA284A" w14:textId="77777777" w:rsidR="00E47991" w:rsidRDefault="00E47991" w:rsidP="00E47991">
                            <w:r>
                              <w:t xml:space="preserve">In den Nürnberger Prozessen gegen die Hauptkriegsverbrecher vor dem Internationalen Militärgerichtshof verwiesen die vor Gericht verhandelten Kriegsverbrechen und Verbrechen gegen die Menschlichkeit auf die SS, den Sicherheitsdienst der SS (SD) und die Gestapo. Die massenhaften Verbrechen des NS-Regimes wurden dabei besonders der SS und ihrer Teilorganisationen zur Last gelegt. Die Angehörigen der SS wurden größtenteils mit in den Schuldspruch mit einbezogen, Ausnahmen gab es zumeist jedoch für die diejenigen, die zwangsweise in die Waffen-SS eingezogen worden waren. In den Internierungslagern schlossen sich ehemalige SS-Mitglieder zusammen, um gemeinsam auf die Unschuld ihrer Teilorganisation zu pochen. Dabei behaupteten sie oftmals, nichts von den Taten gewusst zu haben. </w:t>
                            </w:r>
                          </w:p>
                          <w:p w14:paraId="77A89D6F" w14:textId="77777777" w:rsidR="00E47991" w:rsidRDefault="00E47991" w:rsidP="00E47991">
                            <w:r>
                              <w:t>Es überrascht daher nicht, dass viele ehemalige SS-Mitglieder im Nachkriegsdeutschland beruflich wieder Fuß fassten, zum Teil in Behörden unterkamen und Karrieren aufbauten. Fachliche Kompetenz wurde geradezu ein Argument, dass der Betreffende kein Nazi gewesen sein konnte.</w:t>
                            </w:r>
                          </w:p>
                          <w:p w14:paraId="1AACA383" w14:textId="77777777" w:rsidR="00E47991" w:rsidRDefault="00E47991" w:rsidP="00E47991"/>
                          <w:p w14:paraId="6C09998D" w14:textId="77777777" w:rsidR="00E47991" w:rsidRPr="00606417" w:rsidRDefault="00E47991" w:rsidP="00E47991">
                            <w:pPr>
                              <w:rPr>
                                <w:i/>
                                <w:iCs/>
                                <w:sz w:val="18"/>
                                <w:szCs w:val="18"/>
                              </w:rPr>
                            </w:pPr>
                            <w:r w:rsidRPr="00606417">
                              <w:rPr>
                                <w:i/>
                                <w:iCs/>
                                <w:sz w:val="18"/>
                                <w:szCs w:val="18"/>
                              </w:rPr>
                              <w:t>Literatur: nach: Schulte / Wildt (</w:t>
                            </w:r>
                            <w:proofErr w:type="spellStart"/>
                            <w:r w:rsidRPr="00606417">
                              <w:rPr>
                                <w:i/>
                                <w:iCs/>
                                <w:sz w:val="18"/>
                                <w:szCs w:val="18"/>
                              </w:rPr>
                              <w:t>Hg</w:t>
                            </w:r>
                            <w:proofErr w:type="spellEnd"/>
                            <w:r w:rsidRPr="00606417">
                              <w:rPr>
                                <w:i/>
                                <w:iCs/>
                                <w:sz w:val="18"/>
                                <w:szCs w:val="18"/>
                              </w:rPr>
                              <w:t>.): „Die SS nach 1945. Entschuldungsnarrative, populäre Mythen, europäische Erinnerungsdiskurse“, S. 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1E9073" id="Textfeld 4" o:spid="_x0000_s1027" type="#_x0000_t202" style="position:absolute;margin-left:-16.25pt;margin-top:0;width:503.4pt;height:73.85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">
                <v:textbox style="mso-fit-shape-to-text:t">
                  <w:txbxContent>
                    <w:p w14:paraId="2DCB1A3C" w14:textId="77777777" w:rsidR="00E47991" w:rsidRPr="00EF499C" w:rsidRDefault="00E47991" w:rsidP="00E47991">
                      <w:pPr>
                        <w:rPr>
                          <w:b/>
                          <w:bCs/>
                          <w:u w:val="single"/>
                        </w:rPr>
                      </w:pPr>
                      <w:r w:rsidRPr="00EF499C">
                        <w:rPr>
                          <w:b/>
                          <w:bCs/>
                          <w:u w:val="single"/>
                        </w:rPr>
                        <w:t>Info</w:t>
                      </w:r>
                    </w:p>
                    <w:p w14:paraId="63BA284A" w14:textId="77777777" w:rsidR="00E47991" w:rsidRDefault="00E47991" w:rsidP="00E47991">
                      <w:r>
                        <w:t xml:space="preserve">In den Nürnberger Prozessen gegen die Hauptkriegsverbrecher vor dem Internationalen Militärgerichtshof verwiesen die vor Gericht verhandelten Kriegsverbrechen und Verbrechen gegen die Menschlichkeit auf die SS, den Sicherheitsdienst der SS (SD) und die Gestapo. Die massenhaften Verbrechen des NS-Regimes wurden dabei besonders der SS und ihrer Teilorganisationen zur Last gelegt. Die Angehörigen der SS wurden größtenteils mit in den Schuldspruch mit einbezogen, Ausnahmen gab es zumeist jedoch für die diejenigen, die zwangsweise in die Waffen-SS eingezogen worden waren. In den Internierungslagern schlossen sich ehemalige SS-Mitglieder zusammen, um gemeinsam auf die Unschuld ihrer Teilorganisation zu pochen. Dabei behaupteten sie oftmals, nichts von den Taten gewusst zu haben. </w:t>
                      </w:r>
                    </w:p>
                    <w:p w14:paraId="77A89D6F" w14:textId="77777777" w:rsidR="00E47991" w:rsidRDefault="00E47991" w:rsidP="00E47991">
                      <w:r>
                        <w:t xml:space="preserve">Es überrascht daher nicht, dass viele ehemalige SS-Mitglieder im Nachkriegsdeutschland beruflich wieder Fuß fassten, zum Teil in Behörden unterkamen und Karrieren aufbauten. Fachliche Kompetenz </w:t>
                      </w:r>
                      <w:proofErr w:type="gramStart"/>
                      <w:r>
                        <w:t>wurde geradezu</w:t>
                      </w:r>
                      <w:proofErr w:type="gramEnd"/>
                      <w:r>
                        <w:t xml:space="preserve"> ein Argument, dass der Betreffende kein Nazi gewesen sein konnte.</w:t>
                      </w:r>
                    </w:p>
                    <w:p w14:paraId="1AACA383" w14:textId="77777777" w:rsidR="00E47991" w:rsidRDefault="00E47991" w:rsidP="00E47991"/>
                    <w:p w14:paraId="6C09998D" w14:textId="77777777" w:rsidR="00E47991" w:rsidRPr="00606417" w:rsidRDefault="00E47991" w:rsidP="00E47991">
                      <w:pPr>
                        <w:rPr>
                          <w:i/>
                          <w:iCs/>
                          <w:sz w:val="18"/>
                          <w:szCs w:val="18"/>
                        </w:rPr>
                      </w:pPr>
                      <w:r w:rsidRPr="00606417">
                        <w:rPr>
                          <w:i/>
                          <w:iCs/>
                          <w:sz w:val="18"/>
                          <w:szCs w:val="18"/>
                        </w:rPr>
                        <w:t>Literatur: nach: Schulte / Wildt (</w:t>
                      </w:r>
                      <w:proofErr w:type="spellStart"/>
                      <w:r w:rsidRPr="00606417">
                        <w:rPr>
                          <w:i/>
                          <w:iCs/>
                          <w:sz w:val="18"/>
                          <w:szCs w:val="18"/>
                        </w:rPr>
                        <w:t>Hg</w:t>
                      </w:r>
                      <w:proofErr w:type="spellEnd"/>
                      <w:r w:rsidRPr="00606417">
                        <w:rPr>
                          <w:i/>
                          <w:iCs/>
                          <w:sz w:val="18"/>
                          <w:szCs w:val="18"/>
                        </w:rPr>
                        <w:t>.): „Die SS nach 1945. Entschuldungsnarrative, populäre Mythen, europäische Erinnerungsdiskurse“, S. 1-6.</w:t>
                      </w:r>
                    </w:p>
                  </w:txbxContent>
                </v:textbox>
                <w10:wrap type="square" anchorx="margin"/>
              </v:shape>
            </w:pict>
          </mc:Fallback>
        </mc:AlternateContent>
      </w:r>
    </w:p>
    <w:p w14:paraId="5BC39136" w14:textId="77777777"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2CBA8D6D" w14:textId="53E4A9BD"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06508776" w14:textId="5A697E80"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1C26DD07" w14:textId="19FA17EF"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2A74DCC1" w14:textId="6045A30A"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6A8CA90C" w14:textId="313E1936"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3659FD04" w14:textId="354C5879"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4CEAE183" w14:textId="69DA4A56"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7662A6B9" w14:textId="41A2ED1C"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226F2636" w14:textId="1D19B3B2"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7E0F717A" w14:textId="31814FE7"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48E3310D" w14:textId="4EDD9B49"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269B1803" w14:textId="26F4F26C"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1E04F014" w14:textId="3E7AF6BF"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0E58E22B" w14:textId="02E94ADD"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4AE9BF73" w14:textId="77777777" w:rsidR="00E47991" w:rsidRDefault="00E47991" w:rsidP="00E47991">
      <w:pPr>
        <w:suppressAutoHyphens w:val="0"/>
        <w:overflowPunct/>
        <w:spacing w:after="160" w:line="259" w:lineRule="auto"/>
        <w:jc w:val="center"/>
        <w:textAlignment w:val="auto"/>
        <w:rPr>
          <w:rFonts w:ascii="Times New Roman" w:eastAsia="Calibri" w:hAnsi="Times New Roman"/>
          <w:noProof/>
          <w:szCs w:val="24"/>
          <w:lang w:eastAsia="en-US"/>
        </w:rPr>
      </w:pPr>
    </w:p>
    <w:p w14:paraId="1EC0EF35" w14:textId="78A6A951" w:rsidR="00E47991" w:rsidRPr="00E47991" w:rsidRDefault="00E47991" w:rsidP="00E47991">
      <w:pPr>
        <w:suppressAutoHyphens w:val="0"/>
        <w:overflowPunct/>
        <w:spacing w:after="160" w:line="259" w:lineRule="auto"/>
        <w:jc w:val="center"/>
        <w:textAlignment w:val="auto"/>
        <w:rPr>
          <w:rFonts w:ascii="Times New Roman" w:eastAsia="Calibri" w:hAnsi="Times New Roman"/>
          <w:szCs w:val="24"/>
          <w:lang w:eastAsia="en-US"/>
        </w:rPr>
      </w:pPr>
      <w:r w:rsidRPr="00E47991">
        <w:rPr>
          <w:rFonts w:ascii="Times New Roman" w:eastAsia="Calibri" w:hAnsi="Times New Roman"/>
          <w:noProof/>
          <w:szCs w:val="24"/>
          <w:lang w:eastAsia="en-US"/>
        </w:rPr>
        <w:drawing>
          <wp:inline distT="0" distB="0" distL="0" distR="0" wp14:anchorId="11F2AD6E" wp14:editId="055E1B36">
            <wp:extent cx="4580655" cy="6470072"/>
            <wp:effectExtent l="0" t="0" r="0" b="6985"/>
            <wp:docPr id="5" name="Grafik 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4624523" cy="6532034"/>
                    </a:xfrm>
                    <a:prstGeom prst="rect">
                      <a:avLst/>
                    </a:prstGeom>
                  </pic:spPr>
                </pic:pic>
              </a:graphicData>
            </a:graphic>
          </wp:inline>
        </w:drawing>
      </w:r>
    </w:p>
    <w:p w14:paraId="6AA585D0" w14:textId="776C06C3" w:rsidR="00E47991" w:rsidRPr="00E47991" w:rsidRDefault="00E47991" w:rsidP="00E47991">
      <w:pPr>
        <w:suppressAutoHyphens w:val="0"/>
        <w:overflowPunct/>
        <w:spacing w:after="160" w:line="259" w:lineRule="auto"/>
        <w:textAlignment w:val="auto"/>
        <w:rPr>
          <w:rFonts w:eastAsia="Calibri" w:cs="Calibri"/>
          <w:i/>
          <w:iCs/>
          <w:sz w:val="18"/>
          <w:szCs w:val="18"/>
          <w:lang w:eastAsia="en-US"/>
        </w:rPr>
      </w:pPr>
      <w:r w:rsidRPr="00E47991">
        <w:rPr>
          <w:rFonts w:eastAsia="Calibri" w:cs="Calibri"/>
          <w:i/>
          <w:iCs/>
          <w:sz w:val="18"/>
          <w:szCs w:val="18"/>
          <w:lang w:eastAsia="en-US"/>
        </w:rPr>
        <w:t xml:space="preserve">Quelle: </w:t>
      </w:r>
      <w:proofErr w:type="spellStart"/>
      <w:r w:rsidRPr="00E47991">
        <w:rPr>
          <w:rFonts w:eastAsia="Calibri" w:cs="Calibri"/>
          <w:i/>
          <w:iCs/>
          <w:sz w:val="18"/>
          <w:szCs w:val="18"/>
          <w:lang w:eastAsia="en-US"/>
        </w:rPr>
        <w:t>Unknown</w:t>
      </w:r>
      <w:proofErr w:type="spellEnd"/>
      <w:r w:rsidRPr="00E47991">
        <w:rPr>
          <w:rFonts w:eastAsia="Calibri" w:cs="Calibri"/>
          <w:i/>
          <w:iCs/>
          <w:sz w:val="18"/>
          <w:szCs w:val="18"/>
          <w:lang w:eastAsia="en-US"/>
        </w:rPr>
        <w:t xml:space="preserve"> </w:t>
      </w:r>
      <w:proofErr w:type="spellStart"/>
      <w:r w:rsidRPr="00E47991">
        <w:rPr>
          <w:rFonts w:eastAsia="Calibri" w:cs="Calibri"/>
          <w:i/>
          <w:iCs/>
          <w:sz w:val="18"/>
          <w:szCs w:val="18"/>
          <w:lang w:eastAsia="en-US"/>
        </w:rPr>
        <w:t>author</w:t>
      </w:r>
      <w:proofErr w:type="spellEnd"/>
      <w:r w:rsidRPr="00E47991">
        <w:rPr>
          <w:rFonts w:eastAsia="Calibri" w:cs="Calibri"/>
          <w:i/>
          <w:iCs/>
          <w:sz w:val="18"/>
          <w:szCs w:val="18"/>
          <w:lang w:eastAsia="en-US"/>
        </w:rPr>
        <w:t>, Kurt Knittel Internierung 1948 1, als gemeinfrei gekennzeichnet, Details auf Wikimedia Commons</w:t>
      </w:r>
    </w:p>
    <w:p w14:paraId="236C883F" w14:textId="078E756D" w:rsidR="00ED53CE" w:rsidRDefault="00ED53CE">
      <w:pPr>
        <w:pStyle w:val="Textbody"/>
      </w:pPr>
    </w:p>
    <w:sectPr w:rsidR="00ED53CE">
      <w:headerReference w:type="default" r:id="rId8"/>
      <w:footerReference w:type="default" r:id="rId9"/>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72AB7" w14:textId="77777777" w:rsidR="00E7192C" w:rsidRDefault="00BC1BCF">
      <w:pPr>
        <w:spacing w:after="0" w:line="240" w:lineRule="auto"/>
      </w:pPr>
      <w:r>
        <w:separator/>
      </w:r>
    </w:p>
  </w:endnote>
  <w:endnote w:type="continuationSeparator" w:id="0">
    <w:p w14:paraId="368C1199" w14:textId="77777777" w:rsidR="00E7192C"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1A06" w14:textId="442CFE85"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Karlsruhe </w:t>
    </w:r>
    <w:r w:rsidR="00E47991">
      <w:rPr>
        <w:sz w:val="16"/>
        <w:szCs w:val="16"/>
      </w:rPr>
      <w:br/>
    </w:r>
    <w:hyperlink r:id="rId1">
      <w:r>
        <w:rPr>
          <w:rStyle w:val="Internetverknpfung"/>
          <w:sz w:val="16"/>
          <w:szCs w:val="16"/>
        </w:rPr>
        <w:t>www.landeskunde-bw.de</w:t>
      </w:r>
    </w:hyperlink>
  </w:p>
  <w:p w14:paraId="47D53E75"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3AD7C" w14:textId="77777777" w:rsidR="00E7192C" w:rsidRDefault="00BC1BCF">
      <w:pPr>
        <w:spacing w:after="0" w:line="240" w:lineRule="auto"/>
      </w:pPr>
      <w:r>
        <w:separator/>
      </w:r>
    </w:p>
  </w:footnote>
  <w:footnote w:type="continuationSeparator" w:id="0">
    <w:p w14:paraId="5E643E91" w14:textId="77777777" w:rsidR="00E7192C" w:rsidRDefault="00BC1BCF">
      <w:pPr>
        <w:spacing w:after="0" w:line="240" w:lineRule="auto"/>
      </w:pPr>
      <w:r>
        <w:continuationSeparator/>
      </w:r>
    </w:p>
  </w:footnote>
  <w:footnote w:id="1">
    <w:p w14:paraId="201C6988" w14:textId="54E69848" w:rsidR="00E47991" w:rsidRDefault="00E47991" w:rsidP="00E47991">
      <w:pPr>
        <w:pStyle w:val="Funotentext"/>
      </w:pPr>
      <w:r>
        <w:rPr>
          <w:rStyle w:val="Funotenzeichen"/>
        </w:rPr>
        <w:footnoteRef/>
      </w:r>
      <w:r>
        <w:t xml:space="preserve"> Für Kurt Knittel hatten mehrere </w:t>
      </w:r>
      <w:proofErr w:type="spellStart"/>
      <w:r>
        <w:t>Karlsruher:innen</w:t>
      </w:r>
      <w:proofErr w:type="spellEnd"/>
      <w:r>
        <w:t xml:space="preserve">, die in der Zeit vor 1939 in engerem Kontakt </w:t>
      </w:r>
      <w:r w:rsidR="005D2B13">
        <w:t xml:space="preserve">zu ihm </w:t>
      </w:r>
      <w:r>
        <w:t>standen, einen sogenannten „Persilschein“ verfasst. Einige kannten ihn nur als Kind, andere wiederum hatten mit ihm in einem Haus gewohnt. Manche waren vom Inhalt sehr ähnlich, weshalb die Spruchkammer sie nicht zuließ.</w:t>
      </w:r>
    </w:p>
  </w:footnote>
  <w:footnote w:id="2">
    <w:p w14:paraId="7D0947D1" w14:textId="77777777" w:rsidR="00E47991" w:rsidRDefault="00E47991" w:rsidP="00E47991">
      <w:pPr>
        <w:pStyle w:val="Funotentext"/>
      </w:pPr>
      <w:r>
        <w:rPr>
          <w:rStyle w:val="Funotenzeichen"/>
        </w:rPr>
        <w:footnoteRef/>
      </w:r>
      <w:r>
        <w:t xml:space="preserve"> Dr. Petzold war politischer Häftling im KL Auschwitz. Der Anwalt von Kurt Knittel versucht zu Beginn des Verfahrens anhand von medizinischen Gutachten ihn als unglaubwürdig und unzurechnungsfähig</w:t>
      </w:r>
      <w:r w:rsidRPr="00BB2BD5">
        <w:t xml:space="preserve"> </w:t>
      </w:r>
      <w:r>
        <w:t>einstufen zu lassen. Die Spruchkammer berücksichtigt den ein oder anderen Aspekt Dr. Petzolds, ansonsten folgt sie jedoch den Ausführungen von Frau Marie Lehmann.</w:t>
      </w:r>
    </w:p>
  </w:footnote>
  <w:footnote w:id="3">
    <w:p w14:paraId="68150CB7" w14:textId="77777777" w:rsidR="00E47991" w:rsidRDefault="00E47991" w:rsidP="00E47991">
      <w:pPr>
        <w:pStyle w:val="Funotentext"/>
      </w:pPr>
      <w:r>
        <w:rPr>
          <w:rStyle w:val="Funotenzeichen"/>
        </w:rPr>
        <w:footnoteRef/>
      </w:r>
      <w:r>
        <w:t xml:space="preserve"> Frau Marie Lehmann war als Zeugin Jehovas im Lager Auschwitz inhaftiert. Sie war während des Jahres 1944 bei der Familie Knittel angestellt. In ihrem Schreiben bestätigt sie das gute Verhältnis zur Familie, gleichzeitig betont sie aber auch, dass Kurt Knittel viel auf Reisen war und oftmals nicht im Haus.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E458E" w14:textId="77777777" w:rsidR="00ED53CE" w:rsidRDefault="00BC1BCF">
    <w:pPr>
      <w:pStyle w:val="Kopfzeile"/>
      <w:spacing w:after="720"/>
      <w:ind w:left="142"/>
    </w:pPr>
    <w:r>
      <w:rPr>
        <w:noProof/>
      </w:rPr>
      <w:drawing>
        <wp:anchor distT="0" distB="0" distL="0" distR="0" simplePos="0" relativeHeight="2" behindDoc="1" locked="0" layoutInCell="0" allowOverlap="1" wp14:anchorId="66061F5B" wp14:editId="13EDCF09">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52C521B" wp14:editId="30569460">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0486F40E" wp14:editId="484D7402">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4E5F2038"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27F22F2"/>
    <w:multiLevelType w:val="hybridMultilevel"/>
    <w:tmpl w:val="68308DDA"/>
    <w:lvl w:ilvl="0" w:tplc="546E85B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5D2B13"/>
    <w:rsid w:val="006923B4"/>
    <w:rsid w:val="00BC1BCF"/>
    <w:rsid w:val="00E47991"/>
    <w:rsid w:val="00E7192C"/>
    <w:rsid w:val="00ED53C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344E8"/>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paragraph" w:styleId="Funotentext">
    <w:name w:val="footnote text"/>
    <w:basedOn w:val="Standard"/>
    <w:link w:val="FunotentextZchn"/>
    <w:uiPriority w:val="99"/>
    <w:semiHidden/>
    <w:unhideWhenUsed/>
    <w:rsid w:val="00E47991"/>
    <w:pPr>
      <w:suppressAutoHyphens w:val="0"/>
      <w:overflowPunct/>
      <w:spacing w:after="0" w:line="240" w:lineRule="auto"/>
      <w:textAlignment w:val="auto"/>
    </w:pPr>
    <w:rPr>
      <w:rFonts w:eastAsia="Calibri"/>
      <w:sz w:val="20"/>
      <w:lang w:eastAsia="en-US"/>
    </w:rPr>
  </w:style>
  <w:style w:type="character" w:customStyle="1" w:styleId="FunotentextZchn">
    <w:name w:val="Fußnotentext Zchn"/>
    <w:basedOn w:val="Absatz-Standardschriftart"/>
    <w:link w:val="Funotentext"/>
    <w:uiPriority w:val="99"/>
    <w:semiHidden/>
    <w:rsid w:val="00E47991"/>
    <w:rPr>
      <w:rFonts w:eastAsia="Calibri"/>
      <w:sz w:val="20"/>
      <w:lang w:eastAsia="en-US"/>
    </w:rPr>
  </w:style>
  <w:style w:type="character" w:styleId="Funotenzeichen">
    <w:name w:val="footnote reference"/>
    <w:basedOn w:val="Absatz-Standardschriftart"/>
    <w:uiPriority w:val="99"/>
    <w:semiHidden/>
    <w:unhideWhenUsed/>
    <w:rsid w:val="00E479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2.png"/><Relationship Id="rId1" Type="http://schemas.openxmlformats.org/officeDocument/2006/relationships/hyperlink" Target="https://km-bw.de/" TargetMode="External"/><Relationship Id="rId6" Type="http://schemas.openxmlformats.org/officeDocument/2006/relationships/image" Target="media/image4.jpeg"/><Relationship Id="rId5" Type="http://schemas.openxmlformats.org/officeDocument/2006/relationships/hyperlink" Target="https://ibbw.kultus-bw.de/" TargetMode="External"/><Relationship Id="rId4"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500</Words>
  <Characters>3156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Tobias Markowitsch</cp:lastModifiedBy>
  <cp:revision>3</cp:revision>
  <dcterms:created xsi:type="dcterms:W3CDTF">2022-03-14T18:39:00Z</dcterms:created>
  <dcterms:modified xsi:type="dcterms:W3CDTF">2022-04-04T10:32:00Z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