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07E" w:rsidRDefault="00FE60DC" w:rsidP="00FE60DC">
      <w:pPr>
        <w:rPr>
          <w:sz w:val="24"/>
          <w:szCs w:val="24"/>
        </w:rPr>
      </w:pPr>
      <w:bookmarkStart w:id="0" w:name="_Hlk489445698"/>
      <w:r>
        <w:rPr>
          <w:noProof/>
        </w:rPr>
        <mc:AlternateContent>
          <mc:Choice Requires="wps">
            <w:drawing>
              <wp:anchor distT="0" distB="0" distL="114300" distR="114300" simplePos="0" relativeHeight="251661312" behindDoc="0" locked="0" layoutInCell="1" allowOverlap="1" wp14:anchorId="7F00DC1D" wp14:editId="5F094F27">
                <wp:simplePos x="0" y="0"/>
                <wp:positionH relativeFrom="column">
                  <wp:posOffset>3455670</wp:posOffset>
                </wp:positionH>
                <wp:positionV relativeFrom="paragraph">
                  <wp:posOffset>3214370</wp:posOffset>
                </wp:positionV>
                <wp:extent cx="230378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303780" cy="635"/>
                        </a:xfrm>
                        <a:prstGeom prst="rect">
                          <a:avLst/>
                        </a:prstGeom>
                        <a:solidFill>
                          <a:prstClr val="white"/>
                        </a:solidFill>
                        <a:ln>
                          <a:noFill/>
                        </a:ln>
                      </wps:spPr>
                      <wps:txbx>
                        <w:txbxContent>
                          <w:p w:rsidR="00FE60DC" w:rsidRPr="00DA5712" w:rsidRDefault="004C7450" w:rsidP="00FE60DC">
                            <w:pPr>
                              <w:pStyle w:val="Beschriftung"/>
                              <w:rPr>
                                <w:i w:val="0"/>
                                <w:color w:val="auto"/>
                              </w:rPr>
                            </w:pPr>
                            <w:r>
                              <w:rPr>
                                <w:i w:val="0"/>
                                <w:color w:val="auto"/>
                              </w:rPr>
                              <w:t xml:space="preserve">B 12: </w:t>
                            </w:r>
                            <w:r w:rsidR="00FE60DC" w:rsidRPr="00DA5712">
                              <w:rPr>
                                <w:i w:val="0"/>
                                <w:color w:val="auto"/>
                              </w:rPr>
                              <w:t>Biberach um die Mitte des 17. Jahrhunderts. Modell auf der Gr</w:t>
                            </w:r>
                            <w:r>
                              <w:rPr>
                                <w:i w:val="0"/>
                                <w:color w:val="auto"/>
                              </w:rPr>
                              <w:t>undlage eines Stichs von Matthäu</w:t>
                            </w:r>
                            <w:r w:rsidR="00FE60DC" w:rsidRPr="00DA5712">
                              <w:rPr>
                                <w:i w:val="0"/>
                                <w:color w:val="auto"/>
                              </w:rPr>
                              <w:t>s Merian von 1643. (© Frank Rostock</w:t>
                            </w:r>
                            <w:r>
                              <w:rPr>
                                <w:i w:val="0"/>
                                <w:color w:val="auto"/>
                              </w:rPr>
                              <w:t>, Museum Biberach</w:t>
                            </w:r>
                            <w:r w:rsidR="00FE60DC" w:rsidRPr="00DA5712">
                              <w:rPr>
                                <w:i w:val="0"/>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F00DC1D" id="_x0000_t202" coordsize="21600,21600" o:spt="202" path="m,l,21600r21600,l21600,xe">
                <v:stroke joinstyle="miter"/>
                <v:path gradientshapeok="t" o:connecttype="rect"/>
              </v:shapetype>
              <v:shape id="Textfeld 2" o:spid="_x0000_s1026" type="#_x0000_t202" style="position:absolute;margin-left:272.1pt;margin-top:253.1pt;width:181.4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5sLAIAAF0EAAAOAAAAZHJzL2Uyb0RvYy54bWysVE2P2yAQvVfqf0DcG+dD3a6sOKs0q1SV&#10;ot2VkmrPBEOMBAwFEnv76ztgO9tue6p6IcPM8PB7b8jyrjOaXIQPCmxFZ5MpJcJyqJU9VfTbYfvh&#10;lpIQma2ZBisq+iICvVu9f7dsXSnm0ICuhScIYkPZuoo2MbqyKAJvhGFhAk5YLErwhkXc+lNRe9Yi&#10;utHFfDq9KVrwtfPARQiYve+LdJXxpRQ8PkoZRCS6ovhtMa8+r8e0FqslK0+euUbx4TPYP3yFYcri&#10;pVeoexYZOXv1B5RR3EMAGSccTAFSKi4yB2Qzm75hs2+YE5kLihPcVabw/2D5w+XJE1VXdE6JZQYt&#10;OoguSqFrMk/qtC6U2LR32Ba7z9Chy2M+YDKR7qQ36RfpEKyjzi9XbRGMcEzOF9PFp1sscazdLD4m&#10;jOL1qPMhfhFgSAoq6tG4rCe77ELsW8eWdFMAreqt0jptUmGjPbkwNLltVBQD+G9d2qZeC+lUD5gy&#10;ReLX80hR7I7dQPoI9Qty9tDPTHB8q/CiHQvxiXkcEuSCgx8fcZEa2orCEFHSgP/xt3zqR++wSkmL&#10;Q1fR8P3MvKBEf7XoaprQMfBjcBwDezYbQIozfFKO5xAP+KjHUHowz/ge1ukWLDHL8a6KxjHcxH70&#10;8T1xsV7nJpxDx+LO7h1P0KOgh+6ZeTfYEdHFBxjHkZVvXOl7sy9ufY4ocbYsCdqrOOiMM5xNH95b&#10;eiS/7nPX67/C6icAAAD//wMAUEsDBBQABgAIAAAAIQCqXwPA4AAAAAsBAAAPAAAAZHJzL2Rvd25y&#10;ZXYueG1sTI8xT8MwEIV3JP6DdUgsiNq0IUCIU1UVDHSpCF3Y3NiNA/E5sp02/HsOFtje3T29+165&#10;nFzPjibEzqOEm5kAZrDxusNWwu7t+foeWEwKteo9GglfJsKyOj8rVaH9CV/NsU4toxCMhZJgUxoK&#10;zmNjjVNx5geDdDv44FSiMbRcB3WicNfzuRA5d6pD+mDVYNbWNJ/16CRss/etvRoPT5tVtggvu3Gd&#10;f7S1lJcX0+oRWDJT+jPDDz6hQ0VMez+ijqyXcJtlc7KSEDkJcjyIO2q3/90sgFcl/9+h+gYAAP//&#10;AwBQSwECLQAUAAYACAAAACEAtoM4kv4AAADhAQAAEwAAAAAAAAAAAAAAAAAAAAAAW0NvbnRlbnRf&#10;VHlwZXNdLnhtbFBLAQItABQABgAIAAAAIQA4/SH/1gAAAJQBAAALAAAAAAAAAAAAAAAAAC8BAABf&#10;cmVscy8ucmVsc1BLAQItABQABgAIAAAAIQASkl5sLAIAAF0EAAAOAAAAAAAAAAAAAAAAAC4CAABk&#10;cnMvZTJvRG9jLnhtbFBLAQItABQABgAIAAAAIQCqXwPA4AAAAAsBAAAPAAAAAAAAAAAAAAAAAIYE&#10;AABkcnMvZG93bnJldi54bWxQSwUGAAAAAAQABADzAAAAkwUAAAAA&#10;" stroked="f">
                <v:textbox style="mso-fit-shape-to-text:t" inset="0,0,0,0">
                  <w:txbxContent>
                    <w:p w:rsidR="00FE60DC" w:rsidRPr="00DA5712" w:rsidRDefault="004C7450" w:rsidP="00FE60DC">
                      <w:pPr>
                        <w:pStyle w:val="Beschriftung"/>
                        <w:rPr>
                          <w:i w:val="0"/>
                          <w:color w:val="auto"/>
                        </w:rPr>
                      </w:pPr>
                      <w:r>
                        <w:rPr>
                          <w:i w:val="0"/>
                          <w:color w:val="auto"/>
                        </w:rPr>
                        <w:t xml:space="preserve">B 12: </w:t>
                      </w:r>
                      <w:r w:rsidR="00FE60DC" w:rsidRPr="00DA5712">
                        <w:rPr>
                          <w:i w:val="0"/>
                          <w:color w:val="auto"/>
                        </w:rPr>
                        <w:t>Biberach um die Mitte des 17. Jahrhunderts. Modell auf der Gr</w:t>
                      </w:r>
                      <w:r>
                        <w:rPr>
                          <w:i w:val="0"/>
                          <w:color w:val="auto"/>
                        </w:rPr>
                        <w:t>undlage eines Stichs von Matthäu</w:t>
                      </w:r>
                      <w:r w:rsidR="00FE60DC" w:rsidRPr="00DA5712">
                        <w:rPr>
                          <w:i w:val="0"/>
                          <w:color w:val="auto"/>
                        </w:rPr>
                        <w:t>s Merian von 1643. (© Frank Rostock</w:t>
                      </w:r>
                      <w:r>
                        <w:rPr>
                          <w:i w:val="0"/>
                          <w:color w:val="auto"/>
                        </w:rPr>
                        <w:t>, Museum Biberach</w:t>
                      </w:r>
                      <w:r w:rsidR="00FE60DC" w:rsidRPr="00DA5712">
                        <w:rPr>
                          <w:i w:val="0"/>
                          <w:color w:val="auto"/>
                        </w:rPr>
                        <w:t>)</w:t>
                      </w:r>
                    </w:p>
                  </w:txbxContent>
                </v:textbox>
                <w10:wrap type="square"/>
              </v:shape>
            </w:pict>
          </mc:Fallback>
        </mc:AlternateContent>
      </w:r>
      <w:r>
        <w:rPr>
          <w:noProof/>
        </w:rPr>
        <w:drawing>
          <wp:anchor distT="0" distB="0" distL="114300" distR="114300" simplePos="0" relativeHeight="251660288" behindDoc="0" locked="0" layoutInCell="1" allowOverlap="1" wp14:anchorId="032E6682" wp14:editId="261F4CD0">
            <wp:simplePos x="2202180" y="897890"/>
            <wp:positionH relativeFrom="margin">
              <wp:align>right</wp:align>
            </wp:positionH>
            <wp:positionV relativeFrom="margin">
              <wp:align>top</wp:align>
            </wp:positionV>
            <wp:extent cx="2304000" cy="3157559"/>
            <wp:effectExtent l="0" t="0" r="1270" b="5080"/>
            <wp:wrapSquare wrapText="bothSides"/>
            <wp:docPr id="1" name="Grafik 1" descr="C:\Users\Frank\AppData\Local\Microsoft\Windows\INetCache\Content.Word\DSC08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69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4000" cy="3157559"/>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 xml:space="preserve">M 1 </w:t>
      </w:r>
    </w:p>
    <w:p w:rsidR="00FE60DC" w:rsidRPr="003A3EBA" w:rsidRDefault="00FE60DC" w:rsidP="00FE60DC">
      <w:pPr>
        <w:rPr>
          <w:sz w:val="24"/>
          <w:szCs w:val="24"/>
        </w:rPr>
      </w:pPr>
      <w:r w:rsidRPr="003A3EBA">
        <w:rPr>
          <w:sz w:val="24"/>
          <w:szCs w:val="24"/>
        </w:rPr>
        <w:t>Der Augsburger Religionsfriede von 1555</w:t>
      </w:r>
    </w:p>
    <w:p w:rsidR="00FE60DC" w:rsidRDefault="00FE60DC" w:rsidP="00FE60DC">
      <w:pPr>
        <w:rPr>
          <w:sz w:val="24"/>
          <w:szCs w:val="24"/>
        </w:rPr>
      </w:pPr>
      <w:r>
        <w:rPr>
          <w:sz w:val="24"/>
          <w:szCs w:val="24"/>
        </w:rPr>
        <w:t xml:space="preserve">Nach der Fürstenrevolution von 1552 wurde auf dem Reichstag zu Augsburg 1555 eine erste Lösung gefunden, um Evangelischen und Katholiken ein friedvolles Nebeneinander zu ermöglichen. </w:t>
      </w:r>
    </w:p>
    <w:p w:rsidR="00FE60DC" w:rsidRDefault="00FE60DC" w:rsidP="00FE60DC">
      <w:pPr>
        <w:rPr>
          <w:sz w:val="24"/>
          <w:szCs w:val="24"/>
        </w:rPr>
      </w:pPr>
      <w:r>
        <w:rPr>
          <w:noProof/>
          <w:sz w:val="24"/>
          <w:szCs w:val="24"/>
        </w:rPr>
        <mc:AlternateContent>
          <mc:Choice Requires="wps">
            <w:drawing>
              <wp:anchor distT="0" distB="0" distL="114300" distR="114300" simplePos="0" relativeHeight="251659264" behindDoc="1" locked="0" layoutInCell="1" allowOverlap="1" wp14:anchorId="19D29B43" wp14:editId="3F9B1FB3">
                <wp:simplePos x="0" y="0"/>
                <wp:positionH relativeFrom="column">
                  <wp:posOffset>-48895</wp:posOffset>
                </wp:positionH>
                <wp:positionV relativeFrom="paragraph">
                  <wp:posOffset>298450</wp:posOffset>
                </wp:positionV>
                <wp:extent cx="3327400" cy="1651000"/>
                <wp:effectExtent l="0" t="0" r="25400" b="25400"/>
                <wp:wrapNone/>
                <wp:docPr id="3" name="Rechteck 3"/>
                <wp:cNvGraphicFramePr/>
                <a:graphic xmlns:a="http://schemas.openxmlformats.org/drawingml/2006/main">
                  <a:graphicData uri="http://schemas.microsoft.com/office/word/2010/wordprocessingShape">
                    <wps:wsp>
                      <wps:cNvSpPr/>
                      <wps:spPr>
                        <a:xfrm>
                          <a:off x="0" y="0"/>
                          <a:ext cx="3327400" cy="1651000"/>
                        </a:xfrm>
                        <a:prstGeom prst="rect">
                          <a:avLst/>
                        </a:prstGeom>
                        <a:solidFill>
                          <a:sysClr val="window" lastClr="FFFFFF"/>
                        </a:solidFill>
                        <a:ln w="12700" cap="flat" cmpd="sng" algn="ctr">
                          <a:solidFill>
                            <a:srgbClr val="00206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5DB3815" id="Rechteck 3" o:spid="_x0000_s1026" style="position:absolute;margin-left:-3.85pt;margin-top:23.5pt;width:262pt;height:130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EXhfAIAAAEFAAAOAAAAZHJzL2Uyb0RvYy54bWysVMlu2zAQvRfoPxC8N5KXLDUiB0YCFwWC&#10;JGhS5ExTlEWUW0nasvv1faRkZ2lPRX2gZzjDWd680eXVTiuyFT5Iayo6OikpEYbbWpp1Rb8/LT9d&#10;UBIiMzVT1oiK7kWgV/OPHy47NxNj21pVC08QxIRZ5yraxuhmRRF4KzQLJ9YJA2NjvWYRql8XtWcd&#10;omtVjMvyrOisr523XISA25veSOc5ftMIHu+bJohIVEVRW8ynz+cqncX8ks3WnrlW8qEM9g9VaCYN&#10;kh5D3bDIyMbLP0Jpyb0Ntokn3OrCNo3kIveAbkblu24eW+ZE7gXgBHeEKfy/sPxu++CJrCs6ocQw&#10;jRF9E7yNgv8gk4RO58IMTo/uwQ9agJha3TVep380QXYZ0f0RUbGLhONyMhmfT0sAz2EbnZ2OSiiI&#10;U7w8dz7EL8JqkoSKeowsI8m2tyH2rgeXlC1YJeulVCor+3CtPNkyTBekqG1HiWIh4rKiy/wbsr15&#10;pgzpUM74PFfGQLtGsYgitQMQwawpYWoNPvPocy1vXge/Xh2zluW4PDu09MYtFX3DQttXl02pFjbT&#10;MoLySuqKXgCOIyDKJKvIpB1aT+D3cCdpZes9huVtz+Lg+FIiyS0afmAetAXOWMV4j6NRFi3aQaKk&#10;tf7X3+6TP9gEKyUd1gDt/9wwL4DjVwOefR5Np2lvsjI9PR9D8a8tq9cWs9HXFrMYYekdz2Lyj+og&#10;Nt7qZ2zsImWFiRmO3D3Qg3Id+/XEznOxWGQ37Ipj8dY8Op6CJ5wSvE+7Z+bdQJwIzt3Zw8qw2Tv+&#10;9L7ppbGLTbSNzOR6wRWkTAr2LNNz+CakRX6tZ6+XL9f8NwAAAP//AwBQSwMEFAAGAAgAAAAhAPs7&#10;1q7fAAAACQEAAA8AAABkcnMvZG93bnJldi54bWxMj81OwzAQhO9IvIO1SNxauxSSKsSpKiT+DkW0&#10;8ABuvCRR4nUUO014e5YTHHdmNPtNvp1dJ844hMaThtVSgUAqvW2o0vD58bjYgAjRkDWdJ9TwjQG2&#10;xeVFbjLrJzrg+RgrwSUUMqOhjrHPpAxljc6Epe+R2PvygzORz6GSdjATl7tO3iiVSGca4g+16fGh&#10;xrI9jk7DUzIf9q/jO23edv3Uti80efWs9fXVvLsHEXGOf2H4xWd0KJjp5EeyQXQaFmnKSQ23KU9i&#10;/26VrEGcNKwVK7LI5f8FxQ8AAAD//wMAUEsBAi0AFAAGAAgAAAAhALaDOJL+AAAA4QEAABMAAAAA&#10;AAAAAAAAAAAAAAAAAFtDb250ZW50X1R5cGVzXS54bWxQSwECLQAUAAYACAAAACEAOP0h/9YAAACU&#10;AQAACwAAAAAAAAAAAAAAAAAvAQAAX3JlbHMvLnJlbHNQSwECLQAUAAYACAAAACEAvIhF4XwCAAAB&#10;BQAADgAAAAAAAAAAAAAAAAAuAgAAZHJzL2Uyb0RvYy54bWxQSwECLQAUAAYACAAAACEA+zvWrt8A&#10;AAAJAQAADwAAAAAAAAAAAAAAAADWBAAAZHJzL2Rvd25yZXYueG1sUEsFBgAAAAAEAAQA8wAAAOIF&#10;AAAAAA==&#10;" fillcolor="window" strokecolor="#002060" strokeweight="1pt"/>
            </w:pict>
          </mc:Fallback>
        </mc:AlternateContent>
      </w:r>
      <w:r>
        <w:rPr>
          <w:sz w:val="24"/>
          <w:szCs w:val="24"/>
        </w:rPr>
        <w:t>Über die Anhänger der Ideen Luthers heißt es:</w:t>
      </w:r>
    </w:p>
    <w:p w:rsidR="00FE60DC" w:rsidRDefault="00FE60DC" w:rsidP="00FE60DC">
      <w:pPr>
        <w:rPr>
          <w:sz w:val="24"/>
          <w:szCs w:val="24"/>
        </w:rPr>
      </w:pPr>
      <w:r>
        <w:rPr>
          <w:sz w:val="24"/>
          <w:szCs w:val="24"/>
        </w:rPr>
        <w:t xml:space="preserve">„§15 (…) so sollen die Kei. Mei (kaiserliche Majestät), Wir auch Churfürsten, Fürsten und Stände des heil. Reichs keinen Stand des Reichs von wegen der Augsburgischen </w:t>
      </w:r>
      <w:proofErr w:type="spellStart"/>
      <w:r>
        <w:rPr>
          <w:sz w:val="24"/>
          <w:szCs w:val="24"/>
        </w:rPr>
        <w:t>Confession</w:t>
      </w:r>
      <w:proofErr w:type="spellEnd"/>
      <w:r>
        <w:rPr>
          <w:sz w:val="24"/>
          <w:szCs w:val="24"/>
        </w:rPr>
        <w:t xml:space="preserve"> und derselben Lehre, Religion und Glaubens halb mit der Tat gewaltiger Weiß überziehen, beschädigen, (…) sondern bei solcher Religion, Glauben, Kirchengebräuchen (…) ruhig und friedlich bleiben (…) lassen.“ </w:t>
      </w:r>
    </w:p>
    <w:p w:rsidR="00FE60DC" w:rsidRDefault="00FE60DC" w:rsidP="00FE60DC">
      <w:pPr>
        <w:rPr>
          <w:sz w:val="24"/>
          <w:szCs w:val="24"/>
        </w:rPr>
      </w:pPr>
      <w:r>
        <w:rPr>
          <w:sz w:val="24"/>
          <w:szCs w:val="24"/>
        </w:rPr>
        <w:t>Für andere Glaubensrichtungen (Anhänger der Schweizer Reformation bzw. Calvinisten oder Täufer) sagt der Reichstagsbeschluss aus:</w:t>
      </w:r>
    </w:p>
    <w:p w:rsidR="00FE60DC" w:rsidRDefault="00FE60DC" w:rsidP="00FE60DC">
      <w:pPr>
        <w:pBdr>
          <w:top w:val="single" w:sz="4" w:space="1" w:color="auto"/>
          <w:left w:val="single" w:sz="4" w:space="4" w:color="auto"/>
          <w:bottom w:val="single" w:sz="4" w:space="1" w:color="auto"/>
          <w:right w:val="single" w:sz="4" w:space="4" w:color="auto"/>
        </w:pBdr>
        <w:rPr>
          <w:sz w:val="24"/>
          <w:szCs w:val="24"/>
        </w:rPr>
      </w:pPr>
      <w:r>
        <w:rPr>
          <w:sz w:val="24"/>
          <w:szCs w:val="24"/>
        </w:rPr>
        <w:t xml:space="preserve">„§ 17 Doch sollen alle andere, so (den oben erwähnten) beiden Religionen nicht anhängig, in diesem Frieden nicht gemeint, sondern gänzlich ausgeschlossen sein (…).“ </w:t>
      </w:r>
    </w:p>
    <w:p w:rsidR="00FE60DC" w:rsidRDefault="00FE60DC" w:rsidP="00FE60DC">
      <w:pPr>
        <w:rPr>
          <w:sz w:val="24"/>
          <w:szCs w:val="24"/>
        </w:rPr>
      </w:pPr>
      <w:r>
        <w:rPr>
          <w:sz w:val="24"/>
          <w:szCs w:val="24"/>
        </w:rPr>
        <w:t>Künftig entschied der Landesherr über den Glauben der Untertanen. Dennoch hält der Beschluss fest:</w:t>
      </w:r>
    </w:p>
    <w:p w:rsidR="00FE60DC" w:rsidRDefault="00FE60DC" w:rsidP="00FE60DC">
      <w:pPr>
        <w:pBdr>
          <w:top w:val="single" w:sz="4" w:space="1" w:color="auto"/>
          <w:left w:val="single" w:sz="4" w:space="4" w:color="auto"/>
          <w:bottom w:val="single" w:sz="4" w:space="1" w:color="auto"/>
          <w:right w:val="single" w:sz="4" w:space="4" w:color="auto"/>
        </w:pBdr>
        <w:rPr>
          <w:sz w:val="24"/>
          <w:szCs w:val="24"/>
        </w:rPr>
      </w:pPr>
      <w:r>
        <w:rPr>
          <w:sz w:val="24"/>
          <w:szCs w:val="24"/>
        </w:rPr>
        <w:t xml:space="preserve">„§ 24 Wo aber Unsere, auch der Churfürsten, Fürsten und Stände </w:t>
      </w:r>
      <w:proofErr w:type="spellStart"/>
      <w:r>
        <w:rPr>
          <w:sz w:val="24"/>
          <w:szCs w:val="24"/>
        </w:rPr>
        <w:t>Undertanen</w:t>
      </w:r>
      <w:proofErr w:type="spellEnd"/>
      <w:r>
        <w:rPr>
          <w:sz w:val="24"/>
          <w:szCs w:val="24"/>
        </w:rPr>
        <w:t xml:space="preserve">, der alten Religion (=katholischer Glaube) oder Augsburgischen </w:t>
      </w:r>
      <w:proofErr w:type="spellStart"/>
      <w:r>
        <w:rPr>
          <w:sz w:val="24"/>
          <w:szCs w:val="24"/>
        </w:rPr>
        <w:t>Confession</w:t>
      </w:r>
      <w:proofErr w:type="spellEnd"/>
      <w:r>
        <w:rPr>
          <w:sz w:val="24"/>
          <w:szCs w:val="24"/>
        </w:rPr>
        <w:t xml:space="preserve"> anhängig, von solcher ihrer Religion wegen (…) mit </w:t>
      </w:r>
      <w:proofErr w:type="gramStart"/>
      <w:r>
        <w:rPr>
          <w:sz w:val="24"/>
          <w:szCs w:val="24"/>
        </w:rPr>
        <w:t>ihren Weib</w:t>
      </w:r>
      <w:proofErr w:type="gramEnd"/>
      <w:r>
        <w:rPr>
          <w:sz w:val="24"/>
          <w:szCs w:val="24"/>
        </w:rPr>
        <w:t xml:space="preserve"> und Kindern an andere Orte ziehen und sich nieder </w:t>
      </w:r>
      <w:proofErr w:type="spellStart"/>
      <w:r>
        <w:rPr>
          <w:sz w:val="24"/>
          <w:szCs w:val="24"/>
        </w:rPr>
        <w:t>thun</w:t>
      </w:r>
      <w:proofErr w:type="spellEnd"/>
      <w:r>
        <w:rPr>
          <w:sz w:val="24"/>
          <w:szCs w:val="24"/>
        </w:rPr>
        <w:t xml:space="preserve"> wöllten, denen soll solcher Ab- und Zuzug (…) </w:t>
      </w:r>
      <w:proofErr w:type="spellStart"/>
      <w:r>
        <w:rPr>
          <w:sz w:val="24"/>
          <w:szCs w:val="24"/>
        </w:rPr>
        <w:t>unverhindert</w:t>
      </w:r>
      <w:proofErr w:type="spellEnd"/>
      <w:r>
        <w:rPr>
          <w:sz w:val="24"/>
          <w:szCs w:val="24"/>
        </w:rPr>
        <w:t xml:space="preserve"> (…) zugelassen und bewilligt (…) sein.“</w:t>
      </w:r>
    </w:p>
    <w:p w:rsidR="00FE60DC" w:rsidRDefault="00FE60DC" w:rsidP="00FE60DC">
      <w:pPr>
        <w:rPr>
          <w:sz w:val="24"/>
          <w:szCs w:val="24"/>
        </w:rPr>
      </w:pPr>
      <w:r>
        <w:rPr>
          <w:sz w:val="24"/>
          <w:szCs w:val="24"/>
        </w:rPr>
        <w:t>Für Reichsstädte wie Biberach jedoch galt folgende Regelung:</w:t>
      </w:r>
    </w:p>
    <w:p w:rsidR="00FE60DC" w:rsidRDefault="00FE60DC" w:rsidP="00FE60DC">
      <w:pPr>
        <w:pBdr>
          <w:top w:val="single" w:sz="4" w:space="1" w:color="auto"/>
          <w:left w:val="single" w:sz="4" w:space="1" w:color="auto"/>
          <w:bottom w:val="single" w:sz="4" w:space="1" w:color="auto"/>
          <w:right w:val="single" w:sz="4" w:space="1" w:color="auto"/>
        </w:pBdr>
        <w:rPr>
          <w:sz w:val="24"/>
          <w:szCs w:val="24"/>
        </w:rPr>
      </w:pPr>
      <w:r>
        <w:rPr>
          <w:sz w:val="24"/>
          <w:szCs w:val="24"/>
        </w:rPr>
        <w:t>„§27 Nachdem aber in vielen Frei- und Reichsstädten die beide Religionen (…) ei</w:t>
      </w:r>
      <w:r w:rsidR="004C7450">
        <w:rPr>
          <w:sz w:val="24"/>
          <w:szCs w:val="24"/>
        </w:rPr>
        <w:t>n</w:t>
      </w:r>
      <w:r>
        <w:rPr>
          <w:sz w:val="24"/>
          <w:szCs w:val="24"/>
        </w:rPr>
        <w:t xml:space="preserve">e Zeit lang in Gang und Gebrauch gewesen, so sollen dieselben (in Zukunft) auch so bleiben </w:t>
      </w:r>
      <w:proofErr w:type="gramStart"/>
      <w:r>
        <w:rPr>
          <w:sz w:val="24"/>
          <w:szCs w:val="24"/>
        </w:rPr>
        <w:t>(….</w:t>
      </w:r>
      <w:proofErr w:type="gramEnd"/>
      <w:r>
        <w:rPr>
          <w:sz w:val="24"/>
          <w:szCs w:val="24"/>
        </w:rPr>
        <w:t xml:space="preserve">), friedlich und ruhig bei- und nebeneinander wohnen und kein Teil des anderen Religion, (…) Kirchengebräuche oder </w:t>
      </w:r>
      <w:proofErr w:type="spellStart"/>
      <w:r>
        <w:rPr>
          <w:sz w:val="24"/>
          <w:szCs w:val="24"/>
        </w:rPr>
        <w:t>Ceremonien</w:t>
      </w:r>
      <w:proofErr w:type="spellEnd"/>
      <w:r>
        <w:rPr>
          <w:sz w:val="24"/>
          <w:szCs w:val="24"/>
        </w:rPr>
        <w:t xml:space="preserve"> abzutun (abzuschaffen) (…).“</w:t>
      </w:r>
    </w:p>
    <w:p w:rsidR="00FE60DC" w:rsidRDefault="00FE60DC" w:rsidP="00FE60DC">
      <w:pPr>
        <w:pBdr>
          <w:top w:val="single" w:sz="4" w:space="1" w:color="auto"/>
          <w:left w:val="single" w:sz="4" w:space="1" w:color="auto"/>
          <w:bottom w:val="single" w:sz="4" w:space="1" w:color="auto"/>
          <w:right w:val="single" w:sz="4" w:space="1" w:color="auto"/>
        </w:pBdr>
        <w:rPr>
          <w:sz w:val="20"/>
          <w:szCs w:val="20"/>
        </w:rPr>
      </w:pPr>
      <w:r>
        <w:rPr>
          <w:sz w:val="20"/>
          <w:szCs w:val="20"/>
        </w:rPr>
        <w:t>(Köpf, Ulrich: Deutsche Geschichte in Quellen und Darstellung. Bd. 3: Reformationszeit. Stuttgart 2001. S. 476f. und 481f. Veränderte Fassung</w:t>
      </w:r>
      <w:r w:rsidR="004C7450">
        <w:rPr>
          <w:sz w:val="20"/>
          <w:szCs w:val="20"/>
        </w:rPr>
        <w:t xml:space="preserve"> von Frank Rostock</w:t>
      </w:r>
      <w:r>
        <w:rPr>
          <w:sz w:val="20"/>
          <w:szCs w:val="20"/>
        </w:rPr>
        <w:t>.)</w:t>
      </w:r>
    </w:p>
    <w:p w:rsidR="00FE60DC" w:rsidRDefault="00FE60DC" w:rsidP="00FE60DC">
      <w:pPr>
        <w:rPr>
          <w:i/>
          <w:sz w:val="20"/>
          <w:szCs w:val="20"/>
        </w:rPr>
      </w:pPr>
    </w:p>
    <w:p w:rsidR="00FE60DC" w:rsidRDefault="00FE60DC" w:rsidP="00FE60DC">
      <w:pPr>
        <w:rPr>
          <w:i/>
          <w:sz w:val="20"/>
          <w:szCs w:val="20"/>
        </w:rPr>
      </w:pPr>
    </w:p>
    <w:p w:rsidR="00FE60DC" w:rsidRPr="00177DCE" w:rsidRDefault="00FE60DC" w:rsidP="00FE60DC">
      <w:pPr>
        <w:rPr>
          <w:i/>
          <w:sz w:val="20"/>
          <w:szCs w:val="20"/>
        </w:rPr>
      </w:pPr>
    </w:p>
    <w:p w:rsidR="00D5307E" w:rsidRDefault="00FE60DC" w:rsidP="00FE60DC">
      <w:pPr>
        <w:rPr>
          <w:sz w:val="24"/>
          <w:szCs w:val="24"/>
        </w:rPr>
      </w:pPr>
      <w:r>
        <w:rPr>
          <w:sz w:val="24"/>
          <w:szCs w:val="24"/>
        </w:rPr>
        <w:lastRenderedPageBreak/>
        <w:t xml:space="preserve">M 2 </w:t>
      </w:r>
    </w:p>
    <w:p w:rsidR="00FE60DC" w:rsidRPr="00941755" w:rsidRDefault="00FE60DC" w:rsidP="00FE60DC">
      <w:pPr>
        <w:rPr>
          <w:sz w:val="24"/>
          <w:szCs w:val="24"/>
        </w:rPr>
      </w:pPr>
      <w:r w:rsidRPr="00941755">
        <w:rPr>
          <w:sz w:val="24"/>
          <w:szCs w:val="24"/>
        </w:rPr>
        <w:t>Der Westfälische Friede von 1648</w:t>
      </w:r>
    </w:p>
    <w:p w:rsidR="00FE60DC" w:rsidRPr="00FA462D" w:rsidRDefault="00FE60DC" w:rsidP="00FE60DC">
      <w:pPr>
        <w:rPr>
          <w:sz w:val="24"/>
          <w:szCs w:val="24"/>
        </w:rPr>
      </w:pPr>
      <w:r>
        <w:rPr>
          <w:sz w:val="24"/>
          <w:szCs w:val="24"/>
        </w:rPr>
        <w:t xml:space="preserve">In Europa kommt es dennoch immer wieder zu Glaubenskriegen. Der Dreißigjährige Krieg (1618-1648) gilt als Höhe- und Endpunkt dieser Entwicklung. Dabei ging es beim Kampf zwischen Katholiken und Evangelischen nicht nur um den Glauben, sondern auch um die Aufteilung der Macht zwischen den einzelnen Territorialstaaten und dem Kaiser. Die Herrschaft der Fürsten wurde nämlich unter anderem durch die Regelungen des Augsburger Religionsfriedens gestärkt: Auch in religiösen Belangen durften die Landesherren schalten und walten. Im Laufe des Krieges mischten sich auch ausländischer Herrscher (Dänemark, Schweden, Frankreich) ein. 1648 soll der Westfälische Friede, der die Regelungen des Augsburger Religionsfriedens bestätigte und die Calvinisten mit einbezog, einen dauerhaften Frieden für alle sichern, eine </w:t>
      </w:r>
      <w:proofErr w:type="spellStart"/>
      <w:r>
        <w:rPr>
          <w:sz w:val="24"/>
          <w:szCs w:val="24"/>
        </w:rPr>
        <w:t>pax</w:t>
      </w:r>
      <w:proofErr w:type="spellEnd"/>
      <w:r>
        <w:rPr>
          <w:sz w:val="24"/>
          <w:szCs w:val="24"/>
        </w:rPr>
        <w:t xml:space="preserve"> </w:t>
      </w:r>
      <w:proofErr w:type="spellStart"/>
      <w:r>
        <w:rPr>
          <w:sz w:val="24"/>
          <w:szCs w:val="24"/>
        </w:rPr>
        <w:t>universalis</w:t>
      </w:r>
      <w:proofErr w:type="spellEnd"/>
      <w:r>
        <w:rPr>
          <w:sz w:val="24"/>
          <w:szCs w:val="24"/>
        </w:rPr>
        <w:t>.</w:t>
      </w:r>
      <w:r w:rsidRPr="00FA462D">
        <w:rPr>
          <w:sz w:val="24"/>
          <w:szCs w:val="24"/>
        </w:rPr>
        <w:t xml:space="preserve"> </w:t>
      </w:r>
      <w:r>
        <w:rPr>
          <w:sz w:val="24"/>
          <w:szCs w:val="24"/>
        </w:rPr>
        <w:t xml:space="preserve">Nach langen Verhandlungen wurde für die Städte Biberach, </w:t>
      </w:r>
      <w:bookmarkStart w:id="1" w:name="_GoBack"/>
      <w:bookmarkEnd w:id="1"/>
      <w:r>
        <w:rPr>
          <w:sz w:val="24"/>
          <w:szCs w:val="24"/>
        </w:rPr>
        <w:t>Dinkelsbühl und Ravensburg folgende Lösung gefunden:</w:t>
      </w:r>
    </w:p>
    <w:p w:rsidR="00FE60DC" w:rsidRDefault="00FE60DC" w:rsidP="00FE60DC">
      <w:pPr>
        <w:pBdr>
          <w:top w:val="single" w:sz="4" w:space="1" w:color="auto"/>
          <w:left w:val="single" w:sz="4" w:space="4" w:color="auto"/>
          <w:bottom w:val="single" w:sz="4" w:space="1" w:color="auto"/>
          <w:right w:val="single" w:sz="4" w:space="4" w:color="auto"/>
        </w:pBdr>
        <w:rPr>
          <w:sz w:val="24"/>
          <w:szCs w:val="24"/>
        </w:rPr>
      </w:pPr>
      <w:r w:rsidRPr="00FA462D">
        <w:rPr>
          <w:sz w:val="24"/>
          <w:szCs w:val="24"/>
        </w:rPr>
        <w:t>„</w:t>
      </w:r>
      <w:r>
        <w:rPr>
          <w:sz w:val="24"/>
          <w:szCs w:val="24"/>
        </w:rPr>
        <w:t xml:space="preserve">Art V, §11 </w:t>
      </w:r>
      <w:r w:rsidRPr="00FA462D">
        <w:rPr>
          <w:sz w:val="24"/>
          <w:szCs w:val="24"/>
        </w:rPr>
        <w:t>Ferner sollen zu Dinkelsbüh</w:t>
      </w:r>
      <w:r>
        <w:rPr>
          <w:sz w:val="24"/>
          <w:szCs w:val="24"/>
        </w:rPr>
        <w:t xml:space="preserve">l, Biberach und Ravensburg zwei </w:t>
      </w:r>
      <w:r w:rsidRPr="00FA462D">
        <w:rPr>
          <w:sz w:val="24"/>
          <w:szCs w:val="24"/>
        </w:rPr>
        <w:t xml:space="preserve">Bürgermeister, einer der katholischen, der andere der Augsburgischen Konfession, wie auch vier geheime Ratsmänner sein, </w:t>
      </w:r>
      <w:r>
        <w:rPr>
          <w:sz w:val="24"/>
          <w:szCs w:val="24"/>
        </w:rPr>
        <w:t xml:space="preserve">so in gleicher Anzahl aus beiden (Konfessionen) </w:t>
      </w:r>
      <w:r w:rsidRPr="00FA462D">
        <w:rPr>
          <w:sz w:val="24"/>
          <w:szCs w:val="24"/>
        </w:rPr>
        <w:t>zu nehmen. Es soll auch diese Gleichheit bei dem Rat, denen Stadtgerichten, Schatzmeisteramt</w:t>
      </w:r>
      <w:r>
        <w:rPr>
          <w:sz w:val="24"/>
          <w:szCs w:val="24"/>
        </w:rPr>
        <w:t xml:space="preserve"> (Amt für Finanzen)</w:t>
      </w:r>
      <w:r w:rsidRPr="00FA462D">
        <w:rPr>
          <w:sz w:val="24"/>
          <w:szCs w:val="24"/>
        </w:rPr>
        <w:t xml:space="preserve">, wie auch </w:t>
      </w:r>
      <w:r>
        <w:rPr>
          <w:sz w:val="24"/>
          <w:szCs w:val="24"/>
        </w:rPr>
        <w:t>allen anderen Ämtern, (…)</w:t>
      </w:r>
      <w:r w:rsidRPr="00FA462D">
        <w:rPr>
          <w:sz w:val="24"/>
          <w:szCs w:val="24"/>
        </w:rPr>
        <w:t xml:space="preserve"> und</w:t>
      </w:r>
      <w:r>
        <w:rPr>
          <w:sz w:val="24"/>
          <w:szCs w:val="24"/>
        </w:rPr>
        <w:t xml:space="preserve"> Verwaltungen (berücksichtigt)</w:t>
      </w:r>
      <w:r w:rsidRPr="00FA462D">
        <w:rPr>
          <w:sz w:val="24"/>
          <w:szCs w:val="24"/>
        </w:rPr>
        <w:t xml:space="preserve"> werden.  Was das G</w:t>
      </w:r>
      <w:r>
        <w:rPr>
          <w:sz w:val="24"/>
          <w:szCs w:val="24"/>
        </w:rPr>
        <w:t>erichtsschulzenamt, (…)</w:t>
      </w:r>
      <w:r w:rsidRPr="00FA462D">
        <w:rPr>
          <w:sz w:val="24"/>
          <w:szCs w:val="24"/>
        </w:rPr>
        <w:t>, d</w:t>
      </w:r>
      <w:r>
        <w:rPr>
          <w:sz w:val="24"/>
          <w:szCs w:val="24"/>
        </w:rPr>
        <w:t>es Rats- und Gerichtssekretärs</w:t>
      </w:r>
      <w:r w:rsidRPr="00FA462D">
        <w:rPr>
          <w:sz w:val="24"/>
          <w:szCs w:val="24"/>
        </w:rPr>
        <w:t xml:space="preserve"> anbetrifft, wie auch alle anderen Ämter, die nur einer Person anvertraut werden, so soll bei denen Abwechslung u</w:t>
      </w:r>
      <w:r>
        <w:rPr>
          <w:sz w:val="24"/>
          <w:szCs w:val="24"/>
        </w:rPr>
        <w:t>nverrückt statthaben, (so)</w:t>
      </w:r>
      <w:r w:rsidRPr="00FA462D">
        <w:rPr>
          <w:sz w:val="24"/>
          <w:szCs w:val="24"/>
        </w:rPr>
        <w:t>, dass nach erfolgtem Absterben eines Katholischen jederzeit ein Augsburgischer Konfessionsverwandter u</w:t>
      </w:r>
      <w:r>
        <w:rPr>
          <w:sz w:val="24"/>
          <w:szCs w:val="24"/>
        </w:rPr>
        <w:t>nd also wechselweise (folgen) solle.“</w:t>
      </w:r>
    </w:p>
    <w:p w:rsidR="00FE60DC" w:rsidRPr="00847246" w:rsidRDefault="00FE60DC" w:rsidP="00FE60DC">
      <w:pPr>
        <w:pBdr>
          <w:top w:val="single" w:sz="4" w:space="1" w:color="auto"/>
          <w:left w:val="single" w:sz="4" w:space="4" w:color="auto"/>
          <w:bottom w:val="single" w:sz="4" w:space="1" w:color="auto"/>
          <w:right w:val="single" w:sz="4" w:space="4" w:color="auto"/>
        </w:pBdr>
        <w:rPr>
          <w:sz w:val="20"/>
          <w:szCs w:val="20"/>
        </w:rPr>
      </w:pPr>
      <w:r>
        <w:rPr>
          <w:sz w:val="24"/>
          <w:szCs w:val="24"/>
        </w:rPr>
        <w:t>(</w:t>
      </w:r>
      <w:r>
        <w:rPr>
          <w:sz w:val="20"/>
          <w:szCs w:val="20"/>
        </w:rPr>
        <w:t xml:space="preserve">zit. nach: Rüth, Bernhard: Reformation in Biberach (1520-1555). In: Geschichte der Stadt Biberach. </w:t>
      </w:r>
      <w:proofErr w:type="spellStart"/>
      <w:r>
        <w:rPr>
          <w:sz w:val="20"/>
          <w:szCs w:val="20"/>
        </w:rPr>
        <w:t>Hg</w:t>
      </w:r>
      <w:proofErr w:type="spellEnd"/>
      <w:r>
        <w:rPr>
          <w:sz w:val="20"/>
          <w:szCs w:val="20"/>
        </w:rPr>
        <w:t xml:space="preserve">. von Dieter </w:t>
      </w:r>
      <w:proofErr w:type="spellStart"/>
      <w:r>
        <w:rPr>
          <w:sz w:val="20"/>
          <w:szCs w:val="20"/>
        </w:rPr>
        <w:t>Stievermann</w:t>
      </w:r>
      <w:proofErr w:type="spellEnd"/>
      <w:r>
        <w:rPr>
          <w:sz w:val="20"/>
          <w:szCs w:val="20"/>
        </w:rPr>
        <w:t xml:space="preserve"> u.a. Stuttgart 1991. S. 305. Veränderte Fassung.)</w:t>
      </w:r>
    </w:p>
    <w:p w:rsidR="00FE60DC" w:rsidRDefault="00FE60DC" w:rsidP="00FE60DC">
      <w:r w:rsidRPr="007D74C1">
        <w:t xml:space="preserve"> </w:t>
      </w:r>
    </w:p>
    <w:p w:rsidR="00FE60DC" w:rsidRDefault="00FE60DC" w:rsidP="00FE60DC"/>
    <w:p w:rsidR="00FE60DC" w:rsidRDefault="00FE60DC" w:rsidP="00FE60DC">
      <w:pPr>
        <w:rPr>
          <w:sz w:val="24"/>
          <w:szCs w:val="24"/>
        </w:rPr>
      </w:pPr>
    </w:p>
    <w:p w:rsidR="00FE60DC" w:rsidRDefault="00FE60DC" w:rsidP="00FE60DC">
      <w:pPr>
        <w:rPr>
          <w:sz w:val="24"/>
          <w:szCs w:val="24"/>
        </w:rPr>
      </w:pPr>
      <w:r w:rsidRPr="00FA462D">
        <w:rPr>
          <w:sz w:val="24"/>
          <w:szCs w:val="24"/>
        </w:rPr>
        <w:t xml:space="preserve">Arbeitsauftrag: </w:t>
      </w:r>
    </w:p>
    <w:p w:rsidR="00FE60DC" w:rsidRPr="00992736" w:rsidRDefault="00FE60DC" w:rsidP="00FE60DC">
      <w:pPr>
        <w:pStyle w:val="Listenabsatz"/>
        <w:numPr>
          <w:ilvl w:val="0"/>
          <w:numId w:val="1"/>
        </w:numPr>
        <w:rPr>
          <w:sz w:val="24"/>
          <w:szCs w:val="24"/>
        </w:rPr>
      </w:pPr>
      <w:proofErr w:type="gramStart"/>
      <w:r>
        <w:rPr>
          <w:sz w:val="24"/>
          <w:szCs w:val="24"/>
        </w:rPr>
        <w:t>Arbeitet</w:t>
      </w:r>
      <w:proofErr w:type="gramEnd"/>
      <w:r>
        <w:rPr>
          <w:sz w:val="24"/>
          <w:szCs w:val="24"/>
        </w:rPr>
        <w:t xml:space="preserve"> die wichtigsten Regelungen des Augsburger Religionsfrieden heraus</w:t>
      </w:r>
      <w:r w:rsidRPr="00992736">
        <w:rPr>
          <w:sz w:val="24"/>
          <w:szCs w:val="24"/>
        </w:rPr>
        <w:t>.</w:t>
      </w:r>
    </w:p>
    <w:p w:rsidR="009C106C" w:rsidRDefault="009C106C" w:rsidP="00FE60DC">
      <w:pPr>
        <w:pStyle w:val="Listenabsatz"/>
        <w:numPr>
          <w:ilvl w:val="0"/>
          <w:numId w:val="1"/>
        </w:numPr>
        <w:rPr>
          <w:sz w:val="24"/>
          <w:szCs w:val="24"/>
        </w:rPr>
      </w:pPr>
      <w:r>
        <w:rPr>
          <w:sz w:val="24"/>
          <w:szCs w:val="24"/>
        </w:rPr>
        <w:t>Erklärt den Begriff „Parität“ mithilfe der Informationen aus M 2.</w:t>
      </w:r>
    </w:p>
    <w:bookmarkEnd w:id="0"/>
    <w:p w:rsidR="00BA75FF" w:rsidRDefault="00BA75FF"/>
    <w:sectPr w:rsidR="00BA75FF" w:rsidSect="00B33044">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9F6" w:rsidRDefault="008049F6">
      <w:pPr>
        <w:spacing w:after="0" w:line="240" w:lineRule="auto"/>
      </w:pPr>
      <w:r>
        <w:separator/>
      </w:r>
    </w:p>
  </w:endnote>
  <w:endnote w:type="continuationSeparator" w:id="0">
    <w:p w:rsidR="008049F6" w:rsidRDefault="00804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044" w:rsidRDefault="00F254A7" w:rsidP="00B33044">
    <w:pPr>
      <w:pStyle w:val="Fuzeile"/>
      <w:jc w:val="center"/>
    </w:pPr>
    <w:r>
      <w:t>Arbeitskreis für Landeskunde/Landesgeschichte RP Tübingen</w:t>
    </w:r>
  </w:p>
  <w:p w:rsidR="00B33044" w:rsidRDefault="00F254A7" w:rsidP="00B33044">
    <w:pPr>
      <w:pStyle w:val="Fuzeile"/>
      <w:jc w:val="center"/>
    </w:pPr>
    <w:r>
      <w:t>www.landeskunde-bw-de</w:t>
    </w:r>
  </w:p>
  <w:p w:rsidR="00B33044" w:rsidRDefault="008049F6" w:rsidP="00B3304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9F6" w:rsidRDefault="008049F6">
      <w:pPr>
        <w:spacing w:after="0" w:line="240" w:lineRule="auto"/>
      </w:pPr>
      <w:r>
        <w:separator/>
      </w:r>
    </w:p>
  </w:footnote>
  <w:footnote w:type="continuationSeparator" w:id="0">
    <w:p w:rsidR="008049F6" w:rsidRDefault="00804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DC7" w:rsidRPr="007E3DC7" w:rsidRDefault="004C7450">
    <w:pPr>
      <w:pStyle w:val="Kopfzeile"/>
      <w:rPr>
        <w:b/>
        <w:sz w:val="28"/>
        <w:szCs w:val="28"/>
      </w:rPr>
    </w:pPr>
    <w:r>
      <w:rPr>
        <w:b/>
        <w:sz w:val="28"/>
        <w:szCs w:val="28"/>
      </w:rPr>
      <w:t xml:space="preserve">AB 6 </w:t>
    </w:r>
    <w:r w:rsidR="007E3DC7" w:rsidRPr="007E3DC7">
      <w:rPr>
        <w:b/>
        <w:sz w:val="28"/>
        <w:szCs w:val="28"/>
      </w:rPr>
      <w:t>Ist Frieden möglich?</w:t>
    </w:r>
  </w:p>
  <w:p w:rsidR="00B33044" w:rsidRDefault="008049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B7BB0"/>
    <w:multiLevelType w:val="hybridMultilevel"/>
    <w:tmpl w:val="506A5D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0DC"/>
    <w:rsid w:val="00034FFF"/>
    <w:rsid w:val="000A4FB7"/>
    <w:rsid w:val="001B1F3D"/>
    <w:rsid w:val="002C1ED5"/>
    <w:rsid w:val="003B7AFF"/>
    <w:rsid w:val="004C7450"/>
    <w:rsid w:val="004F50F1"/>
    <w:rsid w:val="00724AC1"/>
    <w:rsid w:val="007D4D55"/>
    <w:rsid w:val="007E3DC7"/>
    <w:rsid w:val="008049F6"/>
    <w:rsid w:val="009420DA"/>
    <w:rsid w:val="009C106C"/>
    <w:rsid w:val="00A33765"/>
    <w:rsid w:val="00B31291"/>
    <w:rsid w:val="00BA75FF"/>
    <w:rsid w:val="00CF78AD"/>
    <w:rsid w:val="00D5307E"/>
    <w:rsid w:val="00EE35F0"/>
    <w:rsid w:val="00F254A7"/>
    <w:rsid w:val="00FE6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31D4C"/>
  <w15:chartTrackingRefBased/>
  <w15:docId w15:val="{E36BF354-CBFF-43FA-A459-5CBCE201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E60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E60DC"/>
    <w:pPr>
      <w:ind w:left="720"/>
      <w:contextualSpacing/>
    </w:pPr>
  </w:style>
  <w:style w:type="paragraph" w:styleId="Kopfzeile">
    <w:name w:val="header"/>
    <w:basedOn w:val="Standard"/>
    <w:link w:val="KopfzeileZchn"/>
    <w:uiPriority w:val="99"/>
    <w:unhideWhenUsed/>
    <w:rsid w:val="00FE60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E60DC"/>
  </w:style>
  <w:style w:type="paragraph" w:styleId="Fuzeile">
    <w:name w:val="footer"/>
    <w:basedOn w:val="Standard"/>
    <w:link w:val="FuzeileZchn"/>
    <w:uiPriority w:val="99"/>
    <w:unhideWhenUsed/>
    <w:rsid w:val="00FE60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E60DC"/>
  </w:style>
  <w:style w:type="paragraph" w:styleId="Beschriftung">
    <w:name w:val="caption"/>
    <w:basedOn w:val="Standard"/>
    <w:next w:val="Standard"/>
    <w:uiPriority w:val="35"/>
    <w:unhideWhenUsed/>
    <w:qFormat/>
    <w:rsid w:val="00FE60D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3511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7</cp:revision>
  <dcterms:created xsi:type="dcterms:W3CDTF">2017-08-02T11:49:00Z</dcterms:created>
  <dcterms:modified xsi:type="dcterms:W3CDTF">2017-09-12T19:45:00Z</dcterms:modified>
</cp:coreProperties>
</file>