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EFC2F" w14:textId="77777777" w:rsidR="008F61C2" w:rsidRPr="00BE0336" w:rsidRDefault="008F61C2" w:rsidP="008F61C2">
      <w:pPr>
        <w:pStyle w:val="KeinLeerraum"/>
        <w:spacing w:line="360" w:lineRule="auto"/>
        <w:rPr>
          <w:rFonts w:ascii="Arial" w:hAnsi="Arial" w:cs="Arial"/>
          <w:smallCaps/>
        </w:rPr>
      </w:pPr>
      <w:r w:rsidRPr="00BE0336">
        <w:rPr>
          <w:rFonts w:ascii="Arial" w:hAnsi="Arial" w:cs="Arial"/>
          <w:smallCaps/>
        </w:rPr>
        <w:t xml:space="preserve">Soll Ulm evangelisch werden? </w:t>
      </w:r>
    </w:p>
    <w:p w14:paraId="312D5B56" w14:textId="77777777" w:rsidR="008F61C2" w:rsidRPr="00BE0336" w:rsidRDefault="008F61C2" w:rsidP="008F61C2">
      <w:pPr>
        <w:pStyle w:val="KeinLeerraum"/>
        <w:spacing w:line="360" w:lineRule="auto"/>
        <w:rPr>
          <w:rFonts w:ascii="Arial" w:hAnsi="Arial" w:cs="Arial"/>
          <w:b/>
        </w:rPr>
      </w:pPr>
      <w:r w:rsidRPr="00BE0336">
        <w:rPr>
          <w:rFonts w:ascii="Arial" w:hAnsi="Arial" w:cs="Arial"/>
          <w:b/>
        </w:rPr>
        <w:t>Diskussion innerhalb der Bürgerschaft</w:t>
      </w:r>
    </w:p>
    <w:p w14:paraId="3415B7ED" w14:textId="77777777" w:rsidR="00583FC2" w:rsidRDefault="00583FC2" w:rsidP="00583FC2">
      <w:pPr>
        <w:pStyle w:val="KeinLeerraum"/>
        <w:spacing w:line="360" w:lineRule="auto"/>
        <w:rPr>
          <w:rFonts w:ascii="Arial" w:hAnsi="Arial" w:cs="Arial"/>
        </w:rPr>
      </w:pPr>
    </w:p>
    <w:p w14:paraId="403DD617" w14:textId="77777777" w:rsidR="00BE0336" w:rsidRDefault="00583FC2" w:rsidP="00583FC2">
      <w:pPr>
        <w:pStyle w:val="KeinLeerraum"/>
        <w:spacing w:line="360" w:lineRule="auto"/>
        <w:rPr>
          <w:rFonts w:ascii="Arial" w:hAnsi="Arial" w:cs="Arial"/>
        </w:rPr>
      </w:pPr>
      <w:r>
        <w:rPr>
          <w:rFonts w:ascii="Arial" w:hAnsi="Arial" w:cs="Arial"/>
        </w:rPr>
        <w:t>Als freie Reichsstadt war Ulm relativ unabhängig und nur dem Kaiser unterstellt. Als die Reformation begann sich auszubreiten, verhielt sich der Ulmer Rat zunächst zurückhaltend, obwohl der Zuspruch innerhalb der Stadtbevölkerung sehr groß war. Der Ulmer Rat wollte gegen</w:t>
      </w:r>
      <w:r>
        <w:rPr>
          <w:rFonts w:ascii="Arial" w:hAnsi="Arial" w:cs="Arial"/>
        </w:rPr>
        <w:softHyphen/>
        <w:t xml:space="preserve">über dem katholischen Kaiser loyal bleiben. Erst mit dem Augsburger Reichstag 1530 sah sich der Ulmer Rat gezwungen, eine klare Entscheidung zu fällen. Da dieser jedoch nicht alleine die Verantwortung für die vielleicht folgenschwere Entscheidung tragen wollte, griff der Oberbürgermeister auf eine Möglichkeit gemäß des Großen </w:t>
      </w:r>
      <w:proofErr w:type="spellStart"/>
      <w:r>
        <w:rPr>
          <w:rFonts w:ascii="Arial" w:hAnsi="Arial" w:cs="Arial"/>
        </w:rPr>
        <w:t>Schw</w:t>
      </w:r>
      <w:r w:rsidR="009F399E">
        <w:rPr>
          <w:rFonts w:ascii="Arial" w:hAnsi="Arial" w:cs="Arial"/>
        </w:rPr>
        <w:t>örbriefe</w:t>
      </w:r>
      <w:r w:rsidR="00CC2EAF">
        <w:rPr>
          <w:rFonts w:ascii="Arial" w:hAnsi="Arial" w:cs="Arial"/>
        </w:rPr>
        <w:t>s</w:t>
      </w:r>
      <w:proofErr w:type="spellEnd"/>
      <w:r w:rsidR="00CC2EAF">
        <w:rPr>
          <w:rFonts w:ascii="Arial" w:hAnsi="Arial" w:cs="Arial"/>
        </w:rPr>
        <w:t xml:space="preserve"> von 1397 zurück: einen</w:t>
      </w:r>
      <w:r>
        <w:rPr>
          <w:rFonts w:ascii="Arial" w:hAnsi="Arial" w:cs="Arial"/>
        </w:rPr>
        <w:t xml:space="preserve"> Bürgerentscheid. </w:t>
      </w:r>
    </w:p>
    <w:p w14:paraId="1F4B05C7" w14:textId="77777777" w:rsidR="00583FC2" w:rsidRDefault="00583FC2" w:rsidP="00583FC2">
      <w:pPr>
        <w:pStyle w:val="KeinLeerraum"/>
        <w:spacing w:line="360" w:lineRule="auto"/>
        <w:rPr>
          <w:rFonts w:ascii="Arial" w:hAnsi="Arial" w:cs="Arial"/>
        </w:rPr>
      </w:pPr>
      <w:r>
        <w:rPr>
          <w:rFonts w:ascii="Arial" w:hAnsi="Arial" w:cs="Arial"/>
        </w:rPr>
        <w:t>Vom 3. – 8. November 1530 wurde in den 17 Zünften und bei den Patriziern über die reli</w:t>
      </w:r>
      <w:r w:rsidR="00BE0336">
        <w:rPr>
          <w:rFonts w:ascii="Arial" w:hAnsi="Arial" w:cs="Arial"/>
        </w:rPr>
        <w:softHyphen/>
      </w:r>
      <w:r>
        <w:rPr>
          <w:rFonts w:ascii="Arial" w:hAnsi="Arial" w:cs="Arial"/>
        </w:rPr>
        <w:t>giöse Zukunft der Stadt abgestimmt. Nur Personen mit dem vollen Bürgerrecht waren stimm</w:t>
      </w:r>
      <w:r w:rsidR="00BE0336">
        <w:rPr>
          <w:rFonts w:ascii="Arial" w:hAnsi="Arial" w:cs="Arial"/>
        </w:rPr>
        <w:softHyphen/>
      </w:r>
      <w:r w:rsidR="00CC2EAF">
        <w:rPr>
          <w:rFonts w:ascii="Arial" w:hAnsi="Arial" w:cs="Arial"/>
        </w:rPr>
        <w:t>berechtigt; dies</w:t>
      </w:r>
      <w:r w:rsidR="005E1B1F">
        <w:rPr>
          <w:rFonts w:ascii="Arial" w:hAnsi="Arial" w:cs="Arial"/>
        </w:rPr>
        <w:t xml:space="preserve"> schloss die eher katholisch geprägte Landbevölkerung aus.</w:t>
      </w:r>
    </w:p>
    <w:p w14:paraId="1C295978" w14:textId="77777777" w:rsidR="008F61C2" w:rsidRDefault="008F61C2" w:rsidP="008F61C2">
      <w:pPr>
        <w:pStyle w:val="KeinLeerraum"/>
        <w:spacing w:line="360" w:lineRule="auto"/>
        <w:rPr>
          <w:rFonts w:ascii="Arial" w:hAnsi="Arial" w:cs="Arial"/>
        </w:rPr>
      </w:pPr>
    </w:p>
    <w:p w14:paraId="795A1094" w14:textId="77777777" w:rsidR="00BE0336" w:rsidRPr="00BE0336" w:rsidRDefault="00BE0336" w:rsidP="008F61C2">
      <w:pPr>
        <w:pStyle w:val="KeinLeerraum"/>
        <w:spacing w:line="360" w:lineRule="auto"/>
        <w:rPr>
          <w:rFonts w:ascii="Arial" w:hAnsi="Arial" w:cs="Arial"/>
          <w:b/>
        </w:rPr>
      </w:pPr>
      <w:r w:rsidRPr="00BE0336">
        <w:rPr>
          <w:rFonts w:ascii="Arial" w:hAnsi="Arial" w:cs="Arial"/>
          <w:b/>
        </w:rPr>
        <w:t>Aufgabe</w:t>
      </w:r>
    </w:p>
    <w:p w14:paraId="0F3B029E" w14:textId="55846CC7" w:rsidR="008F61C2" w:rsidRDefault="008F61C2" w:rsidP="008F61C2">
      <w:pPr>
        <w:pStyle w:val="KeinLeerraum"/>
        <w:spacing w:line="360" w:lineRule="auto"/>
        <w:rPr>
          <w:rFonts w:ascii="Arial" w:hAnsi="Arial" w:cs="Arial"/>
        </w:rPr>
      </w:pPr>
      <w:r>
        <w:rPr>
          <w:rFonts w:ascii="Arial" w:hAnsi="Arial" w:cs="Arial"/>
        </w:rPr>
        <w:t>Stell dir vor,</w:t>
      </w:r>
      <w:r w:rsidR="005E1B1F">
        <w:rPr>
          <w:rFonts w:ascii="Arial" w:hAnsi="Arial" w:cs="Arial"/>
        </w:rPr>
        <w:t xml:space="preserve"> d</w:t>
      </w:r>
      <w:r w:rsidR="00211592">
        <w:rPr>
          <w:rFonts w:ascii="Arial" w:hAnsi="Arial" w:cs="Arial"/>
        </w:rPr>
        <w:t>u bist einer der abstimmungs</w:t>
      </w:r>
      <w:r w:rsidR="00583FC2">
        <w:rPr>
          <w:rFonts w:ascii="Arial" w:hAnsi="Arial" w:cs="Arial"/>
        </w:rPr>
        <w:t>berechtigten Bürger. Ordne</w:t>
      </w:r>
      <w:r w:rsidR="000230EB">
        <w:rPr>
          <w:rFonts w:ascii="Arial" w:hAnsi="Arial" w:cs="Arial"/>
        </w:rPr>
        <w:t xml:space="preserve"> die möglichen </w:t>
      </w:r>
      <w:r>
        <w:rPr>
          <w:rFonts w:ascii="Arial" w:hAnsi="Arial" w:cs="Arial"/>
        </w:rPr>
        <w:t xml:space="preserve">Argumente aus dem Lösungsspeicher </w:t>
      </w:r>
      <w:r w:rsidR="000230EB">
        <w:rPr>
          <w:rFonts w:ascii="Arial" w:hAnsi="Arial" w:cs="Arial"/>
        </w:rPr>
        <w:t xml:space="preserve">(siehe unten) </w:t>
      </w:r>
      <w:r>
        <w:rPr>
          <w:rFonts w:ascii="Arial" w:hAnsi="Arial" w:cs="Arial"/>
        </w:rPr>
        <w:t>in die Tabelle ein und wäge anschließend Vor- und Nachteile eines Wechsels ab.</w:t>
      </w:r>
    </w:p>
    <w:p w14:paraId="65E01CD2" w14:textId="77777777" w:rsidR="008F61C2" w:rsidRDefault="008F61C2" w:rsidP="008F61C2">
      <w:pPr>
        <w:pStyle w:val="KeinLeerraum"/>
        <w:spacing w:line="360" w:lineRule="auto"/>
        <w:rPr>
          <w:rFonts w:ascii="Arial" w:hAnsi="Arial" w:cs="Arial"/>
        </w:rPr>
      </w:pPr>
    </w:p>
    <w:tbl>
      <w:tblPr>
        <w:tblStyle w:val="Tabellenraster"/>
        <w:tblW w:w="0" w:type="auto"/>
        <w:tblLook w:val="04A0" w:firstRow="1" w:lastRow="0" w:firstColumn="1" w:lastColumn="0" w:noHBand="0" w:noVBand="1"/>
      </w:tblPr>
      <w:tblGrid>
        <w:gridCol w:w="1879"/>
        <w:gridCol w:w="3591"/>
        <w:gridCol w:w="3592"/>
      </w:tblGrid>
      <w:tr w:rsidR="008F61C2" w14:paraId="6F703F2A" w14:textId="77777777" w:rsidTr="00CC0437">
        <w:tc>
          <w:tcPr>
            <w:tcW w:w="1879" w:type="dxa"/>
          </w:tcPr>
          <w:p w14:paraId="61BE91AF" w14:textId="77777777" w:rsidR="008F61C2" w:rsidRPr="002C5ECA" w:rsidRDefault="008F61C2" w:rsidP="00CC0437">
            <w:pPr>
              <w:pStyle w:val="KeinLeerraum"/>
              <w:spacing w:line="360" w:lineRule="auto"/>
              <w:rPr>
                <w:rFonts w:ascii="Arial" w:hAnsi="Arial" w:cs="Arial"/>
                <w:sz w:val="20"/>
              </w:rPr>
            </w:pPr>
          </w:p>
        </w:tc>
        <w:tc>
          <w:tcPr>
            <w:tcW w:w="3591" w:type="dxa"/>
          </w:tcPr>
          <w:p w14:paraId="66E7C7E7" w14:textId="77777777" w:rsidR="008F61C2" w:rsidRPr="002C5ECA" w:rsidRDefault="008F61C2" w:rsidP="00CC0437">
            <w:pPr>
              <w:pStyle w:val="KeinLeerraum"/>
              <w:spacing w:line="360" w:lineRule="auto"/>
              <w:rPr>
                <w:rFonts w:ascii="Arial" w:hAnsi="Arial" w:cs="Arial"/>
                <w:sz w:val="20"/>
              </w:rPr>
            </w:pPr>
            <w:r w:rsidRPr="002C5ECA">
              <w:rPr>
                <w:rFonts w:ascii="Arial" w:hAnsi="Arial" w:cs="Arial"/>
                <w:sz w:val="20"/>
              </w:rPr>
              <w:t>Einführung der Reformation</w:t>
            </w:r>
          </w:p>
        </w:tc>
        <w:tc>
          <w:tcPr>
            <w:tcW w:w="3592" w:type="dxa"/>
          </w:tcPr>
          <w:p w14:paraId="64ECE73F" w14:textId="77777777" w:rsidR="008F61C2" w:rsidRPr="002C5ECA" w:rsidRDefault="008F61C2" w:rsidP="00CC0437">
            <w:pPr>
              <w:pStyle w:val="KeinLeerraum"/>
              <w:spacing w:line="360" w:lineRule="auto"/>
              <w:rPr>
                <w:rFonts w:ascii="Arial" w:hAnsi="Arial" w:cs="Arial"/>
                <w:sz w:val="20"/>
              </w:rPr>
            </w:pPr>
            <w:r w:rsidRPr="002C5ECA">
              <w:rPr>
                <w:rFonts w:ascii="Arial" w:hAnsi="Arial" w:cs="Arial"/>
                <w:sz w:val="20"/>
              </w:rPr>
              <w:t>Verbleib beim katholischen Glauben</w:t>
            </w:r>
          </w:p>
        </w:tc>
      </w:tr>
      <w:tr w:rsidR="008F61C2" w14:paraId="07F8020C" w14:textId="77777777" w:rsidTr="00CC0437">
        <w:trPr>
          <w:trHeight w:val="2817"/>
        </w:trPr>
        <w:tc>
          <w:tcPr>
            <w:tcW w:w="1879" w:type="dxa"/>
          </w:tcPr>
          <w:p w14:paraId="403421F3" w14:textId="74724646" w:rsidR="008F61C2" w:rsidRPr="002C5ECA" w:rsidRDefault="00BA0909" w:rsidP="00CC0437">
            <w:pPr>
              <w:pStyle w:val="KeinLeerraum"/>
              <w:spacing w:line="360" w:lineRule="auto"/>
              <w:rPr>
                <w:rFonts w:ascii="Arial" w:hAnsi="Arial" w:cs="Arial"/>
                <w:sz w:val="20"/>
              </w:rPr>
            </w:pPr>
            <w:r>
              <w:rPr>
                <w:rFonts w:ascii="Arial" w:hAnsi="Arial" w:cs="Arial"/>
                <w:sz w:val="20"/>
              </w:rPr>
              <w:t>R</w:t>
            </w:r>
            <w:r w:rsidR="008F61C2" w:rsidRPr="002C5ECA">
              <w:rPr>
                <w:rFonts w:ascii="Arial" w:hAnsi="Arial" w:cs="Arial"/>
                <w:sz w:val="20"/>
              </w:rPr>
              <w:t>eligiöse Gründe</w:t>
            </w:r>
          </w:p>
        </w:tc>
        <w:tc>
          <w:tcPr>
            <w:tcW w:w="3591" w:type="dxa"/>
          </w:tcPr>
          <w:p w14:paraId="2B072C23" w14:textId="77777777" w:rsidR="008F61C2" w:rsidRPr="002C5ECA" w:rsidRDefault="008F61C2" w:rsidP="008F61C2">
            <w:pPr>
              <w:pStyle w:val="KeinLeerraum"/>
              <w:spacing w:line="360" w:lineRule="auto"/>
              <w:ind w:left="720"/>
              <w:rPr>
                <w:rFonts w:ascii="Arial" w:hAnsi="Arial" w:cs="Arial"/>
                <w:sz w:val="20"/>
              </w:rPr>
            </w:pPr>
          </w:p>
        </w:tc>
        <w:tc>
          <w:tcPr>
            <w:tcW w:w="3592" w:type="dxa"/>
          </w:tcPr>
          <w:p w14:paraId="4D3511C8" w14:textId="77777777" w:rsidR="008F61C2" w:rsidRPr="008F61C2" w:rsidRDefault="008F61C2" w:rsidP="008F61C2">
            <w:pPr>
              <w:pStyle w:val="KeinLeerraum"/>
              <w:spacing w:line="360" w:lineRule="auto"/>
              <w:ind w:left="360"/>
              <w:rPr>
                <w:rFonts w:ascii="Arial" w:hAnsi="Arial" w:cs="Arial"/>
                <w:sz w:val="20"/>
              </w:rPr>
            </w:pPr>
          </w:p>
        </w:tc>
      </w:tr>
      <w:tr w:rsidR="008F61C2" w14:paraId="2E54CF29" w14:textId="77777777" w:rsidTr="00BE0336">
        <w:trPr>
          <w:trHeight w:val="2548"/>
        </w:trPr>
        <w:tc>
          <w:tcPr>
            <w:tcW w:w="1879" w:type="dxa"/>
          </w:tcPr>
          <w:p w14:paraId="50733869" w14:textId="3F0EA570" w:rsidR="008F61C2" w:rsidRPr="002C5ECA" w:rsidRDefault="00BA0909" w:rsidP="00CC0437">
            <w:pPr>
              <w:pStyle w:val="KeinLeerraum"/>
              <w:spacing w:line="360" w:lineRule="auto"/>
              <w:rPr>
                <w:rFonts w:ascii="Arial" w:hAnsi="Arial" w:cs="Arial"/>
                <w:sz w:val="20"/>
              </w:rPr>
            </w:pPr>
            <w:r>
              <w:rPr>
                <w:rFonts w:ascii="Arial" w:hAnsi="Arial" w:cs="Arial"/>
                <w:sz w:val="20"/>
              </w:rPr>
              <w:t>(Macht)P</w:t>
            </w:r>
            <w:r w:rsidR="008F61C2" w:rsidRPr="002C5ECA">
              <w:rPr>
                <w:rFonts w:ascii="Arial" w:hAnsi="Arial" w:cs="Arial"/>
                <w:sz w:val="20"/>
              </w:rPr>
              <w:t>olitische Gründe</w:t>
            </w:r>
          </w:p>
        </w:tc>
        <w:tc>
          <w:tcPr>
            <w:tcW w:w="3591" w:type="dxa"/>
          </w:tcPr>
          <w:p w14:paraId="6F47FADE" w14:textId="77777777" w:rsidR="008F61C2" w:rsidRDefault="008F61C2" w:rsidP="008F61C2">
            <w:pPr>
              <w:pStyle w:val="KeinLeerraum"/>
              <w:spacing w:line="360" w:lineRule="auto"/>
              <w:rPr>
                <w:rFonts w:ascii="Arial" w:hAnsi="Arial" w:cs="Arial"/>
                <w:sz w:val="20"/>
              </w:rPr>
            </w:pPr>
          </w:p>
          <w:p w14:paraId="377017FA" w14:textId="77777777" w:rsidR="008F61C2" w:rsidRDefault="008F61C2" w:rsidP="008F61C2">
            <w:pPr>
              <w:pStyle w:val="KeinLeerraum"/>
              <w:spacing w:line="360" w:lineRule="auto"/>
              <w:rPr>
                <w:rFonts w:ascii="Arial" w:hAnsi="Arial" w:cs="Arial"/>
                <w:sz w:val="20"/>
              </w:rPr>
            </w:pPr>
          </w:p>
          <w:p w14:paraId="62549913" w14:textId="77777777" w:rsidR="008F61C2" w:rsidRDefault="008F61C2" w:rsidP="008F61C2">
            <w:pPr>
              <w:pStyle w:val="KeinLeerraum"/>
              <w:spacing w:line="360" w:lineRule="auto"/>
              <w:rPr>
                <w:rFonts w:ascii="Arial" w:hAnsi="Arial" w:cs="Arial"/>
                <w:sz w:val="20"/>
              </w:rPr>
            </w:pPr>
          </w:p>
          <w:p w14:paraId="62816423" w14:textId="77777777" w:rsidR="008F61C2" w:rsidRDefault="008F61C2" w:rsidP="008F61C2">
            <w:pPr>
              <w:pStyle w:val="KeinLeerraum"/>
              <w:spacing w:line="360" w:lineRule="auto"/>
              <w:rPr>
                <w:rFonts w:ascii="Arial" w:hAnsi="Arial" w:cs="Arial"/>
                <w:sz w:val="20"/>
              </w:rPr>
            </w:pPr>
          </w:p>
          <w:p w14:paraId="18EB84AF" w14:textId="77777777" w:rsidR="008F61C2" w:rsidRPr="002C5ECA" w:rsidRDefault="008F61C2" w:rsidP="008F61C2">
            <w:pPr>
              <w:pStyle w:val="KeinLeerraum"/>
              <w:spacing w:line="360" w:lineRule="auto"/>
              <w:rPr>
                <w:rFonts w:ascii="Arial" w:hAnsi="Arial" w:cs="Arial"/>
                <w:sz w:val="20"/>
              </w:rPr>
            </w:pPr>
          </w:p>
        </w:tc>
        <w:tc>
          <w:tcPr>
            <w:tcW w:w="3592" w:type="dxa"/>
          </w:tcPr>
          <w:p w14:paraId="1E4DEB9E" w14:textId="77777777" w:rsidR="008F61C2" w:rsidRPr="002C5ECA" w:rsidRDefault="008F61C2" w:rsidP="008F61C2">
            <w:pPr>
              <w:pStyle w:val="KeinLeerraum"/>
              <w:spacing w:line="360" w:lineRule="auto"/>
              <w:ind w:left="720"/>
              <w:rPr>
                <w:rFonts w:ascii="Arial" w:hAnsi="Arial" w:cs="Arial"/>
                <w:sz w:val="20"/>
              </w:rPr>
            </w:pPr>
          </w:p>
        </w:tc>
      </w:tr>
    </w:tbl>
    <w:p w14:paraId="069C2BAB" w14:textId="77777777" w:rsidR="008F61C2" w:rsidRDefault="008F61C2" w:rsidP="008F61C2">
      <w:pPr>
        <w:pStyle w:val="KeinLeerraum"/>
        <w:spacing w:line="360" w:lineRule="auto"/>
        <w:rPr>
          <w:rFonts w:ascii="Arial" w:hAnsi="Arial" w:cs="Arial"/>
        </w:rPr>
      </w:pPr>
    </w:p>
    <w:p w14:paraId="3043F572" w14:textId="77777777" w:rsidR="00BE0336" w:rsidRDefault="00BE0336" w:rsidP="008F61C2">
      <w:pPr>
        <w:pStyle w:val="KeinLeerraum"/>
        <w:spacing w:line="360" w:lineRule="auto"/>
        <w:rPr>
          <w:rFonts w:ascii="Arial" w:hAnsi="Arial" w:cs="Arial"/>
        </w:rPr>
      </w:pPr>
    </w:p>
    <w:p w14:paraId="3A2BE457" w14:textId="77777777" w:rsidR="008F61C2" w:rsidRDefault="008F61C2" w:rsidP="00E445B1">
      <w:pPr>
        <w:pStyle w:val="KeinLeerraum"/>
        <w:spacing w:after="120" w:line="360" w:lineRule="auto"/>
        <w:rPr>
          <w:rFonts w:ascii="Arial" w:hAnsi="Arial" w:cs="Arial"/>
        </w:rPr>
      </w:pPr>
      <w:r>
        <w:rPr>
          <w:rFonts w:ascii="Arial" w:hAnsi="Arial" w:cs="Arial"/>
        </w:rPr>
        <w:lastRenderedPageBreak/>
        <w:t>Lösungsspeicher</w:t>
      </w:r>
    </w:p>
    <w:p w14:paraId="40E3B3D9" w14:textId="77777777" w:rsidR="008F61C2" w:rsidRDefault="008F61C2" w:rsidP="008F61C2">
      <w:pPr>
        <w:pStyle w:val="KeinLeerraum"/>
        <w:numPr>
          <w:ilvl w:val="0"/>
          <w:numId w:val="2"/>
        </w:numPr>
        <w:spacing w:line="360" w:lineRule="auto"/>
        <w:rPr>
          <w:rFonts w:ascii="Arial" w:hAnsi="Arial" w:cs="Arial"/>
          <w:sz w:val="20"/>
        </w:rPr>
      </w:pPr>
      <w:r>
        <w:rPr>
          <w:rFonts w:ascii="Arial" w:hAnsi="Arial" w:cs="Arial"/>
          <w:sz w:val="20"/>
        </w:rPr>
        <w:t>Stärkung des Ulmer Rates</w:t>
      </w:r>
    </w:p>
    <w:p w14:paraId="7A77684A" w14:textId="3D2A3602" w:rsidR="008F61C2" w:rsidRDefault="008F61C2" w:rsidP="008F61C2">
      <w:pPr>
        <w:pStyle w:val="KeinLeerraum"/>
        <w:numPr>
          <w:ilvl w:val="0"/>
          <w:numId w:val="2"/>
        </w:numPr>
        <w:spacing w:line="360" w:lineRule="auto"/>
        <w:rPr>
          <w:rFonts w:ascii="Arial" w:hAnsi="Arial" w:cs="Arial"/>
          <w:sz w:val="20"/>
        </w:rPr>
      </w:pPr>
      <w:r>
        <w:rPr>
          <w:rFonts w:ascii="Arial" w:hAnsi="Arial" w:cs="Arial"/>
          <w:sz w:val="20"/>
        </w:rPr>
        <w:t xml:space="preserve">Zorn des Kaisers </w:t>
      </w:r>
      <w:r w:rsidRPr="008F61C2">
        <w:rPr>
          <w:rFonts w:ascii="Arial" w:hAnsi="Arial" w:cs="Arial"/>
          <w:sz w:val="20"/>
        </w:rPr>
        <w:sym w:font="Wingdings" w:char="F0E0"/>
      </w:r>
      <w:r>
        <w:rPr>
          <w:rFonts w:ascii="Arial" w:hAnsi="Arial" w:cs="Arial"/>
          <w:sz w:val="20"/>
        </w:rPr>
        <w:t xml:space="preserve"> Einmarsch kaiserliche</w:t>
      </w:r>
      <w:r w:rsidR="00E445B1">
        <w:rPr>
          <w:rFonts w:ascii="Arial" w:hAnsi="Arial" w:cs="Arial"/>
          <w:sz w:val="20"/>
        </w:rPr>
        <w:t>r</w:t>
      </w:r>
      <w:bookmarkStart w:id="0" w:name="_GoBack"/>
      <w:bookmarkEnd w:id="0"/>
      <w:r>
        <w:rPr>
          <w:rFonts w:ascii="Arial" w:hAnsi="Arial" w:cs="Arial"/>
          <w:sz w:val="20"/>
        </w:rPr>
        <w:t xml:space="preserve"> Truppen in Ulm</w:t>
      </w:r>
    </w:p>
    <w:p w14:paraId="51E8E4A1" w14:textId="77777777" w:rsidR="008F61C2" w:rsidRDefault="008F61C2" w:rsidP="008F61C2">
      <w:pPr>
        <w:pStyle w:val="KeinLeerraum"/>
        <w:numPr>
          <w:ilvl w:val="0"/>
          <w:numId w:val="2"/>
        </w:numPr>
        <w:spacing w:line="360" w:lineRule="auto"/>
        <w:rPr>
          <w:rFonts w:ascii="Arial" w:hAnsi="Arial" w:cs="Arial"/>
          <w:sz w:val="20"/>
        </w:rPr>
      </w:pPr>
      <w:r w:rsidRPr="002C5ECA">
        <w:rPr>
          <w:rFonts w:ascii="Arial" w:hAnsi="Arial" w:cs="Arial"/>
          <w:sz w:val="20"/>
        </w:rPr>
        <w:t>Missstände in der katholi</w:t>
      </w:r>
      <w:r>
        <w:rPr>
          <w:rFonts w:ascii="Arial" w:hAnsi="Arial" w:cs="Arial"/>
          <w:sz w:val="20"/>
        </w:rPr>
        <w:softHyphen/>
      </w:r>
      <w:r w:rsidRPr="002C5ECA">
        <w:rPr>
          <w:rFonts w:ascii="Arial" w:hAnsi="Arial" w:cs="Arial"/>
          <w:sz w:val="20"/>
        </w:rPr>
        <w:t>schen Kirche (fehlende Moral und Bildung bei den Geist</w:t>
      </w:r>
      <w:r>
        <w:rPr>
          <w:rFonts w:ascii="Arial" w:hAnsi="Arial" w:cs="Arial"/>
          <w:sz w:val="20"/>
        </w:rPr>
        <w:softHyphen/>
      </w:r>
      <w:r w:rsidR="009F399E">
        <w:rPr>
          <w:rFonts w:ascii="Arial" w:hAnsi="Arial" w:cs="Arial"/>
          <w:sz w:val="20"/>
        </w:rPr>
        <w:t xml:space="preserve">lichen, </w:t>
      </w:r>
      <w:r w:rsidR="009F399E" w:rsidRPr="009F399E">
        <w:rPr>
          <w:rFonts w:ascii="Arial Narrow" w:hAnsi="Arial Narrow" w:cs="Arial"/>
        </w:rPr>
        <w:t>Ä</w:t>
      </w:r>
      <w:r w:rsidRPr="002C5ECA">
        <w:rPr>
          <w:rFonts w:ascii="Arial" w:hAnsi="Arial" w:cs="Arial"/>
          <w:sz w:val="20"/>
        </w:rPr>
        <w:t>mterkauf, Ablass</w:t>
      </w:r>
      <w:r>
        <w:rPr>
          <w:rFonts w:ascii="Arial" w:hAnsi="Arial" w:cs="Arial"/>
          <w:sz w:val="20"/>
        </w:rPr>
        <w:softHyphen/>
      </w:r>
      <w:r w:rsidRPr="002C5ECA">
        <w:rPr>
          <w:rFonts w:ascii="Arial" w:hAnsi="Arial" w:cs="Arial"/>
          <w:sz w:val="20"/>
        </w:rPr>
        <w:t>han</w:t>
      </w:r>
      <w:r>
        <w:rPr>
          <w:rFonts w:ascii="Arial" w:hAnsi="Arial" w:cs="Arial"/>
          <w:sz w:val="20"/>
        </w:rPr>
        <w:softHyphen/>
      </w:r>
      <w:r w:rsidRPr="002C5ECA">
        <w:rPr>
          <w:rFonts w:ascii="Arial" w:hAnsi="Arial" w:cs="Arial"/>
          <w:sz w:val="20"/>
        </w:rPr>
        <w:t>del, Machthunger der Kirchenfürsten)</w:t>
      </w:r>
    </w:p>
    <w:p w14:paraId="6E97D72B" w14:textId="77777777" w:rsidR="008F61C2" w:rsidRPr="008F61C2" w:rsidRDefault="008F61C2" w:rsidP="008F61C2">
      <w:pPr>
        <w:pStyle w:val="KeinLeerraum"/>
        <w:numPr>
          <w:ilvl w:val="0"/>
          <w:numId w:val="2"/>
        </w:numPr>
        <w:spacing w:line="360" w:lineRule="auto"/>
        <w:rPr>
          <w:rFonts w:ascii="Arial" w:hAnsi="Arial" w:cs="Arial"/>
          <w:sz w:val="20"/>
        </w:rPr>
      </w:pPr>
      <w:r w:rsidRPr="008F61C2">
        <w:rPr>
          <w:rFonts w:ascii="Arial" w:hAnsi="Arial" w:cs="Arial"/>
          <w:sz w:val="20"/>
        </w:rPr>
        <w:t>Zugriff auf den Kirchenbesitz/das Kirchenvermögen</w:t>
      </w:r>
    </w:p>
    <w:p w14:paraId="52266EED" w14:textId="77777777" w:rsidR="008F61C2" w:rsidRPr="008F61C2" w:rsidRDefault="008F61C2" w:rsidP="008F61C2">
      <w:pPr>
        <w:pStyle w:val="KeinLeerraum"/>
        <w:numPr>
          <w:ilvl w:val="0"/>
          <w:numId w:val="2"/>
        </w:numPr>
        <w:spacing w:line="360" w:lineRule="auto"/>
        <w:rPr>
          <w:rFonts w:ascii="Arial" w:hAnsi="Arial" w:cs="Arial"/>
          <w:sz w:val="20"/>
        </w:rPr>
      </w:pPr>
      <w:r w:rsidRPr="008F61C2">
        <w:rPr>
          <w:rFonts w:ascii="Arial" w:hAnsi="Arial" w:cs="Arial"/>
          <w:sz w:val="20"/>
        </w:rPr>
        <w:t>Rückbesinnung nur auf das Wort Gottes</w:t>
      </w:r>
    </w:p>
    <w:p w14:paraId="277A5FED" w14:textId="77777777" w:rsidR="008F61C2" w:rsidRPr="002C5ECA" w:rsidRDefault="008F61C2" w:rsidP="008F61C2">
      <w:pPr>
        <w:pStyle w:val="KeinLeerraum"/>
        <w:numPr>
          <w:ilvl w:val="0"/>
          <w:numId w:val="2"/>
        </w:numPr>
        <w:spacing w:line="360" w:lineRule="auto"/>
        <w:rPr>
          <w:rFonts w:ascii="Arial" w:hAnsi="Arial" w:cs="Arial"/>
          <w:sz w:val="20"/>
        </w:rPr>
      </w:pPr>
      <w:r>
        <w:rPr>
          <w:rFonts w:ascii="Arial" w:hAnsi="Arial" w:cs="Arial"/>
          <w:sz w:val="20"/>
        </w:rPr>
        <w:t>ü</w:t>
      </w:r>
      <w:r w:rsidRPr="002C5ECA">
        <w:rPr>
          <w:rFonts w:ascii="Arial" w:hAnsi="Arial" w:cs="Arial"/>
          <w:sz w:val="20"/>
        </w:rPr>
        <w:t>ber 1000jährige Tradition</w:t>
      </w:r>
    </w:p>
    <w:p w14:paraId="1CBEDB2B" w14:textId="77777777" w:rsidR="008F61C2" w:rsidRPr="008F61C2" w:rsidRDefault="008F61C2" w:rsidP="008F61C2">
      <w:pPr>
        <w:pStyle w:val="KeinLeerraum"/>
        <w:numPr>
          <w:ilvl w:val="0"/>
          <w:numId w:val="2"/>
        </w:numPr>
        <w:spacing w:line="360" w:lineRule="auto"/>
        <w:rPr>
          <w:rFonts w:ascii="Arial" w:hAnsi="Arial" w:cs="Arial"/>
        </w:rPr>
      </w:pPr>
      <w:r w:rsidRPr="002C5ECA">
        <w:rPr>
          <w:rFonts w:ascii="Arial" w:hAnsi="Arial" w:cs="Arial"/>
          <w:sz w:val="20"/>
        </w:rPr>
        <w:t>Wurzel des Christentums</w:t>
      </w:r>
    </w:p>
    <w:p w14:paraId="3963970A" w14:textId="635B35C2" w:rsidR="000B4B0A" w:rsidRPr="00E445B1" w:rsidRDefault="008F61C2" w:rsidP="00E445B1">
      <w:pPr>
        <w:pStyle w:val="KeinLeerraum"/>
        <w:numPr>
          <w:ilvl w:val="0"/>
          <w:numId w:val="2"/>
        </w:numPr>
        <w:spacing w:line="360" w:lineRule="auto"/>
        <w:rPr>
          <w:rFonts w:ascii="Arial" w:hAnsi="Arial" w:cs="Arial"/>
        </w:rPr>
      </w:pPr>
      <w:r>
        <w:rPr>
          <w:rFonts w:ascii="Arial" w:hAnsi="Arial" w:cs="Arial"/>
          <w:sz w:val="20"/>
        </w:rPr>
        <w:t>Reformatorische Gedanken sind europaweit im Kommen und prägen die Zeit; Furcht vor möglicher Isolation</w:t>
      </w:r>
    </w:p>
    <w:sectPr w:rsidR="000B4B0A" w:rsidRPr="00E445B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9D019" w14:textId="77777777" w:rsidR="008C5622" w:rsidRDefault="008C5622" w:rsidP="00BE0336">
      <w:pPr>
        <w:spacing w:after="0" w:line="240" w:lineRule="auto"/>
      </w:pPr>
      <w:r>
        <w:separator/>
      </w:r>
    </w:p>
  </w:endnote>
  <w:endnote w:type="continuationSeparator" w:id="0">
    <w:p w14:paraId="471018B7" w14:textId="77777777" w:rsidR="008C5622" w:rsidRDefault="008C5622" w:rsidP="00BE0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2153" w14:textId="77777777" w:rsidR="00697651" w:rsidRDefault="00697651" w:rsidP="00B0349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253CC8B" w14:textId="77777777" w:rsidR="00D83B91" w:rsidRDefault="00D83B91" w:rsidP="00697651">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140A0" w14:textId="77777777" w:rsidR="00697651" w:rsidRDefault="00697651" w:rsidP="00B0349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1C9C6AE4" w14:textId="77777777" w:rsidR="00A916DF" w:rsidRPr="00A916DF" w:rsidRDefault="00A916DF" w:rsidP="00697651">
    <w:pPr>
      <w:pStyle w:val="Fuzeile"/>
      <w:ind w:right="360"/>
      <w:jc w:val="center"/>
      <w:rPr>
        <w:rFonts w:ascii="Arial" w:hAnsi="Arial" w:cs="Arial"/>
        <w:sz w:val="21"/>
        <w:szCs w:val="21"/>
      </w:rPr>
    </w:pPr>
    <w:r w:rsidRPr="00A916DF">
      <w:rPr>
        <w:rFonts w:ascii="Arial" w:hAnsi="Arial" w:cs="Arial"/>
        <w:sz w:val="21"/>
        <w:szCs w:val="21"/>
      </w:rPr>
      <w:t>Arbeitskreis für Landeskunde – RP Tübingen</w:t>
    </w:r>
  </w:p>
  <w:p w14:paraId="37BD603B" w14:textId="77777777" w:rsidR="00BE0336" w:rsidRPr="00A916DF" w:rsidRDefault="00BE0336" w:rsidP="00BE0336">
    <w:pPr>
      <w:pStyle w:val="Fuzeile"/>
      <w:jc w:val="center"/>
      <w:rPr>
        <w:rFonts w:ascii="Arial" w:hAnsi="Arial" w:cs="Arial"/>
        <w:sz w:val="21"/>
        <w:szCs w:val="21"/>
      </w:rPr>
    </w:pPr>
    <w:r w:rsidRPr="00A916DF">
      <w:rPr>
        <w:rFonts w:ascii="Arial" w:hAnsi="Arial" w:cs="Arial"/>
        <w:sz w:val="21"/>
        <w:szCs w:val="21"/>
      </w:rPr>
      <w:t>www.landeskunde-bw.de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E7902" w14:textId="77777777" w:rsidR="00D83B91" w:rsidRDefault="00D83B91">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EF7C8" w14:textId="77777777" w:rsidR="008C5622" w:rsidRDefault="008C5622" w:rsidP="00BE0336">
      <w:pPr>
        <w:spacing w:after="0" w:line="240" w:lineRule="auto"/>
      </w:pPr>
      <w:r>
        <w:separator/>
      </w:r>
    </w:p>
  </w:footnote>
  <w:footnote w:type="continuationSeparator" w:id="0">
    <w:p w14:paraId="6883EA4A" w14:textId="77777777" w:rsidR="008C5622" w:rsidRDefault="008C5622" w:rsidP="00BE033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D3B6D" w14:textId="77777777" w:rsidR="00D83B91" w:rsidRDefault="00D83B9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5C65E" w14:textId="77777777" w:rsidR="00BE0336" w:rsidRPr="00D83B91" w:rsidRDefault="00BE0336">
    <w:pPr>
      <w:pStyle w:val="Kopfzeile"/>
      <w:rPr>
        <w:rFonts w:ascii="Arial" w:hAnsi="Arial" w:cs="Arial"/>
      </w:rPr>
    </w:pPr>
    <w:r w:rsidRPr="00D83B91">
      <w:rPr>
        <w:rFonts w:ascii="Arial" w:hAnsi="Arial" w:cs="Arial"/>
      </w:rPr>
      <w:t>AB 4b</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A5639" w14:textId="77777777" w:rsidR="00D83B91" w:rsidRDefault="00D83B9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A17C80"/>
    <w:multiLevelType w:val="hybridMultilevel"/>
    <w:tmpl w:val="1BD41ACA"/>
    <w:lvl w:ilvl="0" w:tplc="0EB224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28312FB"/>
    <w:multiLevelType w:val="hybridMultilevel"/>
    <w:tmpl w:val="AC9EA3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C2"/>
    <w:rsid w:val="000230EB"/>
    <w:rsid w:val="000524C5"/>
    <w:rsid w:val="000B4B0A"/>
    <w:rsid w:val="00211592"/>
    <w:rsid w:val="0024756A"/>
    <w:rsid w:val="003412E1"/>
    <w:rsid w:val="00583FC2"/>
    <w:rsid w:val="005E1B1F"/>
    <w:rsid w:val="00697651"/>
    <w:rsid w:val="006F4748"/>
    <w:rsid w:val="00752184"/>
    <w:rsid w:val="007F4817"/>
    <w:rsid w:val="008C5622"/>
    <w:rsid w:val="008F61C2"/>
    <w:rsid w:val="009F399E"/>
    <w:rsid w:val="00A916DF"/>
    <w:rsid w:val="00BA0909"/>
    <w:rsid w:val="00BE0336"/>
    <w:rsid w:val="00C90F03"/>
    <w:rsid w:val="00C97145"/>
    <w:rsid w:val="00CC2EAF"/>
    <w:rsid w:val="00D83B91"/>
    <w:rsid w:val="00E445B1"/>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73FAF"/>
  <w15:chartTrackingRefBased/>
  <w15:docId w15:val="{7B0ADFDA-EFE4-4B1C-A8EE-B7EB421D5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F481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F61C2"/>
    <w:pPr>
      <w:spacing w:after="0" w:line="240" w:lineRule="auto"/>
    </w:pPr>
  </w:style>
  <w:style w:type="table" w:styleId="Tabellenraster">
    <w:name w:val="Table Grid"/>
    <w:basedOn w:val="NormaleTabelle"/>
    <w:uiPriority w:val="39"/>
    <w:rsid w:val="008F61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BE03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0336"/>
  </w:style>
  <w:style w:type="paragraph" w:styleId="Fuzeile">
    <w:name w:val="footer"/>
    <w:basedOn w:val="Standard"/>
    <w:link w:val="FuzeileZchn"/>
    <w:uiPriority w:val="99"/>
    <w:unhideWhenUsed/>
    <w:rsid w:val="00BE03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0336"/>
  </w:style>
  <w:style w:type="character" w:styleId="Seitenzahl">
    <w:name w:val="page number"/>
    <w:basedOn w:val="Absatz-Standardschriftart"/>
    <w:uiPriority w:val="99"/>
    <w:semiHidden/>
    <w:unhideWhenUsed/>
    <w:rsid w:val="00697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1556</Characters>
  <Application>Microsoft Macintosh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Moritz Widmaier</cp:lastModifiedBy>
  <cp:revision>16</cp:revision>
  <dcterms:created xsi:type="dcterms:W3CDTF">2018-08-15T17:54:00Z</dcterms:created>
  <dcterms:modified xsi:type="dcterms:W3CDTF">2019-01-22T12:17:00Z</dcterms:modified>
</cp:coreProperties>
</file>