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9D37C2" w14:textId="77777777" w:rsidR="00276451" w:rsidRPr="00011D0E" w:rsidRDefault="00276451" w:rsidP="00276451">
      <w:pPr>
        <w:pStyle w:val="KeinLeerraum"/>
        <w:spacing w:line="360" w:lineRule="auto"/>
        <w:rPr>
          <w:rFonts w:ascii="Arial" w:hAnsi="Arial" w:cs="Arial"/>
          <w:smallCaps/>
        </w:rPr>
      </w:pPr>
      <w:r w:rsidRPr="00011D0E">
        <w:rPr>
          <w:rFonts w:ascii="Arial" w:hAnsi="Arial" w:cs="Arial"/>
          <w:smallCaps/>
        </w:rPr>
        <w:t>Umsetzung der Reformation in Ulm – Wie evangelisch war Ulm?</w:t>
      </w:r>
    </w:p>
    <w:p w14:paraId="5170EF8F" w14:textId="77777777" w:rsidR="00276451" w:rsidRDefault="00276451" w:rsidP="00276451">
      <w:pPr>
        <w:pStyle w:val="KeinLeerraum"/>
        <w:spacing w:line="360" w:lineRule="auto"/>
        <w:rPr>
          <w:rFonts w:ascii="Arial" w:hAnsi="Arial" w:cs="Arial"/>
        </w:rPr>
      </w:pPr>
    </w:p>
    <w:p w14:paraId="74A311DE" w14:textId="77777777" w:rsidR="00276451" w:rsidRPr="005A240B" w:rsidRDefault="00276451" w:rsidP="00276451">
      <w:pPr>
        <w:pStyle w:val="KeinLeerraum"/>
        <w:spacing w:line="360" w:lineRule="auto"/>
        <w:rPr>
          <w:rFonts w:ascii="Arial" w:hAnsi="Arial" w:cs="Arial"/>
          <w:b/>
        </w:rPr>
      </w:pPr>
      <w:r w:rsidRPr="005A240B">
        <w:rPr>
          <w:rFonts w:ascii="Arial" w:hAnsi="Arial" w:cs="Arial"/>
          <w:b/>
        </w:rPr>
        <w:t>Aufgaben</w:t>
      </w:r>
    </w:p>
    <w:p w14:paraId="2EF17872" w14:textId="77777777" w:rsidR="00276451" w:rsidRDefault="00276451" w:rsidP="00276451">
      <w:pPr>
        <w:pStyle w:val="KeinLeerraum"/>
        <w:numPr>
          <w:ilvl w:val="0"/>
          <w:numId w:val="5"/>
        </w:numPr>
        <w:spacing w:line="360" w:lineRule="auto"/>
        <w:rPr>
          <w:rFonts w:ascii="Arial" w:hAnsi="Arial" w:cs="Arial"/>
        </w:rPr>
      </w:pPr>
      <w:r>
        <w:rPr>
          <w:rFonts w:ascii="Arial" w:hAnsi="Arial" w:cs="Arial"/>
        </w:rPr>
        <w:t>Nenne die Gründe, w</w:t>
      </w:r>
      <w:r w:rsidR="00997DD4">
        <w:rPr>
          <w:rFonts w:ascii="Arial" w:hAnsi="Arial" w:cs="Arial"/>
        </w:rPr>
        <w:t>arum die Reformation in Ulm zunächst</w:t>
      </w:r>
      <w:r>
        <w:rPr>
          <w:rFonts w:ascii="Arial" w:hAnsi="Arial" w:cs="Arial"/>
        </w:rPr>
        <w:t xml:space="preserve"> schleppend anlief.</w:t>
      </w:r>
    </w:p>
    <w:p w14:paraId="00A67E91" w14:textId="77777777" w:rsidR="00276451" w:rsidRPr="00276451" w:rsidRDefault="00276451" w:rsidP="00276451">
      <w:pPr>
        <w:pStyle w:val="KeinLeerraum"/>
        <w:numPr>
          <w:ilvl w:val="0"/>
          <w:numId w:val="6"/>
        </w:numPr>
        <w:spacing w:line="360" w:lineRule="auto"/>
        <w:rPr>
          <w:rFonts w:ascii="Arial" w:hAnsi="Arial" w:cs="Arial"/>
          <w:i/>
        </w:rPr>
      </w:pPr>
      <w:r w:rsidRPr="00276451">
        <w:rPr>
          <w:rFonts w:ascii="Arial" w:hAnsi="Arial" w:cs="Arial"/>
          <w:i/>
        </w:rPr>
        <w:t>Ulmer Rat im Zwiespalt zwischen Gewissensfreiheit und Gehorsam dem Kaiser gegenüber</w:t>
      </w:r>
    </w:p>
    <w:p w14:paraId="0E52294A" w14:textId="77777777" w:rsidR="00276451" w:rsidRPr="00276451" w:rsidRDefault="00276451" w:rsidP="00276451">
      <w:pPr>
        <w:pStyle w:val="KeinLeerraum"/>
        <w:numPr>
          <w:ilvl w:val="0"/>
          <w:numId w:val="6"/>
        </w:numPr>
        <w:spacing w:line="360" w:lineRule="auto"/>
        <w:rPr>
          <w:rFonts w:ascii="Arial" w:hAnsi="Arial" w:cs="Arial"/>
          <w:i/>
        </w:rPr>
      </w:pPr>
      <w:r w:rsidRPr="00276451">
        <w:rPr>
          <w:rFonts w:ascii="Arial" w:hAnsi="Arial" w:cs="Arial"/>
          <w:i/>
        </w:rPr>
        <w:t>Fehlen einer theologischen Autorität als Leitfigur der Reformation</w:t>
      </w:r>
    </w:p>
    <w:p w14:paraId="0106C099" w14:textId="77777777" w:rsidR="00276451" w:rsidRPr="00276451" w:rsidRDefault="00276451" w:rsidP="00276451">
      <w:pPr>
        <w:pStyle w:val="KeinLeerraum"/>
        <w:numPr>
          <w:ilvl w:val="0"/>
          <w:numId w:val="6"/>
        </w:numPr>
        <w:spacing w:line="360" w:lineRule="auto"/>
        <w:rPr>
          <w:rFonts w:ascii="Arial" w:hAnsi="Arial" w:cs="Arial"/>
          <w:i/>
        </w:rPr>
      </w:pPr>
      <w:r w:rsidRPr="00276451">
        <w:rPr>
          <w:rFonts w:ascii="Arial" w:hAnsi="Arial" w:cs="Arial"/>
          <w:i/>
        </w:rPr>
        <w:t>Innerprotestantische Differenzen [Ergänzung: z. B. Abendmahlstreit]</w:t>
      </w:r>
    </w:p>
    <w:p w14:paraId="7B175BD9" w14:textId="77777777" w:rsidR="00276451" w:rsidRDefault="00276451" w:rsidP="00276451">
      <w:pPr>
        <w:pStyle w:val="KeinLeerraum"/>
        <w:spacing w:line="360" w:lineRule="auto"/>
        <w:ind w:left="1080"/>
        <w:rPr>
          <w:rFonts w:ascii="Arial" w:hAnsi="Arial" w:cs="Arial"/>
        </w:rPr>
      </w:pPr>
    </w:p>
    <w:p w14:paraId="4A2B871C" w14:textId="77777777" w:rsidR="00276451" w:rsidRDefault="00276451" w:rsidP="00276451">
      <w:pPr>
        <w:pStyle w:val="KeinLeerraum"/>
        <w:numPr>
          <w:ilvl w:val="0"/>
          <w:numId w:val="5"/>
        </w:numPr>
        <w:spacing w:line="360" w:lineRule="auto"/>
        <w:rPr>
          <w:rFonts w:ascii="Arial" w:hAnsi="Arial" w:cs="Arial"/>
        </w:rPr>
      </w:pPr>
      <w:r>
        <w:rPr>
          <w:rFonts w:ascii="Arial" w:hAnsi="Arial" w:cs="Arial"/>
        </w:rPr>
        <w:t>„Dem Ulmer Rat ging es bei der Reformation hauptsächlich um die eigene Machtauswei</w:t>
      </w:r>
      <w:r w:rsidR="00997DD4">
        <w:rPr>
          <w:rFonts w:ascii="Arial" w:hAnsi="Arial" w:cs="Arial"/>
        </w:rPr>
        <w:t xml:space="preserve">tung.“ Diskutiert </w:t>
      </w:r>
      <w:r>
        <w:rPr>
          <w:rFonts w:ascii="Arial" w:hAnsi="Arial" w:cs="Arial"/>
        </w:rPr>
        <w:t>diese These</w:t>
      </w:r>
      <w:r w:rsidR="00997DD4">
        <w:rPr>
          <w:rFonts w:ascii="Arial" w:hAnsi="Arial" w:cs="Arial"/>
        </w:rPr>
        <w:t xml:space="preserve"> in der Klasse</w:t>
      </w:r>
      <w:r>
        <w:rPr>
          <w:rFonts w:ascii="Arial" w:hAnsi="Arial" w:cs="Arial"/>
        </w:rPr>
        <w:t>.</w:t>
      </w:r>
    </w:p>
    <w:tbl>
      <w:tblPr>
        <w:tblStyle w:val="Tabellenraster"/>
        <w:tblW w:w="0" w:type="auto"/>
        <w:tblInd w:w="720" w:type="dxa"/>
        <w:tblLook w:val="04A0" w:firstRow="1" w:lastRow="0" w:firstColumn="1" w:lastColumn="0" w:noHBand="0" w:noVBand="1"/>
      </w:tblPr>
      <w:tblGrid>
        <w:gridCol w:w="4191"/>
        <w:gridCol w:w="4149"/>
      </w:tblGrid>
      <w:tr w:rsidR="00276451" w14:paraId="6A659B04" w14:textId="77777777" w:rsidTr="00CD364C">
        <w:tc>
          <w:tcPr>
            <w:tcW w:w="4191" w:type="dxa"/>
            <w:vAlign w:val="center"/>
          </w:tcPr>
          <w:p w14:paraId="02EB20C1" w14:textId="77777777" w:rsidR="00276451" w:rsidRPr="007A2D3E" w:rsidRDefault="00276451" w:rsidP="00276451">
            <w:pPr>
              <w:pStyle w:val="KeinLeerraum"/>
              <w:spacing w:line="276" w:lineRule="auto"/>
              <w:jc w:val="center"/>
              <w:rPr>
                <w:rFonts w:ascii="Arial" w:hAnsi="Arial" w:cs="Arial"/>
                <w:i/>
                <w:sz w:val="20"/>
              </w:rPr>
            </w:pPr>
            <w:r w:rsidRPr="007A2D3E">
              <w:rPr>
                <w:rFonts w:ascii="Arial" w:hAnsi="Arial" w:cs="Arial"/>
                <w:i/>
                <w:sz w:val="20"/>
              </w:rPr>
              <w:t>+</w:t>
            </w:r>
          </w:p>
        </w:tc>
        <w:tc>
          <w:tcPr>
            <w:tcW w:w="4149" w:type="dxa"/>
            <w:vAlign w:val="center"/>
          </w:tcPr>
          <w:p w14:paraId="11544EF4" w14:textId="77777777" w:rsidR="00276451" w:rsidRPr="007A2D3E" w:rsidRDefault="00276451" w:rsidP="00276451">
            <w:pPr>
              <w:pStyle w:val="KeinLeerraum"/>
              <w:spacing w:line="276" w:lineRule="auto"/>
              <w:jc w:val="center"/>
              <w:rPr>
                <w:rFonts w:ascii="Arial" w:hAnsi="Arial" w:cs="Arial"/>
                <w:i/>
                <w:sz w:val="20"/>
              </w:rPr>
            </w:pPr>
            <w:r w:rsidRPr="007A2D3E">
              <w:rPr>
                <w:rFonts w:ascii="Arial" w:hAnsi="Arial" w:cs="Arial"/>
                <w:i/>
                <w:sz w:val="20"/>
              </w:rPr>
              <w:t>-</w:t>
            </w:r>
          </w:p>
        </w:tc>
      </w:tr>
      <w:tr w:rsidR="00276451" w14:paraId="2E28B34F" w14:textId="77777777" w:rsidTr="00CD364C">
        <w:tc>
          <w:tcPr>
            <w:tcW w:w="4191" w:type="dxa"/>
          </w:tcPr>
          <w:p w14:paraId="56F8D805" w14:textId="77777777" w:rsidR="00276451" w:rsidRPr="007A2D3E" w:rsidRDefault="00276451" w:rsidP="00276451">
            <w:pPr>
              <w:pStyle w:val="KeinLeerraum"/>
              <w:numPr>
                <w:ilvl w:val="0"/>
                <w:numId w:val="6"/>
              </w:numPr>
              <w:spacing w:line="276" w:lineRule="auto"/>
              <w:rPr>
                <w:rFonts w:ascii="Arial" w:hAnsi="Arial" w:cs="Arial"/>
                <w:i/>
                <w:sz w:val="20"/>
              </w:rPr>
            </w:pPr>
            <w:r w:rsidRPr="007A2D3E">
              <w:rPr>
                <w:rFonts w:ascii="Arial" w:hAnsi="Arial" w:cs="Arial"/>
                <w:i/>
                <w:sz w:val="20"/>
              </w:rPr>
              <w:t>Zugriff auf Kirchenvermögen</w:t>
            </w:r>
          </w:p>
          <w:p w14:paraId="2384236A" w14:textId="77777777" w:rsidR="00276451" w:rsidRPr="007A2D3E" w:rsidRDefault="00276451" w:rsidP="00276451">
            <w:pPr>
              <w:pStyle w:val="KeinLeerraum"/>
              <w:numPr>
                <w:ilvl w:val="0"/>
                <w:numId w:val="6"/>
              </w:numPr>
              <w:spacing w:line="276" w:lineRule="auto"/>
              <w:rPr>
                <w:rFonts w:ascii="Arial" w:hAnsi="Arial" w:cs="Arial"/>
                <w:i/>
                <w:sz w:val="20"/>
              </w:rPr>
            </w:pPr>
            <w:r w:rsidRPr="007A2D3E">
              <w:rPr>
                <w:rFonts w:ascii="Arial" w:hAnsi="Arial" w:cs="Arial"/>
                <w:i/>
                <w:sz w:val="20"/>
              </w:rPr>
              <w:t>Enge Verknüpfung zwischen Rat und Ausschuss der Religions</w:t>
            </w:r>
            <w:r w:rsidR="007A2D3E" w:rsidRPr="007A2D3E">
              <w:rPr>
                <w:rFonts w:ascii="Arial" w:hAnsi="Arial" w:cs="Arial"/>
                <w:i/>
                <w:sz w:val="20"/>
              </w:rPr>
              <w:softHyphen/>
            </w:r>
            <w:r w:rsidRPr="007A2D3E">
              <w:rPr>
                <w:rFonts w:ascii="Arial" w:hAnsi="Arial" w:cs="Arial"/>
                <w:i/>
                <w:sz w:val="20"/>
              </w:rPr>
              <w:t>verordneten</w:t>
            </w:r>
          </w:p>
        </w:tc>
        <w:tc>
          <w:tcPr>
            <w:tcW w:w="4149" w:type="dxa"/>
          </w:tcPr>
          <w:p w14:paraId="1F4F6D0E" w14:textId="77777777" w:rsidR="00276451" w:rsidRPr="007A2D3E" w:rsidRDefault="00276451" w:rsidP="00276451">
            <w:pPr>
              <w:pStyle w:val="KeinLeerraum"/>
              <w:numPr>
                <w:ilvl w:val="0"/>
                <w:numId w:val="6"/>
              </w:numPr>
              <w:spacing w:line="276" w:lineRule="auto"/>
              <w:rPr>
                <w:rFonts w:ascii="Arial" w:hAnsi="Arial" w:cs="Arial"/>
                <w:i/>
                <w:sz w:val="20"/>
              </w:rPr>
            </w:pPr>
            <w:r w:rsidRPr="007A2D3E">
              <w:rPr>
                <w:rFonts w:ascii="Arial" w:hAnsi="Arial" w:cs="Arial"/>
                <w:i/>
                <w:sz w:val="20"/>
              </w:rPr>
              <w:t>Rat ging es auch um Friedens</w:t>
            </w:r>
            <w:r w:rsidR="007A2D3E" w:rsidRPr="007A2D3E">
              <w:rPr>
                <w:rFonts w:ascii="Arial" w:hAnsi="Arial" w:cs="Arial"/>
                <w:i/>
                <w:sz w:val="20"/>
              </w:rPr>
              <w:softHyphen/>
            </w:r>
            <w:r w:rsidRPr="007A2D3E">
              <w:rPr>
                <w:rFonts w:ascii="Arial" w:hAnsi="Arial" w:cs="Arial"/>
                <w:i/>
                <w:sz w:val="20"/>
              </w:rPr>
              <w:t xml:space="preserve">wahrung </w:t>
            </w:r>
            <w:r w:rsidRPr="007A2D3E">
              <w:rPr>
                <w:rFonts w:ascii="Arial" w:hAnsi="Arial" w:cs="Arial"/>
                <w:i/>
                <w:sz w:val="20"/>
              </w:rPr>
              <w:sym w:font="Wingdings" w:char="F0E0"/>
            </w:r>
            <w:r w:rsidRPr="007A2D3E">
              <w:rPr>
                <w:rFonts w:ascii="Arial" w:hAnsi="Arial" w:cs="Arial"/>
                <w:i/>
                <w:sz w:val="20"/>
              </w:rPr>
              <w:t xml:space="preserve"> </w:t>
            </w:r>
            <w:r w:rsidR="00CD364C" w:rsidRPr="007A2D3E">
              <w:rPr>
                <w:rFonts w:ascii="Arial" w:hAnsi="Arial" w:cs="Arial"/>
                <w:i/>
                <w:sz w:val="20"/>
              </w:rPr>
              <w:t xml:space="preserve">zögerliche Anfänge; </w:t>
            </w:r>
            <w:r w:rsidR="005423E5">
              <w:rPr>
                <w:rFonts w:ascii="Arial" w:hAnsi="Arial" w:cs="Arial"/>
                <w:i/>
                <w:sz w:val="20"/>
              </w:rPr>
              <w:t>toleranter Umgang mit anderen Konfessionen</w:t>
            </w:r>
          </w:p>
          <w:p w14:paraId="451779DE" w14:textId="77777777" w:rsidR="00CD364C" w:rsidRPr="007A2D3E" w:rsidRDefault="00CD364C" w:rsidP="00276451">
            <w:pPr>
              <w:pStyle w:val="KeinLeerraum"/>
              <w:numPr>
                <w:ilvl w:val="0"/>
                <w:numId w:val="6"/>
              </w:numPr>
              <w:spacing w:line="276" w:lineRule="auto"/>
              <w:rPr>
                <w:rFonts w:ascii="Arial" w:hAnsi="Arial" w:cs="Arial"/>
                <w:i/>
                <w:sz w:val="20"/>
              </w:rPr>
            </w:pPr>
            <w:r w:rsidRPr="007A2D3E">
              <w:rPr>
                <w:rFonts w:ascii="Arial" w:hAnsi="Arial" w:cs="Arial"/>
                <w:i/>
                <w:sz w:val="20"/>
              </w:rPr>
              <w:t xml:space="preserve">Förderung des Schulwesens ist zum Wohl aller </w:t>
            </w:r>
            <w:r w:rsidRPr="007A2D3E">
              <w:rPr>
                <w:rFonts w:ascii="Arial" w:hAnsi="Arial" w:cs="Arial"/>
                <w:i/>
                <w:sz w:val="20"/>
              </w:rPr>
              <w:sym w:font="Wingdings" w:char="F0E0"/>
            </w:r>
            <w:r w:rsidRPr="007A2D3E">
              <w:rPr>
                <w:rFonts w:ascii="Arial" w:hAnsi="Arial" w:cs="Arial"/>
                <w:i/>
                <w:sz w:val="20"/>
              </w:rPr>
              <w:t xml:space="preserve"> wer lesen und schreiben kann, hat besse</w:t>
            </w:r>
            <w:r w:rsidR="007A2D3E" w:rsidRPr="007A2D3E">
              <w:rPr>
                <w:rFonts w:ascii="Arial" w:hAnsi="Arial" w:cs="Arial"/>
                <w:i/>
                <w:sz w:val="20"/>
              </w:rPr>
              <w:softHyphen/>
            </w:r>
            <w:r w:rsidR="00997DD4">
              <w:rPr>
                <w:rFonts w:ascii="Arial" w:hAnsi="Arial" w:cs="Arial"/>
                <w:i/>
                <w:sz w:val="20"/>
              </w:rPr>
              <w:t>re</w:t>
            </w:r>
            <w:r w:rsidRPr="007A2D3E">
              <w:rPr>
                <w:rFonts w:ascii="Arial" w:hAnsi="Arial" w:cs="Arial"/>
                <w:i/>
                <w:sz w:val="20"/>
              </w:rPr>
              <w:t xml:space="preserve"> Zukunft</w:t>
            </w:r>
            <w:r w:rsidR="007A2D3E" w:rsidRPr="007A2D3E">
              <w:rPr>
                <w:rFonts w:ascii="Arial" w:hAnsi="Arial" w:cs="Arial"/>
                <w:i/>
                <w:sz w:val="20"/>
              </w:rPr>
              <w:t>saussichten als ein Analphabet</w:t>
            </w:r>
          </w:p>
          <w:p w14:paraId="30AB13F0" w14:textId="77777777" w:rsidR="00CD364C" w:rsidRPr="007A2D3E" w:rsidRDefault="00CD364C" w:rsidP="00276451">
            <w:pPr>
              <w:pStyle w:val="KeinLeerraum"/>
              <w:numPr>
                <w:ilvl w:val="0"/>
                <w:numId w:val="6"/>
              </w:numPr>
              <w:spacing w:line="276" w:lineRule="auto"/>
              <w:rPr>
                <w:rFonts w:ascii="Arial" w:hAnsi="Arial" w:cs="Arial"/>
                <w:i/>
                <w:sz w:val="20"/>
              </w:rPr>
            </w:pPr>
            <w:r w:rsidRPr="007A2D3E">
              <w:rPr>
                <w:rFonts w:ascii="Arial" w:hAnsi="Arial" w:cs="Arial"/>
                <w:i/>
                <w:sz w:val="20"/>
              </w:rPr>
              <w:t>erst mit</w:t>
            </w:r>
            <w:r w:rsidR="00997DD4">
              <w:rPr>
                <w:rFonts w:ascii="Arial" w:hAnsi="Arial" w:cs="Arial"/>
                <w:i/>
                <w:sz w:val="20"/>
              </w:rPr>
              <w:t xml:space="preserve"> der</w:t>
            </w:r>
            <w:r w:rsidRPr="007A2D3E">
              <w:rPr>
                <w:rFonts w:ascii="Arial" w:hAnsi="Arial" w:cs="Arial"/>
                <w:i/>
                <w:sz w:val="20"/>
              </w:rPr>
              <w:t xml:space="preserve"> Berufung von Ludwig Rabus konsequentes Zurück</w:t>
            </w:r>
            <w:r w:rsidR="007A2D3E" w:rsidRPr="007A2D3E">
              <w:rPr>
                <w:rFonts w:ascii="Arial" w:hAnsi="Arial" w:cs="Arial"/>
                <w:i/>
                <w:sz w:val="20"/>
              </w:rPr>
              <w:softHyphen/>
            </w:r>
            <w:r w:rsidRPr="007A2D3E">
              <w:rPr>
                <w:rFonts w:ascii="Arial" w:hAnsi="Arial" w:cs="Arial"/>
                <w:i/>
                <w:sz w:val="20"/>
              </w:rPr>
              <w:t>drängen der Andersgläubigen</w:t>
            </w:r>
          </w:p>
        </w:tc>
      </w:tr>
      <w:tr w:rsidR="00CD364C" w14:paraId="708F2641" w14:textId="77777777" w:rsidTr="00E334DE">
        <w:tc>
          <w:tcPr>
            <w:tcW w:w="8340" w:type="dxa"/>
            <w:gridSpan w:val="2"/>
          </w:tcPr>
          <w:p w14:paraId="6A739E5C" w14:textId="77777777" w:rsidR="00CD364C" w:rsidRPr="007A2D3E" w:rsidRDefault="005221A7" w:rsidP="00CD364C">
            <w:pPr>
              <w:pStyle w:val="KeinLeerraum"/>
              <w:numPr>
                <w:ilvl w:val="0"/>
                <w:numId w:val="7"/>
              </w:numPr>
              <w:spacing w:line="276" w:lineRule="auto"/>
              <w:rPr>
                <w:rFonts w:ascii="Arial" w:hAnsi="Arial" w:cs="Arial"/>
                <w:i/>
                <w:sz w:val="20"/>
              </w:rPr>
            </w:pPr>
            <w:r>
              <w:rPr>
                <w:rFonts w:ascii="Arial" w:hAnsi="Arial" w:cs="Arial"/>
                <w:i/>
                <w:sz w:val="20"/>
              </w:rPr>
              <w:t>Es wäre viel zu oberflächlich</w:t>
            </w:r>
            <w:r w:rsidR="00CD364C" w:rsidRPr="007A2D3E">
              <w:rPr>
                <w:rFonts w:ascii="Arial" w:hAnsi="Arial" w:cs="Arial"/>
                <w:i/>
                <w:sz w:val="20"/>
              </w:rPr>
              <w:t xml:space="preserve">, nur von einer „Machtausweitung des Rates“ zu sprechen. Dafür ging der Rat zu gemäßigt und mit </w:t>
            </w:r>
            <w:r w:rsidR="00997DD4">
              <w:rPr>
                <w:rFonts w:ascii="Arial" w:hAnsi="Arial" w:cs="Arial"/>
                <w:i/>
                <w:sz w:val="20"/>
              </w:rPr>
              <w:t xml:space="preserve">zu viel </w:t>
            </w:r>
            <w:r w:rsidR="00CD364C" w:rsidRPr="007A2D3E">
              <w:rPr>
                <w:rFonts w:ascii="Arial" w:hAnsi="Arial" w:cs="Arial"/>
                <w:i/>
                <w:sz w:val="20"/>
              </w:rPr>
              <w:t>Augenmaß vor. Zwar kann man nicht bestreiten, dass sich die Befugnisse des Rates ausgedehnt haben, aber es gibt keine Beispiele für Machtmissbrauch oder ähnliches.</w:t>
            </w:r>
          </w:p>
        </w:tc>
      </w:tr>
    </w:tbl>
    <w:p w14:paraId="3EBB8EF7" w14:textId="77777777" w:rsidR="00276451" w:rsidRDefault="00276451" w:rsidP="00276451">
      <w:pPr>
        <w:pStyle w:val="KeinLeerraum"/>
        <w:spacing w:line="360" w:lineRule="auto"/>
        <w:ind w:left="720"/>
        <w:rPr>
          <w:rFonts w:ascii="Arial" w:hAnsi="Arial" w:cs="Arial"/>
        </w:rPr>
      </w:pPr>
    </w:p>
    <w:p w14:paraId="3C685D3E" w14:textId="77777777" w:rsidR="00276451" w:rsidRDefault="00276451" w:rsidP="00276451">
      <w:pPr>
        <w:pStyle w:val="KeinLeerraum"/>
        <w:numPr>
          <w:ilvl w:val="0"/>
          <w:numId w:val="5"/>
        </w:numPr>
        <w:spacing w:line="360" w:lineRule="auto"/>
        <w:rPr>
          <w:rFonts w:ascii="Arial" w:hAnsi="Arial" w:cs="Arial"/>
        </w:rPr>
      </w:pPr>
      <w:r>
        <w:rPr>
          <w:rFonts w:ascii="Arial" w:hAnsi="Arial" w:cs="Arial"/>
        </w:rPr>
        <w:t xml:space="preserve">Arbeite den Zusammenhang zwischen </w:t>
      </w:r>
      <w:r w:rsidR="00997DD4">
        <w:rPr>
          <w:rFonts w:ascii="Arial" w:hAnsi="Arial" w:cs="Arial"/>
        </w:rPr>
        <w:t xml:space="preserve">der </w:t>
      </w:r>
      <w:r>
        <w:rPr>
          <w:rFonts w:ascii="Arial" w:hAnsi="Arial" w:cs="Arial"/>
        </w:rPr>
        <w:t>Schwäche des Kaisers</w:t>
      </w:r>
      <w:r w:rsidR="00997DD4">
        <w:rPr>
          <w:rFonts w:ascii="Arial" w:hAnsi="Arial" w:cs="Arial"/>
        </w:rPr>
        <w:t xml:space="preserve"> und der </w:t>
      </w:r>
      <w:r>
        <w:rPr>
          <w:rFonts w:ascii="Arial" w:hAnsi="Arial" w:cs="Arial"/>
        </w:rPr>
        <w:t>Entfaltung der Reformation in Ulm heraus.</w:t>
      </w:r>
    </w:p>
    <w:p w14:paraId="0ACDE041" w14:textId="77777777" w:rsidR="007A2D3E" w:rsidRPr="007A2D3E" w:rsidRDefault="007A2D3E" w:rsidP="007A2D3E">
      <w:pPr>
        <w:pStyle w:val="KeinLeerraum"/>
        <w:spacing w:line="360" w:lineRule="auto"/>
        <w:ind w:left="1416"/>
        <w:rPr>
          <w:rFonts w:ascii="Arial" w:hAnsi="Arial" w:cs="Arial"/>
          <w:i/>
        </w:rPr>
      </w:pPr>
      <w:r w:rsidRPr="007A2D3E">
        <w:rPr>
          <w:rFonts w:ascii="Arial" w:hAnsi="Arial" w:cs="Arial"/>
          <w:i/>
        </w:rPr>
        <w:sym w:font="Wingdings" w:char="F0E0"/>
      </w:r>
      <w:r w:rsidRPr="007A2D3E">
        <w:rPr>
          <w:rFonts w:ascii="Arial" w:hAnsi="Arial" w:cs="Arial"/>
          <w:i/>
        </w:rPr>
        <w:t xml:space="preserve"> s. AB 7</w:t>
      </w:r>
    </w:p>
    <w:p w14:paraId="1720D118" w14:textId="77777777" w:rsidR="007A2D3E" w:rsidRDefault="007A2D3E" w:rsidP="007A2D3E">
      <w:pPr>
        <w:pStyle w:val="KeinLeerraum"/>
        <w:spacing w:line="360" w:lineRule="auto"/>
        <w:ind w:left="1416"/>
        <w:rPr>
          <w:rFonts w:ascii="Arial" w:hAnsi="Arial" w:cs="Arial"/>
          <w:i/>
        </w:rPr>
      </w:pPr>
      <w:r w:rsidRPr="007A2D3E">
        <w:rPr>
          <w:rFonts w:ascii="Arial" w:hAnsi="Arial" w:cs="Arial"/>
          <w:i/>
        </w:rPr>
        <w:t>Es ist augenfällig, dass die Umstände für Karl V. nicht schlechter hätten sein können. In den 20er Jahren waren i</w:t>
      </w:r>
      <w:r w:rsidR="00997DD4">
        <w:rPr>
          <w:rFonts w:ascii="Arial" w:hAnsi="Arial" w:cs="Arial"/>
          <w:i/>
        </w:rPr>
        <w:t>h</w:t>
      </w:r>
      <w:bookmarkStart w:id="0" w:name="_GoBack"/>
      <w:bookmarkEnd w:id="0"/>
      <w:r w:rsidRPr="007A2D3E">
        <w:rPr>
          <w:rFonts w:ascii="Arial" w:hAnsi="Arial" w:cs="Arial"/>
          <w:i/>
        </w:rPr>
        <w:t>m die Hände wegen seiner Kriege gebunden, danach war zu viel Zeit vergangen, um die Reformation doch noch rückgängig zu machen. Daran konnte auch das kurze Interim nichts ändern. Je schwächer Karl V. wurde, desto mehr hat sich die Reformation in Ulm entfaltet.</w:t>
      </w:r>
    </w:p>
    <w:p w14:paraId="61023107" w14:textId="77777777" w:rsidR="00C11C41" w:rsidRPr="007A2D3E" w:rsidRDefault="00C11C41" w:rsidP="007A2D3E">
      <w:pPr>
        <w:pStyle w:val="KeinLeerraum"/>
        <w:spacing w:line="360" w:lineRule="auto"/>
        <w:ind w:left="1416"/>
        <w:rPr>
          <w:rFonts w:ascii="Arial" w:hAnsi="Arial" w:cs="Arial"/>
          <w:i/>
        </w:rPr>
      </w:pPr>
    </w:p>
    <w:sectPr w:rsidR="00C11C41" w:rsidRPr="007A2D3E" w:rsidSect="00DD4C11">
      <w:headerReference w:type="even" r:id="rId7"/>
      <w:headerReference w:type="default" r:id="rId8"/>
      <w:footerReference w:type="even" r:id="rId9"/>
      <w:footerReference w:type="default" r:id="rId10"/>
      <w:headerReference w:type="first" r:id="rId11"/>
      <w:footerReference w:type="first" r:id="rId12"/>
      <w:type w:val="continuous"/>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212027" w14:textId="77777777" w:rsidR="00055F63" w:rsidRDefault="00055F63">
      <w:pPr>
        <w:spacing w:after="0" w:line="240" w:lineRule="auto"/>
      </w:pPr>
      <w:r>
        <w:separator/>
      </w:r>
    </w:p>
  </w:endnote>
  <w:endnote w:type="continuationSeparator" w:id="0">
    <w:p w14:paraId="07330275" w14:textId="77777777" w:rsidR="00055F63" w:rsidRDefault="00055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F9585" w14:textId="77777777" w:rsidR="008768F5" w:rsidRDefault="00055F63">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16A4CC" w14:textId="77777777" w:rsidR="00AF4973" w:rsidRPr="00AF4973" w:rsidRDefault="00AF4973" w:rsidP="00AF4973">
    <w:pPr>
      <w:pStyle w:val="Fuzeile"/>
      <w:jc w:val="center"/>
      <w:rPr>
        <w:rFonts w:ascii="Arial" w:hAnsi="Arial" w:cs="Arial"/>
        <w:sz w:val="21"/>
        <w:szCs w:val="21"/>
      </w:rPr>
    </w:pPr>
    <w:r w:rsidRPr="00AF4973">
      <w:rPr>
        <w:rFonts w:ascii="Arial" w:hAnsi="Arial" w:cs="Arial"/>
        <w:sz w:val="21"/>
        <w:szCs w:val="21"/>
      </w:rPr>
      <w:t>Arbeitskreis für Landeskunde – RP Tübingen</w:t>
    </w:r>
  </w:p>
  <w:p w14:paraId="4DBCED84" w14:textId="77777777" w:rsidR="008768F5" w:rsidRPr="00AF4973" w:rsidRDefault="00C11C41" w:rsidP="008768F5">
    <w:pPr>
      <w:pStyle w:val="Fuzeile"/>
      <w:jc w:val="center"/>
      <w:rPr>
        <w:rFonts w:ascii="Arial" w:hAnsi="Arial" w:cs="Arial"/>
        <w:sz w:val="21"/>
        <w:szCs w:val="21"/>
      </w:rPr>
    </w:pPr>
    <w:r w:rsidRPr="00AF4973">
      <w:rPr>
        <w:rFonts w:ascii="Arial" w:hAnsi="Arial" w:cs="Arial"/>
        <w:sz w:val="21"/>
        <w:szCs w:val="21"/>
      </w:rPr>
      <w:t>www.landeskunde-bw.de</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D1451" w14:textId="77777777" w:rsidR="008768F5" w:rsidRDefault="00055F63">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C7E401" w14:textId="77777777" w:rsidR="00055F63" w:rsidRDefault="00055F63">
      <w:pPr>
        <w:spacing w:after="0" w:line="240" w:lineRule="auto"/>
      </w:pPr>
      <w:r>
        <w:separator/>
      </w:r>
    </w:p>
  </w:footnote>
  <w:footnote w:type="continuationSeparator" w:id="0">
    <w:p w14:paraId="68649F78" w14:textId="77777777" w:rsidR="00055F63" w:rsidRDefault="00055F6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AA50AD" w14:textId="77777777" w:rsidR="008768F5" w:rsidRDefault="00055F63">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C7E9C" w14:textId="77777777" w:rsidR="008768F5" w:rsidRPr="008768F5" w:rsidRDefault="00C11C41">
    <w:pPr>
      <w:pStyle w:val="Kopfzeile"/>
      <w:rPr>
        <w:rFonts w:ascii="Arial" w:hAnsi="Arial" w:cs="Arial"/>
      </w:rPr>
    </w:pPr>
    <w:r>
      <w:rPr>
        <w:rFonts w:ascii="Arial" w:hAnsi="Arial" w:cs="Arial"/>
      </w:rPr>
      <w:t>AB 5</w:t>
    </w:r>
    <w:r w:rsidR="0026030D">
      <w:rPr>
        <w:rFonts w:ascii="Arial" w:hAnsi="Arial" w:cs="Arial"/>
      </w:rPr>
      <w:t xml:space="preserve"> - Lösungsvorschlag</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32891" w14:textId="77777777" w:rsidR="008768F5" w:rsidRDefault="00055F63">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77FBF"/>
    <w:multiLevelType w:val="hybridMultilevel"/>
    <w:tmpl w:val="330CD8C0"/>
    <w:lvl w:ilvl="0" w:tplc="A8487FD2">
      <w:start w:val="3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2BD02CB"/>
    <w:multiLevelType w:val="hybridMultilevel"/>
    <w:tmpl w:val="5AA2862C"/>
    <w:lvl w:ilvl="0" w:tplc="CE040CB8">
      <w:start w:val="3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AC704D0"/>
    <w:multiLevelType w:val="hybridMultilevel"/>
    <w:tmpl w:val="506EDE42"/>
    <w:lvl w:ilvl="0" w:tplc="1FD8ED6E">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nsid w:val="1D7C4627"/>
    <w:multiLevelType w:val="hybridMultilevel"/>
    <w:tmpl w:val="DDB8A0FA"/>
    <w:lvl w:ilvl="0" w:tplc="F356CC0E">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5607DEF"/>
    <w:multiLevelType w:val="hybridMultilevel"/>
    <w:tmpl w:val="A0CAFFC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660139E"/>
    <w:multiLevelType w:val="hybridMultilevel"/>
    <w:tmpl w:val="F6280796"/>
    <w:lvl w:ilvl="0" w:tplc="FF34F538">
      <w:start w:val="3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3174ECF"/>
    <w:multiLevelType w:val="hybridMultilevel"/>
    <w:tmpl w:val="37D0A894"/>
    <w:lvl w:ilvl="0" w:tplc="EDA47530">
      <w:start w:val="3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0"/>
  </w:num>
  <w:num w:numId="4">
    <w:abstractNumId w:val="6"/>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451"/>
    <w:rsid w:val="00055F63"/>
    <w:rsid w:val="001E7BF7"/>
    <w:rsid w:val="0026030D"/>
    <w:rsid w:val="00276451"/>
    <w:rsid w:val="002B7A81"/>
    <w:rsid w:val="005221A7"/>
    <w:rsid w:val="005423E5"/>
    <w:rsid w:val="007A2D3E"/>
    <w:rsid w:val="007F5F4D"/>
    <w:rsid w:val="00997DD4"/>
    <w:rsid w:val="00AF4973"/>
    <w:rsid w:val="00C11C41"/>
    <w:rsid w:val="00C95ED7"/>
    <w:rsid w:val="00CD364C"/>
    <w:rsid w:val="00F86E85"/>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2F1FC"/>
  <w15:chartTrackingRefBased/>
  <w15:docId w15:val="{89CB0CF7-0E7E-4DFC-BD8F-A909762E3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27645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76451"/>
    <w:pPr>
      <w:spacing w:after="0" w:line="240" w:lineRule="auto"/>
    </w:pPr>
  </w:style>
  <w:style w:type="paragraph" w:styleId="Listenabsatz">
    <w:name w:val="List Paragraph"/>
    <w:basedOn w:val="Standard"/>
    <w:uiPriority w:val="34"/>
    <w:qFormat/>
    <w:rsid w:val="00276451"/>
    <w:pPr>
      <w:ind w:left="720"/>
      <w:contextualSpacing/>
    </w:pPr>
  </w:style>
  <w:style w:type="paragraph" w:styleId="Kopfzeile">
    <w:name w:val="header"/>
    <w:basedOn w:val="Standard"/>
    <w:link w:val="KopfzeileZchn"/>
    <w:uiPriority w:val="99"/>
    <w:unhideWhenUsed/>
    <w:rsid w:val="0027645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6451"/>
  </w:style>
  <w:style w:type="paragraph" w:styleId="Fuzeile">
    <w:name w:val="footer"/>
    <w:basedOn w:val="Standard"/>
    <w:link w:val="FuzeileZchn"/>
    <w:uiPriority w:val="99"/>
    <w:unhideWhenUsed/>
    <w:rsid w:val="0027645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6451"/>
  </w:style>
  <w:style w:type="character" w:styleId="Zeilennummer">
    <w:name w:val="line number"/>
    <w:basedOn w:val="Absatz-Standardschriftart"/>
    <w:uiPriority w:val="99"/>
    <w:semiHidden/>
    <w:unhideWhenUsed/>
    <w:rsid w:val="00276451"/>
  </w:style>
  <w:style w:type="table" w:styleId="Tabellenraster">
    <w:name w:val="Table Grid"/>
    <w:basedOn w:val="NormaleTabelle"/>
    <w:uiPriority w:val="39"/>
    <w:rsid w:val="002764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530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Words>
  <Characters>1474</Characters>
  <Application>Microsoft Macintosh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Moritz Widmaier</cp:lastModifiedBy>
  <cp:revision>6</cp:revision>
  <dcterms:created xsi:type="dcterms:W3CDTF">2018-08-21T09:46:00Z</dcterms:created>
  <dcterms:modified xsi:type="dcterms:W3CDTF">2019-01-22T12:38:00Z</dcterms:modified>
</cp:coreProperties>
</file>