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C4" w:rsidRPr="00FD68D3" w:rsidRDefault="00ED0F37" w:rsidP="00FD68D3">
      <w:pPr>
        <w:jc w:val="center"/>
        <w:rPr>
          <w:b/>
          <w:sz w:val="28"/>
        </w:rPr>
      </w:pPr>
      <w:r>
        <w:rPr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-137371</wp:posOffset>
                </wp:positionH>
                <wp:positionV relativeFrom="paragraph">
                  <wp:posOffset>-235585</wp:posOffset>
                </wp:positionV>
                <wp:extent cx="1456266" cy="38100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266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F37" w:rsidRDefault="00ED0F37">
                            <w:r>
                              <w:t>Arbeitsblatt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10.8pt;margin-top:-18.55pt;width:114.6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" fillcolor="white [3201]" stroked="f" strokeweight=".5pt">
                <v:textbox>
                  <w:txbxContent>
                    <w:p w:rsidR="00ED0F37" w:rsidRDefault="00ED0F37">
                      <w:r>
                        <w:t>Arbeitsblatt</w:t>
                      </w:r>
                    </w:p>
                  </w:txbxContent>
                </v:textbox>
              </v:shape>
            </w:pict>
          </mc:Fallback>
        </mc:AlternateContent>
      </w:r>
      <w:r w:rsidR="00FD68D3" w:rsidRPr="00FD68D3">
        <w:rPr>
          <w:b/>
          <w:sz w:val="28"/>
        </w:rPr>
        <w:t>Faust-Inszenierung</w:t>
      </w:r>
    </w:p>
    <w:p w:rsidR="00FD68D3" w:rsidRDefault="00FD68D3">
      <w:pPr>
        <w:rPr>
          <w:sz w:val="28"/>
        </w:rPr>
      </w:pPr>
      <w:r>
        <w:rPr>
          <w:sz w:val="28"/>
        </w:rPr>
        <w:t>Wichtige Elemente der Regiekonzeption:</w:t>
      </w:r>
    </w:p>
    <w:p w:rsidR="00E807F8" w:rsidRDefault="00FD68D3">
      <w:pPr>
        <w:rPr>
          <w:sz w:val="28"/>
        </w:rPr>
      </w:pPr>
      <w:r>
        <w:rPr>
          <w:noProof/>
          <w:sz w:val="28"/>
          <w:lang w:eastAsia="de-DE"/>
        </w:rPr>
        <w:drawing>
          <wp:inline distT="0" distB="0" distL="0" distR="0">
            <wp:extent cx="5486400" cy="3200400"/>
            <wp:effectExtent l="0" t="0" r="0" b="19050"/>
            <wp:docPr id="2" name="Diagram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F653C" w:rsidRDefault="002F653C">
      <w:pPr>
        <w:rPr>
          <w:sz w:val="28"/>
        </w:rPr>
      </w:pPr>
    </w:p>
    <w:p w:rsidR="00F250CD" w:rsidRDefault="00F250CD">
      <w:pPr>
        <w:rPr>
          <w:sz w:val="28"/>
        </w:rPr>
      </w:pPr>
      <w:r>
        <w:rPr>
          <w:sz w:val="28"/>
        </w:rPr>
        <w:t>Aufgabenstellung: Erstellen Sie einen Inszenierungsplan für die Szene _______.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250CD" w:rsidTr="00ED0F37">
        <w:trPr>
          <w:trHeight w:val="794"/>
        </w:trPr>
        <w:tc>
          <w:tcPr>
            <w:tcW w:w="4606" w:type="dxa"/>
            <w:shd w:val="clear" w:color="auto" w:fill="BFBFBF" w:themeFill="background1" w:themeFillShade="BF"/>
            <w:vAlign w:val="center"/>
          </w:tcPr>
          <w:p w:rsidR="00F250CD" w:rsidRPr="00F250CD" w:rsidRDefault="00F250CD" w:rsidP="00ED0F37">
            <w:r w:rsidRPr="00F250CD">
              <w:rPr>
                <w:b/>
              </w:rPr>
              <w:t>Besetzung</w:t>
            </w:r>
            <w:r w:rsidRPr="00F250CD">
              <w:t>: Welche Schauspieler? (Mann, hager, M</w:t>
            </w:r>
            <w:r>
              <w:t>itte zwanzig</w:t>
            </w:r>
            <w:r w:rsidR="002F653C">
              <w:t>…</w:t>
            </w:r>
            <w:r>
              <w:t>)</w:t>
            </w:r>
          </w:p>
        </w:tc>
        <w:tc>
          <w:tcPr>
            <w:tcW w:w="4606" w:type="dxa"/>
            <w:shd w:val="clear" w:color="auto" w:fill="BFBFBF" w:themeFill="background1" w:themeFillShade="BF"/>
            <w:vAlign w:val="center"/>
          </w:tcPr>
          <w:p w:rsidR="00F250CD" w:rsidRPr="00F250CD" w:rsidRDefault="00F250CD" w:rsidP="00ED0F37">
            <w:r w:rsidRPr="00F250CD">
              <w:rPr>
                <w:b/>
              </w:rPr>
              <w:t>Spielweise</w:t>
            </w:r>
            <w:r>
              <w:t>: Wie sollten die Personen sprechen, agieren? Wo sollten sie an Schlüsselstellen stehen?</w:t>
            </w:r>
          </w:p>
        </w:tc>
      </w:tr>
      <w:tr w:rsidR="00F250CD" w:rsidTr="00F250CD">
        <w:trPr>
          <w:trHeight w:val="1417"/>
        </w:trPr>
        <w:tc>
          <w:tcPr>
            <w:tcW w:w="4606" w:type="dxa"/>
          </w:tcPr>
          <w:p w:rsidR="00F250CD" w:rsidRPr="00F250CD" w:rsidRDefault="00F250CD"/>
        </w:tc>
        <w:tc>
          <w:tcPr>
            <w:tcW w:w="4606" w:type="dxa"/>
          </w:tcPr>
          <w:p w:rsidR="00F250CD" w:rsidRPr="00F250CD" w:rsidRDefault="00F250CD"/>
        </w:tc>
      </w:tr>
      <w:tr w:rsidR="00F250CD" w:rsidTr="00F250CD">
        <w:tc>
          <w:tcPr>
            <w:tcW w:w="4606" w:type="dxa"/>
            <w:shd w:val="clear" w:color="auto" w:fill="BFBFBF" w:themeFill="background1" w:themeFillShade="BF"/>
          </w:tcPr>
          <w:p w:rsidR="00F250CD" w:rsidRPr="00F250CD" w:rsidRDefault="00F250CD">
            <w:pPr>
              <w:rPr>
                <w:b/>
              </w:rPr>
            </w:pPr>
            <w:r>
              <w:rPr>
                <w:b/>
              </w:rPr>
              <w:t>Bühnenbild, Requisiten, Kostüme, Schminke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F250CD" w:rsidRPr="00F250CD" w:rsidRDefault="00F250CD">
            <w:r>
              <w:rPr>
                <w:b/>
              </w:rPr>
              <w:t>Integration zusätzlicher Medien:</w:t>
            </w:r>
            <w:r>
              <w:t xml:space="preserve"> Ton, Musik,</w:t>
            </w:r>
          </w:p>
        </w:tc>
      </w:tr>
      <w:tr w:rsidR="00F250CD" w:rsidTr="00F250CD">
        <w:trPr>
          <w:trHeight w:val="1417"/>
        </w:trPr>
        <w:tc>
          <w:tcPr>
            <w:tcW w:w="4606" w:type="dxa"/>
          </w:tcPr>
          <w:p w:rsidR="00F250CD" w:rsidRPr="00F250CD" w:rsidRDefault="00F250CD"/>
        </w:tc>
        <w:tc>
          <w:tcPr>
            <w:tcW w:w="4606" w:type="dxa"/>
          </w:tcPr>
          <w:p w:rsidR="00F250CD" w:rsidRPr="00F250CD" w:rsidRDefault="00F250CD"/>
        </w:tc>
      </w:tr>
      <w:tr w:rsidR="00F250CD" w:rsidTr="00ED0F37">
        <w:tc>
          <w:tcPr>
            <w:tcW w:w="4606" w:type="dxa"/>
            <w:shd w:val="clear" w:color="auto" w:fill="BFBFBF" w:themeFill="background1" w:themeFillShade="BF"/>
            <w:vAlign w:val="center"/>
          </w:tcPr>
          <w:p w:rsidR="00F250CD" w:rsidRPr="00F250CD" w:rsidRDefault="00F250CD" w:rsidP="00ED0F37">
            <w:pPr>
              <w:rPr>
                <w:b/>
              </w:rPr>
            </w:pPr>
            <w:r>
              <w:rPr>
                <w:b/>
              </w:rPr>
              <w:t>Einsatz von L</w:t>
            </w:r>
            <w:r w:rsidR="00ED0F37">
              <w:rPr>
                <w:b/>
              </w:rPr>
              <w:t>i</w:t>
            </w:r>
            <w:r>
              <w:rPr>
                <w:b/>
              </w:rPr>
              <w:t>cht</w:t>
            </w:r>
          </w:p>
        </w:tc>
        <w:tc>
          <w:tcPr>
            <w:tcW w:w="4606" w:type="dxa"/>
            <w:shd w:val="clear" w:color="auto" w:fill="BFBFBF" w:themeFill="background1" w:themeFillShade="BF"/>
            <w:vAlign w:val="center"/>
          </w:tcPr>
          <w:p w:rsidR="00F250CD" w:rsidRPr="00F250CD" w:rsidRDefault="00F250CD" w:rsidP="00ED0F37">
            <w:r w:rsidRPr="00F250CD">
              <w:rPr>
                <w:b/>
              </w:rPr>
              <w:t xml:space="preserve">Umgang mit dem Dramentext: </w:t>
            </w:r>
            <w:r w:rsidR="002F653C">
              <w:rPr>
                <w:b/>
              </w:rPr>
              <w:t xml:space="preserve">z.B. </w:t>
            </w:r>
            <w:proofErr w:type="spellStart"/>
            <w:r w:rsidR="002F653C">
              <w:t>textnah</w:t>
            </w:r>
            <w:proofErr w:type="spellEnd"/>
            <w:r w:rsidR="002F653C">
              <w:t>, verfremdet (z.B. modern), gekürzt</w:t>
            </w:r>
          </w:p>
        </w:tc>
      </w:tr>
      <w:tr w:rsidR="00F250CD" w:rsidTr="00F250CD">
        <w:trPr>
          <w:trHeight w:val="1474"/>
        </w:trPr>
        <w:tc>
          <w:tcPr>
            <w:tcW w:w="4606" w:type="dxa"/>
          </w:tcPr>
          <w:p w:rsidR="00F250CD" w:rsidRPr="00F250CD" w:rsidRDefault="00F250CD"/>
        </w:tc>
        <w:tc>
          <w:tcPr>
            <w:tcW w:w="4606" w:type="dxa"/>
          </w:tcPr>
          <w:p w:rsidR="00F250CD" w:rsidRPr="00F250CD" w:rsidRDefault="00F250CD"/>
        </w:tc>
      </w:tr>
    </w:tbl>
    <w:p w:rsidR="002F653C" w:rsidRDefault="002F653C" w:rsidP="00F250CD">
      <w:pPr>
        <w:spacing w:line="240" w:lineRule="auto"/>
        <w:rPr>
          <w:sz w:val="28"/>
        </w:rPr>
      </w:pPr>
    </w:p>
    <w:p w:rsidR="00E807F8" w:rsidRPr="00ED0F37" w:rsidRDefault="00ED0F37" w:rsidP="00ED0F37">
      <w:pPr>
        <w:spacing w:line="240" w:lineRule="auto"/>
        <w:jc w:val="right"/>
        <w:rPr>
          <w:color w:val="FF0000"/>
          <w:sz w:val="28"/>
        </w:rPr>
      </w:pPr>
      <w:r>
        <w:rPr>
          <w:color w:val="FF0000"/>
          <w:sz w:val="28"/>
        </w:rPr>
        <w:lastRenderedPageBreak/>
        <w:t>Hinweise für die Lehrkraft</w:t>
      </w:r>
    </w:p>
    <w:p w:rsidR="002F653C" w:rsidRDefault="002F653C" w:rsidP="00F250CD">
      <w:pPr>
        <w:spacing w:line="240" w:lineRule="auto"/>
        <w:rPr>
          <w:sz w:val="28"/>
        </w:rPr>
      </w:pPr>
      <w:r>
        <w:rPr>
          <w:sz w:val="28"/>
        </w:rPr>
        <w:t>Weitere mögliche Aufgabenstellungen:</w:t>
      </w:r>
    </w:p>
    <w:p w:rsidR="002F653C" w:rsidRDefault="002F653C" w:rsidP="002F653C">
      <w:pPr>
        <w:pStyle w:val="Listenabsatz"/>
        <w:numPr>
          <w:ilvl w:val="0"/>
          <w:numId w:val="1"/>
        </w:numPr>
        <w:spacing w:line="240" w:lineRule="auto"/>
        <w:rPr>
          <w:sz w:val="28"/>
        </w:rPr>
      </w:pPr>
      <w:r w:rsidRPr="002F653C">
        <w:rPr>
          <w:b/>
          <w:sz w:val="28"/>
        </w:rPr>
        <w:t xml:space="preserve">Vergleich verschiedener Inszenierungen einer Szene </w:t>
      </w:r>
      <w:r>
        <w:rPr>
          <w:sz w:val="28"/>
        </w:rPr>
        <w:t>anhand des Inszenierungsplans.</w:t>
      </w:r>
    </w:p>
    <w:p w:rsidR="002F653C" w:rsidRDefault="002F653C" w:rsidP="002F653C">
      <w:pPr>
        <w:pStyle w:val="Listenabsatz"/>
        <w:numPr>
          <w:ilvl w:val="0"/>
          <w:numId w:val="1"/>
        </w:numPr>
        <w:spacing w:line="240" w:lineRule="auto"/>
        <w:rPr>
          <w:sz w:val="28"/>
        </w:rPr>
      </w:pPr>
      <w:r w:rsidRPr="002F653C">
        <w:rPr>
          <w:b/>
          <w:sz w:val="28"/>
        </w:rPr>
        <w:t>Beurteilung einer Inszenierung anhand des Inszenierungsplans</w:t>
      </w:r>
      <w:r>
        <w:rPr>
          <w:sz w:val="28"/>
        </w:rPr>
        <w:t>; z.B. könnten vor einem Theaterbesuch die verschiedenen Kategorien mit einem Beobachtungsauftrag an unterschiedliche Schülergruppen ausgegeben werden.</w:t>
      </w:r>
    </w:p>
    <w:p w:rsidR="00ED0F37" w:rsidRPr="00ED0F37" w:rsidRDefault="002F653C" w:rsidP="00ED0F37">
      <w:pPr>
        <w:pStyle w:val="Listenabsatz"/>
        <w:numPr>
          <w:ilvl w:val="0"/>
          <w:numId w:val="1"/>
        </w:numPr>
        <w:spacing w:line="240" w:lineRule="auto"/>
        <w:rPr>
          <w:sz w:val="28"/>
        </w:rPr>
      </w:pPr>
      <w:r w:rsidRPr="00ED0F37">
        <w:rPr>
          <w:b/>
          <w:sz w:val="28"/>
        </w:rPr>
        <w:t>Inszenierung verschiedener Szenen</w:t>
      </w:r>
      <w:r w:rsidR="00ED0F37" w:rsidRPr="00ED0F37">
        <w:rPr>
          <w:b/>
          <w:sz w:val="28"/>
        </w:rPr>
        <w:t>;</w:t>
      </w:r>
      <w:r w:rsidR="00ED0F37" w:rsidRPr="00ED0F37">
        <w:rPr>
          <w:sz w:val="28"/>
        </w:rPr>
        <w:t xml:space="preserve"> der Inszenierungsplan hilft bei der Vorbereitung. </w:t>
      </w:r>
      <w:r w:rsidR="00ED0F37" w:rsidRPr="00ED0F37">
        <w:rPr>
          <w:sz w:val="28"/>
        </w:rPr>
        <w:t xml:space="preserve">Der Schwerpunkt liegt auf </w:t>
      </w:r>
      <w:r w:rsidR="00ED0F37" w:rsidRPr="00ED0F37">
        <w:rPr>
          <w:i/>
          <w:sz w:val="28"/>
        </w:rPr>
        <w:t>Strichfassung</w:t>
      </w:r>
      <w:r w:rsidR="00ED0F37" w:rsidRPr="00ED0F37">
        <w:rPr>
          <w:sz w:val="28"/>
        </w:rPr>
        <w:t xml:space="preserve"> und </w:t>
      </w:r>
      <w:r w:rsidR="00ED0F37" w:rsidRPr="00ED0F37">
        <w:rPr>
          <w:i/>
          <w:sz w:val="28"/>
        </w:rPr>
        <w:t>Spielweise</w:t>
      </w:r>
      <w:r w:rsidR="00ED0F37" w:rsidRPr="00ED0F37">
        <w:rPr>
          <w:sz w:val="28"/>
        </w:rPr>
        <w:t>.</w:t>
      </w:r>
      <w:r w:rsidRPr="00ED0F37">
        <w:rPr>
          <w:b/>
          <w:sz w:val="28"/>
        </w:rPr>
        <w:br/>
      </w:r>
      <w:r w:rsidR="00ED0F37" w:rsidRPr="00ED0F37">
        <w:rPr>
          <w:sz w:val="28"/>
          <w:u w:val="single"/>
        </w:rPr>
        <w:t>Beispiel</w:t>
      </w:r>
      <w:r w:rsidRPr="00ED0F37">
        <w:rPr>
          <w:sz w:val="28"/>
          <w:u w:val="single"/>
        </w:rPr>
        <w:t xml:space="preserve"> Gretchentragödie</w:t>
      </w:r>
      <w:r w:rsidR="00ED0F37" w:rsidRPr="00ED0F37">
        <w:rPr>
          <w:sz w:val="28"/>
          <w:u w:val="single"/>
        </w:rPr>
        <w:t>:</w:t>
      </w:r>
      <w:r w:rsidR="00ED0F37" w:rsidRPr="00ED0F37">
        <w:rPr>
          <w:sz w:val="28"/>
        </w:rPr>
        <w:t xml:space="preserve"> Entwicklung der Beziehung, Verführung</w:t>
      </w:r>
      <w:r w:rsidRPr="00ED0F37">
        <w:rPr>
          <w:sz w:val="28"/>
        </w:rPr>
        <w:br/>
        <w:t xml:space="preserve">Die Szenen </w:t>
      </w:r>
      <w:r w:rsidR="00ED0F37" w:rsidRPr="00ED0F37">
        <w:rPr>
          <w:sz w:val="28"/>
        </w:rPr>
        <w:t>„Straße (1)“, „Ein Gartenhäuschen“, „</w:t>
      </w:r>
      <w:proofErr w:type="spellStart"/>
      <w:r w:rsidR="00ED0F37" w:rsidRPr="00ED0F37">
        <w:rPr>
          <w:sz w:val="28"/>
        </w:rPr>
        <w:t>Marthens</w:t>
      </w:r>
      <w:proofErr w:type="spellEnd"/>
      <w:r w:rsidR="00ED0F37" w:rsidRPr="00ED0F37">
        <w:rPr>
          <w:sz w:val="28"/>
        </w:rPr>
        <w:t xml:space="preserve"> Garten“</w:t>
      </w:r>
      <w:r w:rsidR="00ED0F37" w:rsidRPr="00ED0F37">
        <w:rPr>
          <w:sz w:val="28"/>
        </w:rPr>
        <w:br/>
        <w:t xml:space="preserve">werden von den Lernenden vorbereitet. Dafür fertigen sie </w:t>
      </w:r>
      <w:proofErr w:type="spellStart"/>
      <w:r w:rsidR="00ED0F37" w:rsidRPr="00ED0F37">
        <w:rPr>
          <w:sz w:val="28"/>
        </w:rPr>
        <w:t>Strichfas</w:t>
      </w:r>
      <w:r w:rsidR="00ED0F37">
        <w:rPr>
          <w:sz w:val="28"/>
        </w:rPr>
        <w:t>-</w:t>
      </w:r>
      <w:r w:rsidR="00ED0F37" w:rsidRPr="00ED0F37">
        <w:rPr>
          <w:sz w:val="28"/>
        </w:rPr>
        <w:t>sungen</w:t>
      </w:r>
      <w:proofErr w:type="spellEnd"/>
      <w:r w:rsidR="00ED0F37" w:rsidRPr="00ED0F37">
        <w:rPr>
          <w:sz w:val="28"/>
        </w:rPr>
        <w:t xml:space="preserve"> an. Es werden jeweils die Rollen Faust, Gretchen und Mephisto</w:t>
      </w:r>
      <w:r w:rsidR="00ED0F37">
        <w:rPr>
          <w:sz w:val="28"/>
        </w:rPr>
        <w:t>-</w:t>
      </w:r>
      <w:bookmarkStart w:id="0" w:name="_GoBack"/>
      <w:bookmarkEnd w:id="0"/>
      <w:proofErr w:type="spellStart"/>
      <w:r w:rsidR="00ED0F37" w:rsidRPr="00ED0F37">
        <w:rPr>
          <w:sz w:val="28"/>
        </w:rPr>
        <w:t>pheles</w:t>
      </w:r>
      <w:proofErr w:type="spellEnd"/>
      <w:r w:rsidR="00ED0F37" w:rsidRPr="00ED0F37">
        <w:rPr>
          <w:sz w:val="28"/>
        </w:rPr>
        <w:t xml:space="preserve"> zwei Mal vergeben. Jeweils einer liest, ein anderer spielt die Strichfassung der Szene</w:t>
      </w:r>
      <w:r w:rsidR="00ED0F37">
        <w:rPr>
          <w:sz w:val="28"/>
        </w:rPr>
        <w:t>.</w:t>
      </w:r>
    </w:p>
    <w:p w:rsidR="00FD68D3" w:rsidRPr="00F250CD" w:rsidRDefault="00F250CD" w:rsidP="00F250CD">
      <w:pPr>
        <w:jc w:val="right"/>
        <w:rPr>
          <w:color w:val="FF0000"/>
          <w:sz w:val="28"/>
        </w:rPr>
      </w:pPr>
      <w:r>
        <w:rPr>
          <w:color w:val="FF0000"/>
          <w:sz w:val="28"/>
        </w:rPr>
        <w:t>Lösungshinweise</w:t>
      </w:r>
      <w:r w:rsidR="00ED0F37">
        <w:rPr>
          <w:color w:val="FF0000"/>
          <w:sz w:val="28"/>
        </w:rPr>
        <w:t xml:space="preserve"> Tafelbild</w:t>
      </w:r>
      <w:r w:rsidR="00ED0F37">
        <w:rPr>
          <w:color w:val="FF0000"/>
          <w:sz w:val="28"/>
        </w:rPr>
        <w:br/>
        <w:t>Wichtige Elemente der Regiekonzeption vorstellen</w:t>
      </w:r>
    </w:p>
    <w:p w:rsidR="00F250CD" w:rsidRPr="00FD68D3" w:rsidRDefault="00F250CD">
      <w:pPr>
        <w:rPr>
          <w:sz w:val="28"/>
        </w:rPr>
      </w:pPr>
      <w:r>
        <w:rPr>
          <w:noProof/>
          <w:lang w:eastAsia="de-DE"/>
        </w:rPr>
        <w:drawing>
          <wp:inline distT="0" distB="0" distL="0" distR="0" wp14:anchorId="5BD58623" wp14:editId="2987E1C1">
            <wp:extent cx="5760720" cy="404340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4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0CD" w:rsidRPr="00FD68D3" w:rsidSect="00F250CD">
      <w:headerReference w:type="default" r:id="rId14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4A0" w:rsidRDefault="003F44A0" w:rsidP="00FD68D3">
      <w:pPr>
        <w:spacing w:after="0" w:line="240" w:lineRule="auto"/>
      </w:pPr>
      <w:r>
        <w:separator/>
      </w:r>
    </w:p>
  </w:endnote>
  <w:endnote w:type="continuationSeparator" w:id="0">
    <w:p w:rsidR="003F44A0" w:rsidRDefault="003F44A0" w:rsidP="00FD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00"/>
    <w:family w:val="swiss"/>
    <w:pitch w:val="variable"/>
    <w:sig w:usb0="00000001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4A0" w:rsidRDefault="003F44A0" w:rsidP="00FD68D3">
      <w:pPr>
        <w:spacing w:after="0" w:line="240" w:lineRule="auto"/>
      </w:pPr>
      <w:r>
        <w:separator/>
      </w:r>
    </w:p>
  </w:footnote>
  <w:footnote w:type="continuationSeparator" w:id="0">
    <w:p w:rsidR="003F44A0" w:rsidRDefault="003F44A0" w:rsidP="00FD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CD" w:rsidRPr="00891391" w:rsidRDefault="00F250CD" w:rsidP="00F250CD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155"/>
        <w:tab w:val="left" w:pos="1200"/>
      </w:tabs>
      <w:rPr>
        <w:rFonts w:ascii="Verdana" w:hAnsi="Verdana"/>
      </w:rPr>
    </w:pPr>
    <w:r>
      <w:rPr>
        <w:noProof/>
      </w:rPr>
      <w:drawing>
        <wp:inline distT="0" distB="0" distL="0" distR="0" wp14:anchorId="02359153" wp14:editId="5C14C862">
          <wp:extent cx="391886" cy="354322"/>
          <wp:effectExtent l="0" t="0" r="8255" b="8255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907" cy="356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149CC">
      <w:rPr>
        <w:rFonts w:ascii="Verdana" w:hAnsi="Verdana"/>
      </w:rPr>
      <w:tab/>
    </w:r>
    <w:r w:rsidRPr="00891391">
      <w:rPr>
        <w:rFonts w:ascii="Verdana" w:hAnsi="Verdana"/>
      </w:rPr>
      <w:t>Landesbildungsserver Fachredaktion Deutsch (www.deutsch-bw.de)</w:t>
    </w:r>
  </w:p>
  <w:p w:rsidR="00F250CD" w:rsidRDefault="00F250CD">
    <w:pPr>
      <w:pStyle w:val="Kopfzeile"/>
      <w:rPr>
        <w:u w:val="single"/>
      </w:rPr>
    </w:pPr>
  </w:p>
  <w:p w:rsidR="00FD68D3" w:rsidRDefault="002F653C" w:rsidP="002F653C">
    <w:pPr>
      <w:pStyle w:val="Kopfzeile"/>
    </w:pPr>
    <w:r>
      <w:tab/>
    </w:r>
    <w:r>
      <w:tab/>
    </w:r>
    <w:r w:rsidR="00FD68D3" w:rsidRPr="00F250CD">
      <w:t>FAUST</w:t>
    </w:r>
    <w:r w:rsidR="00F250CD">
      <w:t xml:space="preserve">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578DE"/>
    <w:multiLevelType w:val="hybridMultilevel"/>
    <w:tmpl w:val="436275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D3"/>
    <w:rsid w:val="00297609"/>
    <w:rsid w:val="002F653C"/>
    <w:rsid w:val="003F44A0"/>
    <w:rsid w:val="00E807F8"/>
    <w:rsid w:val="00E8608F"/>
    <w:rsid w:val="00ED0F37"/>
    <w:rsid w:val="00F00C86"/>
    <w:rsid w:val="00F250CD"/>
    <w:rsid w:val="00F93E98"/>
    <w:rsid w:val="00FD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D6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68D3"/>
  </w:style>
  <w:style w:type="paragraph" w:styleId="Fuzeile">
    <w:name w:val="footer"/>
    <w:basedOn w:val="Standard"/>
    <w:link w:val="FuzeileZchn"/>
    <w:uiPriority w:val="99"/>
    <w:unhideWhenUsed/>
    <w:rsid w:val="00FD6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68D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8D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2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F6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D6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68D3"/>
  </w:style>
  <w:style w:type="paragraph" w:styleId="Fuzeile">
    <w:name w:val="footer"/>
    <w:basedOn w:val="Standard"/>
    <w:link w:val="FuzeileZchn"/>
    <w:uiPriority w:val="99"/>
    <w:unhideWhenUsed/>
    <w:rsid w:val="00FD6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68D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8D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2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F6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1E740F-0C9C-45BF-BCBC-CB7965F5EC21}" type="doc">
      <dgm:prSet loTypeId="urn:microsoft.com/office/officeart/2005/8/layout/radial4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de-DE"/>
        </a:p>
      </dgm:t>
    </dgm:pt>
    <dgm:pt modelId="{737ADE5D-8DF1-4EDB-A628-4AF3BEFF7DDD}">
      <dgm:prSet phldrT="[Text]"/>
      <dgm:spPr/>
      <dgm:t>
        <a:bodyPr/>
        <a:lstStyle/>
        <a:p>
          <a:r>
            <a:rPr lang="de-DE" b="1"/>
            <a:t>Interpretation der Szene</a:t>
          </a:r>
          <a:r>
            <a:rPr lang="de-DE"/>
            <a:t>, der Figuren und Themen</a:t>
          </a:r>
        </a:p>
      </dgm:t>
    </dgm:pt>
    <dgm:pt modelId="{4EFDFD62-CC75-42A0-A60E-75C1D8C75A05}" type="parTrans" cxnId="{B3A8B38C-741C-488C-95B2-19AF9D52FA72}">
      <dgm:prSet/>
      <dgm:spPr/>
      <dgm:t>
        <a:bodyPr/>
        <a:lstStyle/>
        <a:p>
          <a:endParaRPr lang="de-DE"/>
        </a:p>
      </dgm:t>
    </dgm:pt>
    <dgm:pt modelId="{25C028CD-13B0-431F-A187-3DE066A28E36}" type="sibTrans" cxnId="{B3A8B38C-741C-488C-95B2-19AF9D52FA72}">
      <dgm:prSet/>
      <dgm:spPr/>
      <dgm:t>
        <a:bodyPr/>
        <a:lstStyle/>
        <a:p>
          <a:endParaRPr lang="de-DE"/>
        </a:p>
      </dgm:t>
    </dgm:pt>
    <dgm:pt modelId="{2789650A-B5F3-4D98-87F5-E5A79FCE2593}">
      <dgm:prSet phldrT="[Text]"/>
      <dgm:spPr/>
      <dgm:t>
        <a:bodyPr/>
        <a:lstStyle/>
        <a:p>
          <a:r>
            <a:rPr lang="de-DE"/>
            <a:t> </a:t>
          </a:r>
        </a:p>
      </dgm:t>
    </dgm:pt>
    <dgm:pt modelId="{6BAEB2C2-B50F-40D8-926D-E684670529BD}" type="parTrans" cxnId="{2C43B34B-B717-49CA-8BCD-F5E4FCAC4140}">
      <dgm:prSet/>
      <dgm:spPr/>
      <dgm:t>
        <a:bodyPr/>
        <a:lstStyle/>
        <a:p>
          <a:endParaRPr lang="de-DE"/>
        </a:p>
      </dgm:t>
    </dgm:pt>
    <dgm:pt modelId="{255EE7D9-D9A6-4432-9D06-F2AC70B1F50E}" type="sibTrans" cxnId="{2C43B34B-B717-49CA-8BCD-F5E4FCAC4140}">
      <dgm:prSet/>
      <dgm:spPr/>
      <dgm:t>
        <a:bodyPr/>
        <a:lstStyle/>
        <a:p>
          <a:endParaRPr lang="de-DE"/>
        </a:p>
      </dgm:t>
    </dgm:pt>
    <dgm:pt modelId="{4311D2AB-FAAB-42C8-8BA9-F8E7B6225B11}">
      <dgm:prSet phldrT="[Text]"/>
      <dgm:spPr/>
      <dgm:t>
        <a:bodyPr/>
        <a:lstStyle/>
        <a:p>
          <a:r>
            <a:rPr lang="de-DE"/>
            <a:t> </a:t>
          </a:r>
        </a:p>
      </dgm:t>
    </dgm:pt>
    <dgm:pt modelId="{834ED78F-2FAF-44C4-9C7A-637A21EA19A6}" type="parTrans" cxnId="{7BB1C84E-5B10-49DF-A457-6034FBFD4EA8}">
      <dgm:prSet/>
      <dgm:spPr/>
      <dgm:t>
        <a:bodyPr/>
        <a:lstStyle/>
        <a:p>
          <a:endParaRPr lang="de-DE"/>
        </a:p>
      </dgm:t>
    </dgm:pt>
    <dgm:pt modelId="{6F177876-89E7-46C5-AD78-EAE3F60AA7E2}" type="sibTrans" cxnId="{7BB1C84E-5B10-49DF-A457-6034FBFD4EA8}">
      <dgm:prSet/>
      <dgm:spPr/>
      <dgm:t>
        <a:bodyPr/>
        <a:lstStyle/>
        <a:p>
          <a:endParaRPr lang="de-DE"/>
        </a:p>
      </dgm:t>
    </dgm:pt>
    <dgm:pt modelId="{64FE4B48-23BE-4D59-87D7-7F5A241AFEC6}">
      <dgm:prSet phldrT="[Text]"/>
      <dgm:spPr/>
      <dgm:t>
        <a:bodyPr/>
        <a:lstStyle/>
        <a:p>
          <a:r>
            <a:rPr lang="de-DE"/>
            <a:t> </a:t>
          </a:r>
        </a:p>
      </dgm:t>
    </dgm:pt>
    <dgm:pt modelId="{3BCB7AA8-2DC9-498B-806B-019A7EF5BAA2}" type="parTrans" cxnId="{D122E280-A625-4D0D-8D74-8803FC5307F0}">
      <dgm:prSet/>
      <dgm:spPr/>
      <dgm:t>
        <a:bodyPr/>
        <a:lstStyle/>
        <a:p>
          <a:endParaRPr lang="de-DE"/>
        </a:p>
      </dgm:t>
    </dgm:pt>
    <dgm:pt modelId="{7A4CE643-CE31-4C7B-8301-ED8DC317C97C}" type="sibTrans" cxnId="{D122E280-A625-4D0D-8D74-8803FC5307F0}">
      <dgm:prSet/>
      <dgm:spPr/>
      <dgm:t>
        <a:bodyPr/>
        <a:lstStyle/>
        <a:p>
          <a:endParaRPr lang="de-DE"/>
        </a:p>
      </dgm:t>
    </dgm:pt>
    <dgm:pt modelId="{6CD1D224-735A-4AA1-A793-4DDB53172FAF}">
      <dgm:prSet phldrT="[Text]"/>
      <dgm:spPr/>
      <dgm:t>
        <a:bodyPr/>
        <a:lstStyle/>
        <a:p>
          <a:r>
            <a:rPr lang="de-DE"/>
            <a:t> </a:t>
          </a:r>
        </a:p>
      </dgm:t>
    </dgm:pt>
    <dgm:pt modelId="{276D9CE8-DEC4-4508-AE39-21F837AE1447}" type="parTrans" cxnId="{4F574165-A6F2-4442-B1B3-64D4A1F6FF84}">
      <dgm:prSet/>
      <dgm:spPr/>
      <dgm:t>
        <a:bodyPr/>
        <a:lstStyle/>
        <a:p>
          <a:endParaRPr lang="de-DE"/>
        </a:p>
      </dgm:t>
    </dgm:pt>
    <dgm:pt modelId="{F64A7447-ACB1-42B6-B772-043CCD23C7C8}" type="sibTrans" cxnId="{4F574165-A6F2-4442-B1B3-64D4A1F6FF84}">
      <dgm:prSet/>
      <dgm:spPr/>
      <dgm:t>
        <a:bodyPr/>
        <a:lstStyle/>
        <a:p>
          <a:endParaRPr lang="de-DE"/>
        </a:p>
      </dgm:t>
    </dgm:pt>
    <dgm:pt modelId="{2C79F593-435F-4719-8285-194C51A9152E}">
      <dgm:prSet phldrT="[Text]"/>
      <dgm:spPr/>
      <dgm:t>
        <a:bodyPr/>
        <a:lstStyle/>
        <a:p>
          <a:r>
            <a:rPr lang="de-DE"/>
            <a:t> </a:t>
          </a:r>
        </a:p>
      </dgm:t>
    </dgm:pt>
    <dgm:pt modelId="{9B97EAF2-F50C-4CCD-A88D-794CE282B4B9}" type="parTrans" cxnId="{016FC8C6-5365-4C44-9031-392433A5FACE}">
      <dgm:prSet/>
      <dgm:spPr/>
      <dgm:t>
        <a:bodyPr/>
        <a:lstStyle/>
        <a:p>
          <a:endParaRPr lang="de-DE"/>
        </a:p>
      </dgm:t>
    </dgm:pt>
    <dgm:pt modelId="{32E67D2D-44A1-43E8-AB93-A6CC03808D36}" type="sibTrans" cxnId="{016FC8C6-5365-4C44-9031-392433A5FACE}">
      <dgm:prSet/>
      <dgm:spPr/>
      <dgm:t>
        <a:bodyPr/>
        <a:lstStyle/>
        <a:p>
          <a:endParaRPr lang="de-DE"/>
        </a:p>
      </dgm:t>
    </dgm:pt>
    <dgm:pt modelId="{C8AE5A70-64B8-4A19-9221-C1167225A12F}">
      <dgm:prSet phldrT="[Text]"/>
      <dgm:spPr/>
      <dgm:t>
        <a:bodyPr/>
        <a:lstStyle/>
        <a:p>
          <a:endParaRPr lang="de-DE"/>
        </a:p>
      </dgm:t>
    </dgm:pt>
    <dgm:pt modelId="{1D59B901-D1F9-44E5-94F2-B36F896E1691}" type="parTrans" cxnId="{A704EE14-7588-400B-B3CB-EC8AC752C1C2}">
      <dgm:prSet/>
      <dgm:spPr/>
      <dgm:t>
        <a:bodyPr/>
        <a:lstStyle/>
        <a:p>
          <a:endParaRPr lang="de-DE"/>
        </a:p>
      </dgm:t>
    </dgm:pt>
    <dgm:pt modelId="{5B6DAD8A-F3FE-4EAD-8135-E89DA0211BCF}" type="sibTrans" cxnId="{A704EE14-7588-400B-B3CB-EC8AC752C1C2}">
      <dgm:prSet/>
      <dgm:spPr/>
      <dgm:t>
        <a:bodyPr/>
        <a:lstStyle/>
        <a:p>
          <a:endParaRPr lang="de-DE"/>
        </a:p>
      </dgm:t>
    </dgm:pt>
    <dgm:pt modelId="{DBF5DEA5-BE90-4F1C-AD6E-267F7A937E9B}" type="pres">
      <dgm:prSet presAssocID="{2D1E740F-0C9C-45BF-BCBC-CB7965F5EC21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03A255CD-8068-49EB-BF68-E6B04BA5BC95}" type="pres">
      <dgm:prSet presAssocID="{737ADE5D-8DF1-4EDB-A628-4AF3BEFF7DDD}" presName="centerShape" presStyleLbl="node0" presStyleIdx="0" presStyleCnt="1"/>
      <dgm:spPr/>
      <dgm:t>
        <a:bodyPr/>
        <a:lstStyle/>
        <a:p>
          <a:endParaRPr lang="de-DE"/>
        </a:p>
      </dgm:t>
    </dgm:pt>
    <dgm:pt modelId="{C44E7E8F-C56A-487B-AFA9-EF2257D06C3A}" type="pres">
      <dgm:prSet presAssocID="{6BAEB2C2-B50F-40D8-926D-E684670529BD}" presName="parTrans" presStyleLbl="bgSibTrans2D1" presStyleIdx="0" presStyleCnt="6"/>
      <dgm:spPr/>
      <dgm:t>
        <a:bodyPr/>
        <a:lstStyle/>
        <a:p>
          <a:endParaRPr lang="de-DE"/>
        </a:p>
      </dgm:t>
    </dgm:pt>
    <dgm:pt modelId="{A362DF81-5263-40BC-A535-686E94A0A4B3}" type="pres">
      <dgm:prSet presAssocID="{2789650A-B5F3-4D98-87F5-E5A79FCE2593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D1F8E574-5D91-41E3-AEB5-0269EC6B39C2}" type="pres">
      <dgm:prSet presAssocID="{834ED78F-2FAF-44C4-9C7A-637A21EA19A6}" presName="parTrans" presStyleLbl="bgSibTrans2D1" presStyleIdx="1" presStyleCnt="6"/>
      <dgm:spPr/>
      <dgm:t>
        <a:bodyPr/>
        <a:lstStyle/>
        <a:p>
          <a:endParaRPr lang="de-DE"/>
        </a:p>
      </dgm:t>
    </dgm:pt>
    <dgm:pt modelId="{461B6F8F-789F-4FE2-A7A9-C812E35048FA}" type="pres">
      <dgm:prSet presAssocID="{4311D2AB-FAAB-42C8-8BA9-F8E7B6225B11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5F5D4D93-E4A5-4119-8559-8E19058BB0F3}" type="pres">
      <dgm:prSet presAssocID="{3BCB7AA8-2DC9-498B-806B-019A7EF5BAA2}" presName="parTrans" presStyleLbl="bgSibTrans2D1" presStyleIdx="2" presStyleCnt="6"/>
      <dgm:spPr/>
      <dgm:t>
        <a:bodyPr/>
        <a:lstStyle/>
        <a:p>
          <a:endParaRPr lang="de-DE"/>
        </a:p>
      </dgm:t>
    </dgm:pt>
    <dgm:pt modelId="{8CBE2DCC-DA41-4DF6-89C9-3DBA85192279}" type="pres">
      <dgm:prSet presAssocID="{64FE4B48-23BE-4D59-87D7-7F5A241AFEC6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B1914271-2B4E-4E38-807F-EE0855AA445B}" type="pres">
      <dgm:prSet presAssocID="{276D9CE8-DEC4-4508-AE39-21F837AE1447}" presName="parTrans" presStyleLbl="bgSibTrans2D1" presStyleIdx="3" presStyleCnt="6"/>
      <dgm:spPr/>
      <dgm:t>
        <a:bodyPr/>
        <a:lstStyle/>
        <a:p>
          <a:endParaRPr lang="de-DE"/>
        </a:p>
      </dgm:t>
    </dgm:pt>
    <dgm:pt modelId="{A74B02C0-327F-4229-8347-4CAE6A8E5DBB}" type="pres">
      <dgm:prSet presAssocID="{6CD1D224-735A-4AA1-A793-4DDB53172FAF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148ADABB-B72E-445A-B315-6705F27B565C}" type="pres">
      <dgm:prSet presAssocID="{9B97EAF2-F50C-4CCD-A88D-794CE282B4B9}" presName="parTrans" presStyleLbl="bgSibTrans2D1" presStyleIdx="4" presStyleCnt="6"/>
      <dgm:spPr/>
      <dgm:t>
        <a:bodyPr/>
        <a:lstStyle/>
        <a:p>
          <a:endParaRPr lang="de-DE"/>
        </a:p>
      </dgm:t>
    </dgm:pt>
    <dgm:pt modelId="{27311E9D-3B38-4DEB-A173-7B012E0E57EE}" type="pres">
      <dgm:prSet presAssocID="{2C79F593-435F-4719-8285-194C51A9152E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D478864C-2038-41E1-963B-13098B2BAD42}" type="pres">
      <dgm:prSet presAssocID="{1D59B901-D1F9-44E5-94F2-B36F896E1691}" presName="parTrans" presStyleLbl="bgSibTrans2D1" presStyleIdx="5" presStyleCnt="6"/>
      <dgm:spPr/>
      <dgm:t>
        <a:bodyPr/>
        <a:lstStyle/>
        <a:p>
          <a:endParaRPr lang="de-DE"/>
        </a:p>
      </dgm:t>
    </dgm:pt>
    <dgm:pt modelId="{B72E3DCC-9AB3-4B33-BFF0-57DB8D92D546}" type="pres">
      <dgm:prSet presAssocID="{C8AE5A70-64B8-4A19-9221-C1167225A12F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16B250BA-823B-4AC9-8713-E57054DF19C6}" type="presOf" srcId="{64FE4B48-23BE-4D59-87D7-7F5A241AFEC6}" destId="{8CBE2DCC-DA41-4DF6-89C9-3DBA85192279}" srcOrd="0" destOrd="0" presId="urn:microsoft.com/office/officeart/2005/8/layout/radial4"/>
    <dgm:cxn modelId="{7BB1C84E-5B10-49DF-A457-6034FBFD4EA8}" srcId="{737ADE5D-8DF1-4EDB-A628-4AF3BEFF7DDD}" destId="{4311D2AB-FAAB-42C8-8BA9-F8E7B6225B11}" srcOrd="1" destOrd="0" parTransId="{834ED78F-2FAF-44C4-9C7A-637A21EA19A6}" sibTransId="{6F177876-89E7-46C5-AD78-EAE3F60AA7E2}"/>
    <dgm:cxn modelId="{4274189F-0BAD-4319-8A5F-4F75D7344075}" type="presOf" srcId="{6BAEB2C2-B50F-40D8-926D-E684670529BD}" destId="{C44E7E8F-C56A-487B-AFA9-EF2257D06C3A}" srcOrd="0" destOrd="0" presId="urn:microsoft.com/office/officeart/2005/8/layout/radial4"/>
    <dgm:cxn modelId="{A9AF7C86-6C70-43AA-9925-20A96B325E26}" type="presOf" srcId="{4311D2AB-FAAB-42C8-8BA9-F8E7B6225B11}" destId="{461B6F8F-789F-4FE2-A7A9-C812E35048FA}" srcOrd="0" destOrd="0" presId="urn:microsoft.com/office/officeart/2005/8/layout/radial4"/>
    <dgm:cxn modelId="{B3A8B38C-741C-488C-95B2-19AF9D52FA72}" srcId="{2D1E740F-0C9C-45BF-BCBC-CB7965F5EC21}" destId="{737ADE5D-8DF1-4EDB-A628-4AF3BEFF7DDD}" srcOrd="0" destOrd="0" parTransId="{4EFDFD62-CC75-42A0-A60E-75C1D8C75A05}" sibTransId="{25C028CD-13B0-431F-A187-3DE066A28E36}"/>
    <dgm:cxn modelId="{05FCF5DF-034B-4891-81B6-77025643F670}" type="presOf" srcId="{2789650A-B5F3-4D98-87F5-E5A79FCE2593}" destId="{A362DF81-5263-40BC-A535-686E94A0A4B3}" srcOrd="0" destOrd="0" presId="urn:microsoft.com/office/officeart/2005/8/layout/radial4"/>
    <dgm:cxn modelId="{329F27F3-0C8A-4C61-BE3A-4C84466B54B3}" type="presOf" srcId="{276D9CE8-DEC4-4508-AE39-21F837AE1447}" destId="{B1914271-2B4E-4E38-807F-EE0855AA445B}" srcOrd="0" destOrd="0" presId="urn:microsoft.com/office/officeart/2005/8/layout/radial4"/>
    <dgm:cxn modelId="{21289B02-7F70-4753-A644-B0DB71E3BC8C}" type="presOf" srcId="{1D59B901-D1F9-44E5-94F2-B36F896E1691}" destId="{D478864C-2038-41E1-963B-13098B2BAD42}" srcOrd="0" destOrd="0" presId="urn:microsoft.com/office/officeart/2005/8/layout/radial4"/>
    <dgm:cxn modelId="{016FC8C6-5365-4C44-9031-392433A5FACE}" srcId="{737ADE5D-8DF1-4EDB-A628-4AF3BEFF7DDD}" destId="{2C79F593-435F-4719-8285-194C51A9152E}" srcOrd="4" destOrd="0" parTransId="{9B97EAF2-F50C-4CCD-A88D-794CE282B4B9}" sibTransId="{32E67D2D-44A1-43E8-AB93-A6CC03808D36}"/>
    <dgm:cxn modelId="{2C43B34B-B717-49CA-8BCD-F5E4FCAC4140}" srcId="{737ADE5D-8DF1-4EDB-A628-4AF3BEFF7DDD}" destId="{2789650A-B5F3-4D98-87F5-E5A79FCE2593}" srcOrd="0" destOrd="0" parTransId="{6BAEB2C2-B50F-40D8-926D-E684670529BD}" sibTransId="{255EE7D9-D9A6-4432-9D06-F2AC70B1F50E}"/>
    <dgm:cxn modelId="{36615696-BCC4-49CC-BEA4-7A2769263B30}" type="presOf" srcId="{3BCB7AA8-2DC9-498B-806B-019A7EF5BAA2}" destId="{5F5D4D93-E4A5-4119-8559-8E19058BB0F3}" srcOrd="0" destOrd="0" presId="urn:microsoft.com/office/officeart/2005/8/layout/radial4"/>
    <dgm:cxn modelId="{EAE25D91-231D-4474-9207-262E5D2B14FE}" type="presOf" srcId="{9B97EAF2-F50C-4CCD-A88D-794CE282B4B9}" destId="{148ADABB-B72E-445A-B315-6705F27B565C}" srcOrd="0" destOrd="0" presId="urn:microsoft.com/office/officeart/2005/8/layout/radial4"/>
    <dgm:cxn modelId="{B6541CA9-BAF8-41C6-85A5-5F75D67320D2}" type="presOf" srcId="{834ED78F-2FAF-44C4-9C7A-637A21EA19A6}" destId="{D1F8E574-5D91-41E3-AEB5-0269EC6B39C2}" srcOrd="0" destOrd="0" presId="urn:microsoft.com/office/officeart/2005/8/layout/radial4"/>
    <dgm:cxn modelId="{95E7C1FD-7C7F-464A-8510-601F19B2850B}" type="presOf" srcId="{2C79F593-435F-4719-8285-194C51A9152E}" destId="{27311E9D-3B38-4DEB-A173-7B012E0E57EE}" srcOrd="0" destOrd="0" presId="urn:microsoft.com/office/officeart/2005/8/layout/radial4"/>
    <dgm:cxn modelId="{A704EE14-7588-400B-B3CB-EC8AC752C1C2}" srcId="{737ADE5D-8DF1-4EDB-A628-4AF3BEFF7DDD}" destId="{C8AE5A70-64B8-4A19-9221-C1167225A12F}" srcOrd="5" destOrd="0" parTransId="{1D59B901-D1F9-44E5-94F2-B36F896E1691}" sibTransId="{5B6DAD8A-F3FE-4EAD-8135-E89DA0211BCF}"/>
    <dgm:cxn modelId="{4F574165-A6F2-4442-B1B3-64D4A1F6FF84}" srcId="{737ADE5D-8DF1-4EDB-A628-4AF3BEFF7DDD}" destId="{6CD1D224-735A-4AA1-A793-4DDB53172FAF}" srcOrd="3" destOrd="0" parTransId="{276D9CE8-DEC4-4508-AE39-21F837AE1447}" sibTransId="{F64A7447-ACB1-42B6-B772-043CCD23C7C8}"/>
    <dgm:cxn modelId="{D122E280-A625-4D0D-8D74-8803FC5307F0}" srcId="{737ADE5D-8DF1-4EDB-A628-4AF3BEFF7DDD}" destId="{64FE4B48-23BE-4D59-87D7-7F5A241AFEC6}" srcOrd="2" destOrd="0" parTransId="{3BCB7AA8-2DC9-498B-806B-019A7EF5BAA2}" sibTransId="{7A4CE643-CE31-4C7B-8301-ED8DC317C97C}"/>
    <dgm:cxn modelId="{C14A72B3-A10E-4916-8466-385E5CF17362}" type="presOf" srcId="{737ADE5D-8DF1-4EDB-A628-4AF3BEFF7DDD}" destId="{03A255CD-8068-49EB-BF68-E6B04BA5BC95}" srcOrd="0" destOrd="0" presId="urn:microsoft.com/office/officeart/2005/8/layout/radial4"/>
    <dgm:cxn modelId="{32031B30-1143-4D03-A07C-B2D4B71CF0E2}" type="presOf" srcId="{2D1E740F-0C9C-45BF-BCBC-CB7965F5EC21}" destId="{DBF5DEA5-BE90-4F1C-AD6E-267F7A937E9B}" srcOrd="0" destOrd="0" presId="urn:microsoft.com/office/officeart/2005/8/layout/radial4"/>
    <dgm:cxn modelId="{43EA762F-122F-4E17-8E4E-03E904213B71}" type="presOf" srcId="{C8AE5A70-64B8-4A19-9221-C1167225A12F}" destId="{B72E3DCC-9AB3-4B33-BFF0-57DB8D92D546}" srcOrd="0" destOrd="0" presId="urn:microsoft.com/office/officeart/2005/8/layout/radial4"/>
    <dgm:cxn modelId="{535137BD-74D9-4411-BB15-4F1E28A672F1}" type="presOf" srcId="{6CD1D224-735A-4AA1-A793-4DDB53172FAF}" destId="{A74B02C0-327F-4229-8347-4CAE6A8E5DBB}" srcOrd="0" destOrd="0" presId="urn:microsoft.com/office/officeart/2005/8/layout/radial4"/>
    <dgm:cxn modelId="{2FB4BFE3-35D4-4F14-AF43-8CC305C4539C}" type="presParOf" srcId="{DBF5DEA5-BE90-4F1C-AD6E-267F7A937E9B}" destId="{03A255CD-8068-49EB-BF68-E6B04BA5BC95}" srcOrd="0" destOrd="0" presId="urn:microsoft.com/office/officeart/2005/8/layout/radial4"/>
    <dgm:cxn modelId="{6DB1AF4A-586C-4241-9E0F-7F38808BEF6B}" type="presParOf" srcId="{DBF5DEA5-BE90-4F1C-AD6E-267F7A937E9B}" destId="{C44E7E8F-C56A-487B-AFA9-EF2257D06C3A}" srcOrd="1" destOrd="0" presId="urn:microsoft.com/office/officeart/2005/8/layout/radial4"/>
    <dgm:cxn modelId="{B47CB8E1-9148-401B-ADDF-5CCC4A535758}" type="presParOf" srcId="{DBF5DEA5-BE90-4F1C-AD6E-267F7A937E9B}" destId="{A362DF81-5263-40BC-A535-686E94A0A4B3}" srcOrd="2" destOrd="0" presId="urn:microsoft.com/office/officeart/2005/8/layout/radial4"/>
    <dgm:cxn modelId="{CB4D38D7-E241-4FD5-BB04-0DCE72FC8BC5}" type="presParOf" srcId="{DBF5DEA5-BE90-4F1C-AD6E-267F7A937E9B}" destId="{D1F8E574-5D91-41E3-AEB5-0269EC6B39C2}" srcOrd="3" destOrd="0" presId="urn:microsoft.com/office/officeart/2005/8/layout/radial4"/>
    <dgm:cxn modelId="{3AC087E9-B6EF-4B86-BC6C-BA279D8E0B3E}" type="presParOf" srcId="{DBF5DEA5-BE90-4F1C-AD6E-267F7A937E9B}" destId="{461B6F8F-789F-4FE2-A7A9-C812E35048FA}" srcOrd="4" destOrd="0" presId="urn:microsoft.com/office/officeart/2005/8/layout/radial4"/>
    <dgm:cxn modelId="{6D5600D0-43A2-4F0D-A8D9-76326C94881B}" type="presParOf" srcId="{DBF5DEA5-BE90-4F1C-AD6E-267F7A937E9B}" destId="{5F5D4D93-E4A5-4119-8559-8E19058BB0F3}" srcOrd="5" destOrd="0" presId="urn:microsoft.com/office/officeart/2005/8/layout/radial4"/>
    <dgm:cxn modelId="{0CA4AB96-A8CD-4F01-9A52-C85770F1BE3F}" type="presParOf" srcId="{DBF5DEA5-BE90-4F1C-AD6E-267F7A937E9B}" destId="{8CBE2DCC-DA41-4DF6-89C9-3DBA85192279}" srcOrd="6" destOrd="0" presId="urn:microsoft.com/office/officeart/2005/8/layout/radial4"/>
    <dgm:cxn modelId="{CB04FC86-B28C-4BAD-A5A5-8E5C672A4BEB}" type="presParOf" srcId="{DBF5DEA5-BE90-4F1C-AD6E-267F7A937E9B}" destId="{B1914271-2B4E-4E38-807F-EE0855AA445B}" srcOrd="7" destOrd="0" presId="urn:microsoft.com/office/officeart/2005/8/layout/radial4"/>
    <dgm:cxn modelId="{C492AFE5-EE16-4CD5-9FB8-DC101793831F}" type="presParOf" srcId="{DBF5DEA5-BE90-4F1C-AD6E-267F7A937E9B}" destId="{A74B02C0-327F-4229-8347-4CAE6A8E5DBB}" srcOrd="8" destOrd="0" presId="urn:microsoft.com/office/officeart/2005/8/layout/radial4"/>
    <dgm:cxn modelId="{8FB6102D-385D-4D03-B803-B2A542FFE32E}" type="presParOf" srcId="{DBF5DEA5-BE90-4F1C-AD6E-267F7A937E9B}" destId="{148ADABB-B72E-445A-B315-6705F27B565C}" srcOrd="9" destOrd="0" presId="urn:microsoft.com/office/officeart/2005/8/layout/radial4"/>
    <dgm:cxn modelId="{3A044229-69D3-455A-8CBA-51417F05431F}" type="presParOf" srcId="{DBF5DEA5-BE90-4F1C-AD6E-267F7A937E9B}" destId="{27311E9D-3B38-4DEB-A173-7B012E0E57EE}" srcOrd="10" destOrd="0" presId="urn:microsoft.com/office/officeart/2005/8/layout/radial4"/>
    <dgm:cxn modelId="{66E7999F-0BEA-4CAA-B939-C52E396E6441}" type="presParOf" srcId="{DBF5DEA5-BE90-4F1C-AD6E-267F7A937E9B}" destId="{D478864C-2038-41E1-963B-13098B2BAD42}" srcOrd="11" destOrd="0" presId="urn:microsoft.com/office/officeart/2005/8/layout/radial4"/>
    <dgm:cxn modelId="{30B79D75-4915-4CEA-9957-058CF56B9F08}" type="presParOf" srcId="{DBF5DEA5-BE90-4F1C-AD6E-267F7A937E9B}" destId="{B72E3DCC-9AB3-4B33-BFF0-57DB8D92D546}" srcOrd="12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A255CD-8068-49EB-BF68-E6B04BA5BC95}">
      <dsp:nvSpPr>
        <dsp:cNvPr id="0" name=""/>
        <dsp:cNvSpPr/>
      </dsp:nvSpPr>
      <dsp:spPr>
        <a:xfrm>
          <a:off x="2022788" y="1758953"/>
          <a:ext cx="1440822" cy="144082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300" b="1" kern="1200"/>
            <a:t>Interpretation der Szene</a:t>
          </a:r>
          <a:r>
            <a:rPr lang="de-DE" sz="1300" kern="1200"/>
            <a:t>, der Figuren und Themen</a:t>
          </a:r>
        </a:p>
      </dsp:txBody>
      <dsp:txXfrm>
        <a:off x="2233791" y="1969956"/>
        <a:ext cx="1018816" cy="1018816"/>
      </dsp:txXfrm>
    </dsp:sp>
    <dsp:sp modelId="{C44E7E8F-C56A-487B-AFA9-EF2257D06C3A}">
      <dsp:nvSpPr>
        <dsp:cNvPr id="0" name=""/>
        <dsp:cNvSpPr/>
      </dsp:nvSpPr>
      <dsp:spPr>
        <a:xfrm rot="10800000">
          <a:off x="561089" y="2274047"/>
          <a:ext cx="1381305" cy="410634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62DF81-5263-40BC-A535-686E94A0A4B3}">
      <dsp:nvSpPr>
        <dsp:cNvPr id="0" name=""/>
        <dsp:cNvSpPr/>
      </dsp:nvSpPr>
      <dsp:spPr>
        <a:xfrm>
          <a:off x="56801" y="2075934"/>
          <a:ext cx="1008576" cy="8068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4200" kern="1200"/>
            <a:t> </a:t>
          </a:r>
        </a:p>
      </dsp:txBody>
      <dsp:txXfrm>
        <a:off x="80433" y="2099566"/>
        <a:ext cx="961312" cy="759596"/>
      </dsp:txXfrm>
    </dsp:sp>
    <dsp:sp modelId="{D1F8E574-5D91-41E3-AEB5-0269EC6B39C2}">
      <dsp:nvSpPr>
        <dsp:cNvPr id="0" name=""/>
        <dsp:cNvSpPr/>
      </dsp:nvSpPr>
      <dsp:spPr>
        <a:xfrm rot="12960000">
          <a:off x="845932" y="1397390"/>
          <a:ext cx="1381305" cy="410634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1B6F8F-789F-4FE2-A7A9-C812E35048FA}">
      <dsp:nvSpPr>
        <dsp:cNvPr id="0" name=""/>
        <dsp:cNvSpPr/>
      </dsp:nvSpPr>
      <dsp:spPr>
        <a:xfrm>
          <a:off x="473547" y="793321"/>
          <a:ext cx="1008576" cy="8068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4200" kern="1200"/>
            <a:t> </a:t>
          </a:r>
        </a:p>
      </dsp:txBody>
      <dsp:txXfrm>
        <a:off x="497179" y="816953"/>
        <a:ext cx="961312" cy="759596"/>
      </dsp:txXfrm>
    </dsp:sp>
    <dsp:sp modelId="{5F5D4D93-E4A5-4119-8559-8E19058BB0F3}">
      <dsp:nvSpPr>
        <dsp:cNvPr id="0" name=""/>
        <dsp:cNvSpPr/>
      </dsp:nvSpPr>
      <dsp:spPr>
        <a:xfrm rot="15120000">
          <a:off x="1591661" y="855586"/>
          <a:ext cx="1381305" cy="410634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BE2DCC-DA41-4DF6-89C9-3DBA85192279}">
      <dsp:nvSpPr>
        <dsp:cNvPr id="0" name=""/>
        <dsp:cNvSpPr/>
      </dsp:nvSpPr>
      <dsp:spPr>
        <a:xfrm>
          <a:off x="1564602" y="623"/>
          <a:ext cx="1008576" cy="8068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4200" kern="1200"/>
            <a:t> </a:t>
          </a:r>
        </a:p>
      </dsp:txBody>
      <dsp:txXfrm>
        <a:off x="1588234" y="24255"/>
        <a:ext cx="961312" cy="759596"/>
      </dsp:txXfrm>
    </dsp:sp>
    <dsp:sp modelId="{B1914271-2B4E-4E38-807F-EE0855AA445B}">
      <dsp:nvSpPr>
        <dsp:cNvPr id="0" name=""/>
        <dsp:cNvSpPr/>
      </dsp:nvSpPr>
      <dsp:spPr>
        <a:xfrm rot="17280000">
          <a:off x="2513432" y="855586"/>
          <a:ext cx="1381305" cy="410634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4B02C0-327F-4229-8347-4CAE6A8E5DBB}">
      <dsp:nvSpPr>
        <dsp:cNvPr id="0" name=""/>
        <dsp:cNvSpPr/>
      </dsp:nvSpPr>
      <dsp:spPr>
        <a:xfrm>
          <a:off x="2913221" y="623"/>
          <a:ext cx="1008576" cy="8068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4200" kern="1200"/>
            <a:t> </a:t>
          </a:r>
        </a:p>
      </dsp:txBody>
      <dsp:txXfrm>
        <a:off x="2936853" y="24255"/>
        <a:ext cx="961312" cy="759596"/>
      </dsp:txXfrm>
    </dsp:sp>
    <dsp:sp modelId="{148ADABB-B72E-445A-B315-6705F27B565C}">
      <dsp:nvSpPr>
        <dsp:cNvPr id="0" name=""/>
        <dsp:cNvSpPr/>
      </dsp:nvSpPr>
      <dsp:spPr>
        <a:xfrm rot="19440000">
          <a:off x="3259161" y="1397390"/>
          <a:ext cx="1381305" cy="410634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311E9D-3B38-4DEB-A173-7B012E0E57EE}">
      <dsp:nvSpPr>
        <dsp:cNvPr id="0" name=""/>
        <dsp:cNvSpPr/>
      </dsp:nvSpPr>
      <dsp:spPr>
        <a:xfrm>
          <a:off x="4004276" y="793321"/>
          <a:ext cx="1008576" cy="8068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4200" kern="1200"/>
            <a:t> </a:t>
          </a:r>
        </a:p>
      </dsp:txBody>
      <dsp:txXfrm>
        <a:off x="4027908" y="816953"/>
        <a:ext cx="961312" cy="759596"/>
      </dsp:txXfrm>
    </dsp:sp>
    <dsp:sp modelId="{D478864C-2038-41E1-963B-13098B2BAD42}">
      <dsp:nvSpPr>
        <dsp:cNvPr id="0" name=""/>
        <dsp:cNvSpPr/>
      </dsp:nvSpPr>
      <dsp:spPr>
        <a:xfrm>
          <a:off x="3544004" y="2274047"/>
          <a:ext cx="1381305" cy="410634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2E3DCC-9AB3-4B33-BFF0-57DB8D92D546}">
      <dsp:nvSpPr>
        <dsp:cNvPr id="0" name=""/>
        <dsp:cNvSpPr/>
      </dsp:nvSpPr>
      <dsp:spPr>
        <a:xfrm>
          <a:off x="4421022" y="2075934"/>
          <a:ext cx="1008576" cy="8068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4200" kern="1200"/>
        </a:p>
      </dsp:txBody>
      <dsp:txXfrm>
        <a:off x="4444654" y="2099566"/>
        <a:ext cx="961312" cy="7595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Blennemann</dc:creator>
  <cp:lastModifiedBy>Blennemann</cp:lastModifiedBy>
  <cp:revision>2</cp:revision>
  <cp:lastPrinted>2018-08-29T11:07:00Z</cp:lastPrinted>
  <dcterms:created xsi:type="dcterms:W3CDTF">2018-10-09T10:31:00Z</dcterms:created>
  <dcterms:modified xsi:type="dcterms:W3CDTF">2018-10-09T10:31:00Z</dcterms:modified>
</cp:coreProperties>
</file>