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83" w:rsidRPr="00A270D4" w:rsidRDefault="003C1283" w:rsidP="003C1283">
      <w:pPr>
        <w:pStyle w:val="berschrift1"/>
        <w:spacing w:before="0" w:line="240" w:lineRule="auto"/>
        <w:rPr>
          <w:rFonts w:ascii="Verdana" w:hAnsi="Verdana"/>
          <w:szCs w:val="22"/>
          <w:shd w:val="clear" w:color="auto" w:fill="FFFFFF"/>
        </w:rPr>
      </w:pPr>
      <w:bookmarkStart w:id="0" w:name="_Toc495055380"/>
      <w:bookmarkStart w:id="1" w:name="_GoBack"/>
      <w:bookmarkEnd w:id="1"/>
      <w:r w:rsidRPr="00A270D4">
        <w:rPr>
          <w:rFonts w:ascii="Verdana" w:hAnsi="Verdana"/>
          <w:szCs w:val="22"/>
          <w:shd w:val="clear" w:color="auto" w:fill="FFFFFF"/>
        </w:rPr>
        <w:t>Mögliche Einstiege</w:t>
      </w:r>
      <w:bookmarkEnd w:id="0"/>
    </w:p>
    <w:p w:rsidR="003C1283" w:rsidRPr="00A270D4" w:rsidRDefault="003C1283" w:rsidP="003C1283">
      <w:pPr>
        <w:spacing w:after="0" w:line="240" w:lineRule="auto"/>
        <w:rPr>
          <w:rFonts w:ascii="Verdana" w:hAnsi="Verdana"/>
        </w:rPr>
      </w:pPr>
    </w:p>
    <w:p w:rsidR="00B535C7" w:rsidRDefault="00B535C7" w:rsidP="003C128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>Vorentlastung durch Wochenplanarbeit zur Romantik</w:t>
      </w:r>
    </w:p>
    <w:p w:rsidR="003C1283" w:rsidRPr="00A270D4" w:rsidRDefault="003C1283" w:rsidP="003C128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hd w:val="clear" w:color="auto" w:fill="FFFFFF"/>
        </w:rPr>
      </w:pPr>
      <w:r w:rsidRPr="00A270D4">
        <w:rPr>
          <w:rFonts w:ascii="Verdana" w:hAnsi="Verdana" w:cs="Arial"/>
          <w:shd w:val="clear" w:color="auto" w:fill="FFFFFF"/>
        </w:rPr>
        <w:t>Selbstkarikatur Hoffmanns; Recherche zu E.T.A. Hoffmann und der Epoche der Romantik</w:t>
      </w:r>
    </w:p>
    <w:p w:rsidR="003C1283" w:rsidRDefault="003C1283" w:rsidP="003C128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hd w:val="clear" w:color="auto" w:fill="FFFFFF"/>
        </w:rPr>
      </w:pPr>
      <w:r w:rsidRPr="00A270D4">
        <w:rPr>
          <w:rFonts w:ascii="Verdana" w:hAnsi="Verdana" w:cs="Arial"/>
          <w:shd w:val="clear" w:color="auto" w:fill="FFFFFF"/>
        </w:rPr>
        <w:t xml:space="preserve">Titel: „Der goldene Topf - ein Märchen aus der neuen Zeit“ </w:t>
      </w:r>
      <w:r w:rsidRPr="00A270D4">
        <w:rPr>
          <w:rFonts w:ascii="Verdana" w:hAnsi="Verdana"/>
          <w:shd w:val="clear" w:color="auto" w:fill="FFFFFF"/>
        </w:rPr>
        <w:sym w:font="Wingdings" w:char="F0E0"/>
      </w:r>
      <w:r w:rsidRPr="00A270D4">
        <w:rPr>
          <w:rFonts w:ascii="Verdana" w:hAnsi="Verdana" w:cs="Arial"/>
          <w:shd w:val="clear" w:color="auto" w:fill="FFFFFF"/>
        </w:rPr>
        <w:t xml:space="preserve"> Fragestellung, was ein Märchen ist, was die Schülerinnen und Schüler erwarten / Brainstorming an der Tafel; u.U. Merkmale des Märchens erarbeiten, Rückgriff am Ende der Einheit, um das Kunstmärchen vom Märchen abzugrenzen.</w:t>
      </w:r>
    </w:p>
    <w:p w:rsidR="003C1283" w:rsidRDefault="003C1283" w:rsidP="003C128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hd w:val="clear" w:color="auto" w:fill="FFFFFF"/>
        </w:rPr>
      </w:pPr>
      <w:r w:rsidRPr="00A270D4">
        <w:rPr>
          <w:rFonts w:ascii="Verdana" w:hAnsi="Verdana" w:cs="Arial"/>
          <w:shd w:val="clear" w:color="auto" w:fill="FFFFFF"/>
        </w:rPr>
        <w:t xml:space="preserve">Äußern von Assoziationen oder </w:t>
      </w:r>
      <w:r w:rsidR="00FE2CB8">
        <w:rPr>
          <w:rFonts w:ascii="Verdana" w:hAnsi="Verdana" w:cs="Arial"/>
          <w:shd w:val="clear" w:color="auto" w:fill="FFFFFF"/>
        </w:rPr>
        <w:t>S</w:t>
      </w:r>
      <w:r w:rsidRPr="00A270D4">
        <w:rPr>
          <w:rFonts w:ascii="Verdana" w:hAnsi="Verdana" w:cs="Arial"/>
          <w:shd w:val="clear" w:color="auto" w:fill="FFFFFF"/>
        </w:rPr>
        <w:t>chreiben eines Textes zum Titel „Der goldene Topf“</w:t>
      </w:r>
    </w:p>
    <w:p w:rsidR="004B4B4A" w:rsidRDefault="004B4B4A" w:rsidP="003C128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 xml:space="preserve">Lesen der Exposition </w:t>
      </w:r>
      <w:r>
        <w:rPr>
          <w:rFonts w:ascii="Verdana" w:hAnsi="Verdana" w:cs="Arial"/>
          <w:shd w:val="clear" w:color="auto" w:fill="FFFFFF"/>
        </w:rPr>
        <w:sym w:font="Wingdings" w:char="F0E0"/>
      </w:r>
      <w:r>
        <w:rPr>
          <w:rFonts w:ascii="Verdana" w:hAnsi="Verdana" w:cs="Arial"/>
          <w:shd w:val="clear" w:color="auto" w:fill="FFFFFF"/>
        </w:rPr>
        <w:t xml:space="preserve"> Fiktion und Wirklichkeit</w:t>
      </w:r>
      <w:r w:rsidR="002E36F1">
        <w:rPr>
          <w:rFonts w:ascii="Verdana" w:hAnsi="Verdana" w:cs="Arial"/>
          <w:shd w:val="clear" w:color="auto" w:fill="FFFFFF"/>
        </w:rPr>
        <w:t xml:space="preserve"> / Konzepte fantastischer Literatur (vgl. Maria </w:t>
      </w:r>
      <w:proofErr w:type="spellStart"/>
      <w:r w:rsidR="002E36F1">
        <w:rPr>
          <w:rFonts w:ascii="Verdana" w:hAnsi="Verdana" w:cs="Arial"/>
          <w:shd w:val="clear" w:color="auto" w:fill="FFFFFF"/>
        </w:rPr>
        <w:t>Nikoklajeva</w:t>
      </w:r>
      <w:proofErr w:type="spellEnd"/>
      <w:r w:rsidR="002E36F1">
        <w:rPr>
          <w:rStyle w:val="Funotenzeichen"/>
          <w:rFonts w:ascii="Verdana" w:hAnsi="Verdana" w:cs="Arial"/>
          <w:shd w:val="clear" w:color="auto" w:fill="FFFFFF"/>
        </w:rPr>
        <w:footnoteReference w:id="1"/>
      </w:r>
      <w:r w:rsidR="002E36F1">
        <w:rPr>
          <w:rFonts w:ascii="Verdana" w:hAnsi="Verdana" w:cs="Arial"/>
          <w:shd w:val="clear" w:color="auto" w:fill="FFFFFF"/>
        </w:rPr>
        <w:t>)</w:t>
      </w:r>
    </w:p>
    <w:p w:rsidR="003C1283" w:rsidRPr="00A270D4" w:rsidRDefault="003C1283" w:rsidP="003C128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 w:cs="Arial"/>
          <w:shd w:val="clear" w:color="auto" w:fill="FFFFFF"/>
        </w:rPr>
      </w:pPr>
      <w:r w:rsidRPr="00A270D4">
        <w:rPr>
          <w:rFonts w:ascii="Verdana" w:hAnsi="Verdana" w:cs="Arial"/>
          <w:shd w:val="clear" w:color="auto" w:fill="FFFFFF"/>
        </w:rPr>
        <w:t>Annäherung an das Werk: Der Aufbau und die Vigilien</w:t>
      </w:r>
    </w:p>
    <w:p w:rsidR="003C1283" w:rsidRPr="00A270D4" w:rsidRDefault="003C1283" w:rsidP="003C1283">
      <w:pPr>
        <w:pStyle w:val="Listenabsatz"/>
        <w:numPr>
          <w:ilvl w:val="0"/>
          <w:numId w:val="2"/>
        </w:numPr>
        <w:spacing w:after="0" w:line="240" w:lineRule="auto"/>
        <w:jc w:val="both"/>
        <w:rPr>
          <w:rStyle w:val="Hyperlink"/>
          <w:rFonts w:ascii="Verdana" w:hAnsi="Verdana" w:cs="Arial"/>
          <w:color w:val="auto"/>
          <w:u w:val="none"/>
          <w:shd w:val="clear" w:color="auto" w:fill="FFFFFF"/>
        </w:rPr>
      </w:pPr>
      <w:r w:rsidRPr="00A270D4">
        <w:rPr>
          <w:rFonts w:ascii="Verdana" w:hAnsi="Verdana" w:cs="Arial"/>
          <w:shd w:val="clear" w:color="auto" w:fill="FFFFFF"/>
        </w:rPr>
        <w:t xml:space="preserve">Beginn der Kapitel ansehen, Begriffsklärung „Vigilie“, zum Beispiel mit Hilfe des </w:t>
      </w:r>
      <w:hyperlink r:id="rId9" w:history="1">
        <w:r w:rsidRPr="00A270D4">
          <w:rPr>
            <w:rStyle w:val="Hyperlink"/>
            <w:rFonts w:ascii="Verdana" w:hAnsi="Verdana" w:cs="Arial"/>
            <w:shd w:val="clear" w:color="auto" w:fill="FFFFFF"/>
          </w:rPr>
          <w:t>Wikipedia Artikels</w:t>
        </w:r>
      </w:hyperlink>
      <w:r w:rsidRPr="00A270D4">
        <w:rPr>
          <w:rFonts w:ascii="Verdana" w:hAnsi="Verdana" w:cs="Arial"/>
          <w:shd w:val="clear" w:color="auto" w:fill="FFFFFF"/>
        </w:rPr>
        <w:t xml:space="preserve"> oder des Artikels der Seite </w:t>
      </w:r>
      <w:hyperlink r:id="rId10" w:history="1">
        <w:r w:rsidRPr="00A270D4">
          <w:rPr>
            <w:rStyle w:val="Hyperlink"/>
            <w:rFonts w:ascii="Verdana" w:hAnsi="Verdana" w:cs="Arial"/>
            <w:shd w:val="clear" w:color="auto" w:fill="FFFFFF"/>
          </w:rPr>
          <w:t>fremdwort.de</w:t>
        </w:r>
      </w:hyperlink>
    </w:p>
    <w:p w:rsidR="0036048C" w:rsidRPr="00A270D4" w:rsidRDefault="0036048C" w:rsidP="0036048C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shd w:val="clear" w:color="auto" w:fill="FFFFFF"/>
        </w:rPr>
      </w:pPr>
      <w:r>
        <w:rPr>
          <w:rFonts w:ascii="Verdana" w:hAnsi="Verdana" w:cs="Arial"/>
          <w:shd w:val="clear" w:color="auto" w:fill="FFFFFF"/>
        </w:rPr>
        <w:t xml:space="preserve">Eine Übersicht der Vigilien mit Untertiteln, die Lernenden formulieren Erwartungen </w:t>
      </w:r>
    </w:p>
    <w:p w:rsidR="003C1283" w:rsidRPr="00A270D4" w:rsidRDefault="003C1283" w:rsidP="003C1283">
      <w:pPr>
        <w:pStyle w:val="Listenabsatz"/>
        <w:spacing w:after="0" w:line="240" w:lineRule="auto"/>
        <w:ind w:left="1068"/>
        <w:jc w:val="both"/>
        <w:rPr>
          <w:rFonts w:ascii="Verdana" w:hAnsi="Verdana" w:cs="Arial"/>
          <w:shd w:val="clear" w:color="auto" w:fill="FFFFFF"/>
        </w:rPr>
      </w:pPr>
    </w:p>
    <w:p w:rsidR="003C1283" w:rsidRPr="00A270D4" w:rsidRDefault="003C1283" w:rsidP="003C1283">
      <w:pPr>
        <w:pStyle w:val="StandardWeb"/>
        <w:shd w:val="clear" w:color="auto" w:fill="FFFFFF"/>
        <w:spacing w:before="0" w:beforeAutospacing="0" w:after="0" w:afterAutospacing="0"/>
        <w:rPr>
          <w:rFonts w:ascii="Verdana" w:hAnsi="Verdana" w:cs="Arial"/>
          <w:b/>
          <w:bCs/>
          <w:i/>
          <w:color w:val="222222"/>
          <w:sz w:val="22"/>
          <w:szCs w:val="22"/>
        </w:rPr>
      </w:pPr>
    </w:p>
    <w:p w:rsidR="003C1283" w:rsidRPr="00A270D4" w:rsidRDefault="003C1283" w:rsidP="003C1283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rPr>
          <w:rFonts w:ascii="Verdana" w:hAnsi="Verdana" w:cs="Arial"/>
          <w:color w:val="222222"/>
          <w:sz w:val="22"/>
          <w:szCs w:val="22"/>
        </w:rPr>
      </w:pPr>
      <w:r w:rsidRPr="00A270D4">
        <w:rPr>
          <w:rFonts w:ascii="Verdana" w:hAnsi="Verdana" w:cs="Arial"/>
          <w:b/>
          <w:bCs/>
          <w:color w:val="222222"/>
          <w:sz w:val="22"/>
          <w:szCs w:val="22"/>
        </w:rPr>
        <w:t>M1 Bedeutung der „Vigilie“ in der Liturgie</w:t>
      </w:r>
      <w:r w:rsidRPr="00A270D4">
        <w:rPr>
          <w:rFonts w:ascii="Verdana" w:hAnsi="Verdana" w:cs="Arial"/>
          <w:color w:val="222222"/>
          <w:sz w:val="22"/>
          <w:szCs w:val="22"/>
        </w:rPr>
        <w:t>:</w:t>
      </w:r>
    </w:p>
    <w:p w:rsidR="003C1283" w:rsidRPr="00A270D4" w:rsidRDefault="003C1283" w:rsidP="003C128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84"/>
        <w:rPr>
          <w:rFonts w:ascii="Verdana" w:hAnsi="Verdana" w:cs="Arial"/>
          <w:i/>
          <w:color w:val="222222"/>
        </w:rPr>
      </w:pPr>
      <w:r w:rsidRPr="00A270D4">
        <w:rPr>
          <w:rFonts w:ascii="Verdana" w:hAnsi="Verdana" w:cs="Arial"/>
          <w:i/>
          <w:color w:val="222222"/>
        </w:rPr>
        <w:t>ein Teil des monastischen Stundengebets, der in der Nacht bzw. den frühen Morgenstunden gebetet wird […]</w:t>
      </w:r>
    </w:p>
    <w:p w:rsidR="003C1283" w:rsidRPr="00A270D4" w:rsidRDefault="003C1283" w:rsidP="003C128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84"/>
        <w:rPr>
          <w:rFonts w:ascii="Verdana" w:hAnsi="Verdana" w:cs="Arial"/>
          <w:i/>
          <w:color w:val="222222"/>
        </w:rPr>
      </w:pPr>
      <w:r w:rsidRPr="00A270D4">
        <w:rPr>
          <w:rFonts w:ascii="Verdana" w:hAnsi="Verdana" w:cs="Arial"/>
          <w:i/>
          <w:color w:val="222222"/>
        </w:rPr>
        <w:t>eine Nachtwache vor großen Festen des Kirchenjahres, insbesondere die Osternacht als Mutter aller Vigilien bzw. „Vollvigil“</w:t>
      </w:r>
    </w:p>
    <w:p w:rsidR="003C1283" w:rsidRPr="00A270D4" w:rsidRDefault="003C1283" w:rsidP="003C128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84"/>
        <w:rPr>
          <w:rFonts w:ascii="Verdana" w:hAnsi="Verdana" w:cs="Arial"/>
          <w:i/>
          <w:color w:val="222222"/>
        </w:rPr>
      </w:pPr>
      <w:r w:rsidRPr="00A270D4">
        <w:rPr>
          <w:rFonts w:ascii="Verdana" w:hAnsi="Verdana" w:cs="Arial"/>
          <w:i/>
          <w:color w:val="222222"/>
        </w:rPr>
        <w:t>im weiteren Sinne der Vortag eines Feiertags z. B. der 24. Dezember als Vigil von Weihnachten</w:t>
      </w:r>
    </w:p>
    <w:p w:rsidR="003C1283" w:rsidRDefault="003C1283" w:rsidP="003C128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384"/>
        <w:rPr>
          <w:rFonts w:ascii="Verdana" w:hAnsi="Verdana" w:cs="Arial"/>
          <w:i/>
          <w:color w:val="222222"/>
        </w:rPr>
      </w:pPr>
      <w:r w:rsidRPr="00A270D4">
        <w:rPr>
          <w:rFonts w:ascii="Verdana" w:hAnsi="Verdana" w:cs="Arial"/>
          <w:i/>
          <w:color w:val="222222"/>
        </w:rPr>
        <w:t>die Totenfeier in der Nacht vor der Beerdigung; auch das Totenamt am Abend vor dem Jahrtag</w:t>
      </w:r>
    </w:p>
    <w:p w:rsidR="00B91335" w:rsidRPr="00A270D4" w:rsidRDefault="00B91335" w:rsidP="00B9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ind w:left="24"/>
        <w:rPr>
          <w:rFonts w:ascii="Verdana" w:hAnsi="Verdana" w:cs="Arial"/>
          <w:i/>
          <w:color w:val="222222"/>
        </w:rPr>
      </w:pPr>
    </w:p>
    <w:p w:rsidR="003C1283" w:rsidRPr="00A270D4" w:rsidRDefault="003C1283" w:rsidP="003C1283">
      <w:pPr>
        <w:pStyle w:val="Listenabsatz"/>
        <w:spacing w:after="0" w:line="240" w:lineRule="auto"/>
        <w:ind w:left="1068"/>
        <w:jc w:val="both"/>
        <w:rPr>
          <w:rFonts w:ascii="Verdana" w:hAnsi="Verdana" w:cs="Arial"/>
          <w:shd w:val="clear" w:color="auto" w:fill="FFFFFF"/>
        </w:rPr>
      </w:pPr>
    </w:p>
    <w:p w:rsidR="003C1283" w:rsidRPr="00A270D4" w:rsidRDefault="003C1283" w:rsidP="003C1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color w:val="222222"/>
          <w:shd w:val="clear" w:color="auto" w:fill="FFFFFF"/>
        </w:rPr>
      </w:pPr>
      <w:r w:rsidRPr="00A270D4">
        <w:rPr>
          <w:rFonts w:ascii="Verdana" w:hAnsi="Verdana" w:cs="Arial"/>
          <w:b/>
          <w:color w:val="222222"/>
          <w:shd w:val="clear" w:color="auto" w:fill="FFFFFF"/>
        </w:rPr>
        <w:t xml:space="preserve">M2 </w:t>
      </w:r>
    </w:p>
    <w:p w:rsidR="003C1283" w:rsidRDefault="003C1283" w:rsidP="003C1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i/>
          <w:color w:val="222222"/>
          <w:shd w:val="clear" w:color="auto" w:fill="FFFFFF"/>
        </w:rPr>
      </w:pPr>
      <w:r w:rsidRPr="00A270D4">
        <w:rPr>
          <w:rFonts w:ascii="Verdana" w:hAnsi="Verdana" w:cs="Arial"/>
          <w:i/>
          <w:color w:val="222222"/>
          <w:shd w:val="clear" w:color="auto" w:fill="FFFFFF"/>
        </w:rPr>
        <w:t>Vigilien (lat.), bei den Römern zum Unterschied von den Tagwachen (</w:t>
      </w:r>
      <w:proofErr w:type="spellStart"/>
      <w:r w:rsidRPr="00A270D4">
        <w:rPr>
          <w:rFonts w:ascii="Verdana" w:hAnsi="Verdana" w:cs="Arial"/>
          <w:i/>
          <w:color w:val="222222"/>
          <w:shd w:val="clear" w:color="auto" w:fill="FFFFFF"/>
        </w:rPr>
        <w:t>excubiae</w:t>
      </w:r>
      <w:proofErr w:type="spellEnd"/>
      <w:r w:rsidRPr="00A270D4">
        <w:rPr>
          <w:rFonts w:ascii="Verdana" w:hAnsi="Verdana" w:cs="Arial"/>
          <w:i/>
          <w:color w:val="222222"/>
          <w:shd w:val="clear" w:color="auto" w:fill="FFFFFF"/>
        </w:rPr>
        <w:t>) Nachtwachen, deren vier auf die Nacht kamen, welche Anordnung in der katholischen Kirche auf die zu gottesdienstlichen Zwecken dienenden klösterlichen Nachtwachen übertragen wurde. Auch heißen V. (</w:t>
      </w:r>
      <w:proofErr w:type="spellStart"/>
      <w:r w:rsidRPr="00A270D4">
        <w:rPr>
          <w:rFonts w:ascii="Verdana" w:hAnsi="Verdana" w:cs="Arial"/>
          <w:i/>
          <w:color w:val="222222"/>
          <w:shd w:val="clear" w:color="auto" w:fill="FFFFFF"/>
        </w:rPr>
        <w:t>griech</w:t>
      </w:r>
      <w:proofErr w:type="spellEnd"/>
      <w:r w:rsidRPr="00A270D4">
        <w:rPr>
          <w:rFonts w:ascii="Verdana" w:hAnsi="Verdana" w:cs="Arial"/>
          <w:i/>
          <w:color w:val="222222"/>
          <w:shd w:val="clear" w:color="auto" w:fill="FFFFFF"/>
        </w:rPr>
        <w:t xml:space="preserve">. </w:t>
      </w:r>
      <w:proofErr w:type="spellStart"/>
      <w:r w:rsidRPr="00A270D4">
        <w:rPr>
          <w:rFonts w:ascii="Verdana" w:hAnsi="Verdana" w:cs="Arial"/>
          <w:i/>
          <w:color w:val="222222"/>
          <w:shd w:val="clear" w:color="auto" w:fill="FFFFFF"/>
        </w:rPr>
        <w:t>Pannychides</w:t>
      </w:r>
      <w:proofErr w:type="spellEnd"/>
      <w:r w:rsidRPr="00A270D4">
        <w:rPr>
          <w:rFonts w:ascii="Verdana" w:hAnsi="Verdana" w:cs="Arial"/>
          <w:i/>
          <w:color w:val="222222"/>
          <w:shd w:val="clear" w:color="auto" w:fill="FFFFFF"/>
        </w:rPr>
        <w:t xml:space="preserve">) in der alten Kirche die nächtlich begangenen Vorfeiern zu den Festen (s. Ostern). Jetzt bedeutet Vigilie (franz. </w:t>
      </w:r>
      <w:proofErr w:type="spellStart"/>
      <w:r w:rsidRPr="00A270D4">
        <w:rPr>
          <w:rFonts w:ascii="Verdana" w:hAnsi="Verdana" w:cs="Arial"/>
          <w:i/>
          <w:color w:val="222222"/>
          <w:shd w:val="clear" w:color="auto" w:fill="FFFFFF"/>
        </w:rPr>
        <w:t>veille</w:t>
      </w:r>
      <w:proofErr w:type="spellEnd"/>
      <w:r w:rsidRPr="00A270D4">
        <w:rPr>
          <w:rFonts w:ascii="Verdana" w:hAnsi="Verdana" w:cs="Arial"/>
          <w:i/>
          <w:color w:val="222222"/>
          <w:shd w:val="clear" w:color="auto" w:fill="FFFFFF"/>
        </w:rPr>
        <w:t>) den Tag vor hohen Kirchen- und Heiligenfesten</w:t>
      </w:r>
    </w:p>
    <w:p w:rsidR="00B91335" w:rsidRPr="00A270D4" w:rsidRDefault="00B91335" w:rsidP="003C12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Verdana" w:hAnsi="Verdana" w:cs="Arial"/>
          <w:b/>
          <w:i/>
          <w:u w:val="single"/>
          <w:shd w:val="clear" w:color="auto" w:fill="FFFFFF"/>
        </w:rPr>
      </w:pPr>
    </w:p>
    <w:p w:rsidR="003C1283" w:rsidRPr="00A270D4" w:rsidRDefault="003C1283" w:rsidP="003C1283">
      <w:pPr>
        <w:rPr>
          <w:rFonts w:ascii="Verdana" w:hAnsi="Verdana" w:cs="Arial"/>
          <w:b/>
          <w:u w:val="single"/>
          <w:shd w:val="clear" w:color="auto" w:fill="FFFFFF"/>
        </w:rPr>
      </w:pPr>
    </w:p>
    <w:p w:rsidR="003C1283" w:rsidRDefault="003C1283" w:rsidP="003C1283">
      <w:pPr>
        <w:rPr>
          <w:rFonts w:cs="Arial"/>
          <w:b/>
          <w:u w:val="single"/>
          <w:shd w:val="clear" w:color="auto" w:fill="FFFFFF"/>
        </w:rPr>
      </w:pPr>
    </w:p>
    <w:p w:rsidR="003C1283" w:rsidRDefault="003C1283" w:rsidP="00A270D4">
      <w:pPr>
        <w:jc w:val="center"/>
      </w:pPr>
      <w:r>
        <w:rPr>
          <w:noProof/>
          <w:lang w:eastAsia="de-DE"/>
        </w:rPr>
        <w:lastRenderedPageBreak/>
        <w:drawing>
          <wp:inline distT="0" distB="0" distL="0" distR="0" wp14:anchorId="2F3336DD" wp14:editId="5ACC790D">
            <wp:extent cx="3893839" cy="3864634"/>
            <wp:effectExtent l="0" t="0" r="0" b="2540"/>
            <wp:docPr id="1" name="Grafik 1" descr="https://upload.wikimedia.org/wikipedia/commons/8/8a/Karikatur_Hoffman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8/8a/Karikatur_Hoffman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644" cy="386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283" w:rsidRDefault="003C1283" w:rsidP="00A270D4">
      <w:pPr>
        <w:jc w:val="center"/>
      </w:pPr>
      <w:r>
        <w:t xml:space="preserve">Selbstkarikatur E.T.A. Hoffmanns, abrufbar unter </w:t>
      </w:r>
      <w:hyperlink r:id="rId12" w:history="1">
        <w:r w:rsidRPr="00580D44">
          <w:rPr>
            <w:rStyle w:val="Hyperlink"/>
          </w:rPr>
          <w:t>https://commons.wikimedia.org/wiki/File:Karikatur_Hoffmann.gif</w:t>
        </w:r>
      </w:hyperlink>
      <w:r w:rsidR="00A270D4">
        <w:rPr>
          <w:rStyle w:val="Hyperlink"/>
        </w:rPr>
        <w:t>, CC-0</w:t>
      </w:r>
    </w:p>
    <w:p w:rsidR="00C36A3A" w:rsidRDefault="00C36A3A"/>
    <w:sectPr w:rsidR="00C36A3A" w:rsidSect="002E36F1">
      <w:headerReference w:type="defaul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24" w:rsidRDefault="00CB1624" w:rsidP="003C1283">
      <w:pPr>
        <w:spacing w:after="0" w:line="240" w:lineRule="auto"/>
      </w:pPr>
      <w:r>
        <w:separator/>
      </w:r>
    </w:p>
  </w:endnote>
  <w:endnote w:type="continuationSeparator" w:id="0">
    <w:p w:rsidR="00CB1624" w:rsidRDefault="00CB1624" w:rsidP="003C1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24" w:rsidRDefault="00CB1624" w:rsidP="003C1283">
      <w:pPr>
        <w:spacing w:after="0" w:line="240" w:lineRule="auto"/>
      </w:pPr>
      <w:r>
        <w:separator/>
      </w:r>
    </w:p>
  </w:footnote>
  <w:footnote w:type="continuationSeparator" w:id="0">
    <w:p w:rsidR="00CB1624" w:rsidRDefault="00CB1624" w:rsidP="003C1283">
      <w:pPr>
        <w:spacing w:after="0" w:line="240" w:lineRule="auto"/>
      </w:pPr>
      <w:r>
        <w:continuationSeparator/>
      </w:r>
    </w:p>
  </w:footnote>
  <w:footnote w:id="1">
    <w:p w:rsidR="002E36F1" w:rsidRPr="002E36F1" w:rsidRDefault="002E36F1">
      <w:pPr>
        <w:pStyle w:val="Funotentext"/>
        <w:rPr>
          <w:rFonts w:ascii="Verdana" w:hAnsi="Verdana"/>
          <w:sz w:val="18"/>
        </w:rPr>
      </w:pPr>
      <w:r w:rsidRPr="002E36F1">
        <w:rPr>
          <w:rStyle w:val="Funotenzeichen"/>
          <w:rFonts w:ascii="Verdana" w:hAnsi="Verdana"/>
          <w:sz w:val="18"/>
        </w:rPr>
        <w:footnoteRef/>
      </w:r>
      <w:r w:rsidRPr="002E36F1">
        <w:rPr>
          <w:rFonts w:ascii="Verdana" w:hAnsi="Verdana"/>
          <w:sz w:val="18"/>
        </w:rPr>
        <w:t xml:space="preserve"> </w:t>
      </w:r>
      <w:proofErr w:type="spellStart"/>
      <w:r w:rsidRPr="002E36F1">
        <w:rPr>
          <w:rFonts w:ascii="Verdana" w:hAnsi="Verdana"/>
          <w:sz w:val="18"/>
        </w:rPr>
        <w:t>Nikolajeva</w:t>
      </w:r>
      <w:proofErr w:type="spellEnd"/>
      <w:r w:rsidRPr="002E36F1">
        <w:rPr>
          <w:rFonts w:ascii="Verdana" w:hAnsi="Verdana"/>
          <w:sz w:val="18"/>
        </w:rPr>
        <w:t xml:space="preserve">, Maria (1988): The Magic Code. The </w:t>
      </w:r>
      <w:proofErr w:type="spellStart"/>
      <w:r w:rsidRPr="002E36F1">
        <w:rPr>
          <w:rFonts w:ascii="Verdana" w:hAnsi="Verdana"/>
          <w:sz w:val="18"/>
        </w:rPr>
        <w:t>Use</w:t>
      </w:r>
      <w:proofErr w:type="spellEnd"/>
      <w:r w:rsidRPr="002E36F1">
        <w:rPr>
          <w:rFonts w:ascii="Verdana" w:hAnsi="Verdana"/>
          <w:sz w:val="18"/>
        </w:rPr>
        <w:t xml:space="preserve"> </w:t>
      </w:r>
      <w:proofErr w:type="spellStart"/>
      <w:r w:rsidRPr="002E36F1">
        <w:rPr>
          <w:rFonts w:ascii="Verdana" w:hAnsi="Verdana"/>
          <w:sz w:val="18"/>
        </w:rPr>
        <w:t>of</w:t>
      </w:r>
      <w:proofErr w:type="spellEnd"/>
      <w:r w:rsidRPr="002E36F1">
        <w:rPr>
          <w:rFonts w:ascii="Verdana" w:hAnsi="Verdana"/>
          <w:sz w:val="18"/>
        </w:rPr>
        <w:t xml:space="preserve"> Magic Patterns in Fantasy </w:t>
      </w:r>
      <w:proofErr w:type="spellStart"/>
      <w:r w:rsidRPr="002E36F1">
        <w:rPr>
          <w:rFonts w:ascii="Verdana" w:hAnsi="Verdana"/>
          <w:sz w:val="18"/>
        </w:rPr>
        <w:t>for</w:t>
      </w:r>
      <w:proofErr w:type="spellEnd"/>
      <w:r w:rsidRPr="002E36F1">
        <w:rPr>
          <w:rFonts w:ascii="Verdana" w:hAnsi="Verdana"/>
          <w:sz w:val="18"/>
        </w:rPr>
        <w:t xml:space="preserve"> </w:t>
      </w:r>
      <w:proofErr w:type="spellStart"/>
      <w:r w:rsidRPr="002E36F1">
        <w:rPr>
          <w:rFonts w:ascii="Verdana" w:hAnsi="Verdana"/>
          <w:sz w:val="18"/>
        </w:rPr>
        <w:t>Children</w:t>
      </w:r>
      <w:proofErr w:type="spellEnd"/>
      <w:r w:rsidRPr="002E36F1">
        <w:rPr>
          <w:rFonts w:ascii="Verdana" w:hAnsi="Verdana"/>
          <w:sz w:val="18"/>
        </w:rPr>
        <w:t xml:space="preserve">. </w:t>
      </w:r>
      <w:proofErr w:type="spellStart"/>
      <w:r w:rsidRPr="002E36F1">
        <w:rPr>
          <w:rFonts w:ascii="Verdana" w:hAnsi="Verdana"/>
          <w:sz w:val="18"/>
        </w:rPr>
        <w:t>Almqvist</w:t>
      </w:r>
      <w:proofErr w:type="spellEnd"/>
      <w:r w:rsidRPr="002E36F1">
        <w:rPr>
          <w:rFonts w:ascii="Verdana" w:hAnsi="Verdana"/>
          <w:sz w:val="18"/>
        </w:rPr>
        <w:t xml:space="preserve"> &amp; </w:t>
      </w:r>
      <w:proofErr w:type="spellStart"/>
      <w:r w:rsidRPr="002E36F1">
        <w:rPr>
          <w:rFonts w:ascii="Verdana" w:hAnsi="Verdana"/>
          <w:sz w:val="18"/>
        </w:rPr>
        <w:t>Wiksell</w:t>
      </w:r>
      <w:proofErr w:type="spellEnd"/>
      <w:r w:rsidRPr="002E36F1">
        <w:rPr>
          <w:rFonts w:ascii="Verdana" w:hAnsi="Verdana"/>
          <w:sz w:val="18"/>
        </w:rPr>
        <w:t>: Stockholm.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83" w:rsidRPr="00683E27" w:rsidRDefault="003C1283" w:rsidP="003C1283">
    <w:pPr>
      <w:pStyle w:val="Kopfzeile"/>
      <w:pBdr>
        <w:bottom w:val="single" w:sz="4" w:space="1" w:color="auto"/>
      </w:pBdr>
      <w:rPr>
        <w:rFonts w:ascii="Verdana" w:hAnsi="Verdana"/>
        <w:sz w:val="18"/>
      </w:rPr>
    </w:pPr>
    <w:r w:rsidRPr="00683E27">
      <w:rPr>
        <w:rFonts w:ascii="Verdana" w:hAnsi="Verdana"/>
        <w:noProof/>
        <w:sz w:val="18"/>
        <w:lang w:eastAsia="de-DE"/>
      </w:rPr>
      <w:drawing>
        <wp:inline distT="0" distB="0" distL="0" distR="0" wp14:anchorId="190647E5" wp14:editId="2100E2AA">
          <wp:extent cx="1398896" cy="445636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chriftzug 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228" cy="4457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83E27">
      <w:rPr>
        <w:rFonts w:ascii="Verdana" w:hAnsi="Verdana"/>
        <w:sz w:val="18"/>
      </w:rPr>
      <w:tab/>
      <w:t>Fachredaktion Deutsch, www.deutsch-bw.de</w:t>
    </w:r>
  </w:p>
  <w:p w:rsidR="003C1283" w:rsidRDefault="003C128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6629D"/>
    <w:multiLevelType w:val="hybridMultilevel"/>
    <w:tmpl w:val="FCC00F92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58200F7"/>
    <w:multiLevelType w:val="multilevel"/>
    <w:tmpl w:val="750A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C3144EA"/>
    <w:multiLevelType w:val="hybridMultilevel"/>
    <w:tmpl w:val="F4B8DE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83"/>
    <w:rsid w:val="002E36F1"/>
    <w:rsid w:val="0036048C"/>
    <w:rsid w:val="003C1283"/>
    <w:rsid w:val="004108A5"/>
    <w:rsid w:val="004B4B4A"/>
    <w:rsid w:val="004E442A"/>
    <w:rsid w:val="00A270D4"/>
    <w:rsid w:val="00B535C7"/>
    <w:rsid w:val="00B91335"/>
    <w:rsid w:val="00C36A3A"/>
    <w:rsid w:val="00CB1624"/>
    <w:rsid w:val="00FE13FA"/>
    <w:rsid w:val="00FE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283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128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1283"/>
    <w:rPr>
      <w:rFonts w:ascii="Arial" w:eastAsiaTheme="majorEastAsia" w:hAnsi="Arial" w:cstheme="majorBidi"/>
      <w:b/>
      <w:bCs/>
      <w:szCs w:val="28"/>
      <w:u w:val="single"/>
    </w:rPr>
  </w:style>
  <w:style w:type="character" w:styleId="Hyperlink">
    <w:name w:val="Hyperlink"/>
    <w:basedOn w:val="Absatz-Standardschriftart"/>
    <w:uiPriority w:val="99"/>
    <w:unhideWhenUsed/>
    <w:rsid w:val="003C128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C128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C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2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128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C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1283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E36F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36F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E36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1283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128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1283"/>
    <w:rPr>
      <w:rFonts w:ascii="Arial" w:eastAsiaTheme="majorEastAsia" w:hAnsi="Arial" w:cstheme="majorBidi"/>
      <w:b/>
      <w:bCs/>
      <w:szCs w:val="28"/>
      <w:u w:val="single"/>
    </w:rPr>
  </w:style>
  <w:style w:type="character" w:styleId="Hyperlink">
    <w:name w:val="Hyperlink"/>
    <w:basedOn w:val="Absatz-Standardschriftart"/>
    <w:uiPriority w:val="99"/>
    <w:unhideWhenUsed/>
    <w:rsid w:val="003C128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C128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3C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128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C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C1283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C1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C1283"/>
    <w:rPr>
      <w:rFonts w:ascii="Arial" w:hAnsi="Arial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E36F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36F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E36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ommons.wikimedia.org/wiki/File:Karikatur_Hoffmann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remdwort.de/suchen/bedeutung/vigilie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e.wikipedia.org/wiki/Vigi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BFC2-6F26-485E-8565-10F1B232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2</cp:revision>
  <dcterms:created xsi:type="dcterms:W3CDTF">2018-11-29T10:27:00Z</dcterms:created>
  <dcterms:modified xsi:type="dcterms:W3CDTF">2018-11-29T10:27:00Z</dcterms:modified>
</cp:coreProperties>
</file>