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46B60" w14:textId="77777777" w:rsidR="00EA2BE5" w:rsidRPr="00EA2BE5" w:rsidRDefault="00EA2BE5" w:rsidP="00DC1A9A">
      <w:pPr>
        <w:pStyle w:val="lbs-dokumente"/>
      </w:pPr>
      <w:r w:rsidRPr="00EA2BE5">
        <w:t>Grundwortschatz 3: Staat und Recht</w:t>
      </w:r>
    </w:p>
    <w:p w14:paraId="4478265B" w14:textId="77777777" w:rsidR="00CF015A" w:rsidRPr="00CF015A" w:rsidRDefault="00CF015A" w:rsidP="00DC1A9A">
      <w:pPr>
        <w:pStyle w:val="berschrift2"/>
      </w:pPr>
      <w:r w:rsidRPr="00CF015A">
        <w:t>3.2. Das Recht</w:t>
      </w:r>
    </w:p>
    <w:p w14:paraId="50643ACA" w14:textId="77777777" w:rsidR="00CF015A" w:rsidRPr="00CF015A" w:rsidRDefault="00CF015A" w:rsidP="00DC1A9A">
      <w:pPr>
        <w:pStyle w:val="lbs-dokumente"/>
        <w:jc w:val="right"/>
      </w:pPr>
      <w:r w:rsidRPr="00CF015A">
        <w:t>3</w:t>
      </w:r>
      <w:r w:rsidR="004A4D17">
        <w:t>4</w:t>
      </w:r>
      <w:r w:rsidRPr="00CF015A">
        <w:t xml:space="preserve"> Wörter</w:t>
      </w:r>
    </w:p>
    <w:p w14:paraId="30302708" w14:textId="77777777" w:rsidR="00CF015A" w:rsidRPr="00CF015A" w:rsidRDefault="00CF015A" w:rsidP="00DC1A9A">
      <w:pPr>
        <w:pStyle w:val="lbs-dokumente"/>
        <w:rPr>
          <w:b/>
          <w:bCs/>
        </w:rPr>
      </w:pPr>
      <w:r w:rsidRPr="00CF015A">
        <w:rPr>
          <w:b/>
          <w:bCs/>
        </w:rPr>
        <w:t>3.2.1. Substantive: Personen, Rollen vor Gericht</w:t>
      </w:r>
    </w:p>
    <w:p w14:paraId="42563AF8" w14:textId="77777777" w:rsidR="00B37636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accūsātor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accūsātōris</w:t>
      </w:r>
      <w:proofErr w:type="spellEnd"/>
      <w:r w:rsidR="00CF015A" w:rsidRPr="00CF015A">
        <w:t>, m.: der Ankläger</w:t>
      </w:r>
      <w:r w:rsidR="00B37636">
        <w:t xml:space="preserve"> </w:t>
      </w:r>
    </w:p>
    <w:p w14:paraId="01210680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ōrātor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ōrātōris</w:t>
      </w:r>
      <w:proofErr w:type="spellEnd"/>
      <w:r w:rsidR="00CF015A" w:rsidRPr="00CF015A">
        <w:t>, m.: der Redner</w:t>
      </w:r>
    </w:p>
    <w:p w14:paraId="6B031E23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reus</w:t>
      </w:r>
      <w:proofErr w:type="spellEnd"/>
      <w:r w:rsidRPr="00CF015A">
        <w:t xml:space="preserve">, </w:t>
      </w:r>
      <w:proofErr w:type="spellStart"/>
      <w:r w:rsidRPr="00CF015A">
        <w:t>re</w:t>
      </w:r>
      <w:r w:rsidR="0010605B">
        <w:t>ī</w:t>
      </w:r>
      <w:proofErr w:type="spellEnd"/>
      <w:r w:rsidRPr="00CF015A">
        <w:t>, m.: der Angeklagte</w:t>
      </w:r>
    </w:p>
    <w:p w14:paraId="71A8030C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testis</w:t>
      </w:r>
      <w:proofErr w:type="spellEnd"/>
      <w:r w:rsidRPr="00CF015A">
        <w:t xml:space="preserve">, </w:t>
      </w:r>
      <w:proofErr w:type="spellStart"/>
      <w:r w:rsidRPr="00CF015A">
        <w:t>testis</w:t>
      </w:r>
      <w:proofErr w:type="spellEnd"/>
      <w:r w:rsidRPr="00CF015A">
        <w:t>, m. / f.: der Zeuge, die Zeugin</w:t>
      </w:r>
    </w:p>
    <w:p w14:paraId="5589E31C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iūdex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iūdicis</w:t>
      </w:r>
      <w:proofErr w:type="spellEnd"/>
      <w:r w:rsidR="00CF015A" w:rsidRPr="00CF015A">
        <w:t>, m.: der Richter</w:t>
      </w:r>
    </w:p>
    <w:p w14:paraId="25DA9DD6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patrōnus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patrōnī</w:t>
      </w:r>
      <w:proofErr w:type="spellEnd"/>
      <w:r w:rsidRPr="0010605B">
        <w:rPr>
          <w:rFonts w:asciiTheme="minorHAnsi" w:hAnsiTheme="minorHAnsi"/>
          <w:szCs w:val="22"/>
        </w:rPr>
        <w:t>,</w:t>
      </w:r>
      <w:r w:rsidR="00CF015A" w:rsidRPr="00CF015A">
        <w:t xml:space="preserve"> m.: der Anwalt</w:t>
      </w:r>
    </w:p>
    <w:p w14:paraId="4EE5ED76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praetor</w:t>
      </w:r>
      <w:proofErr w:type="spellEnd"/>
      <w:r w:rsidRPr="00CF015A">
        <w:t xml:space="preserve">, </w:t>
      </w:r>
      <w:proofErr w:type="spellStart"/>
      <w:r w:rsidRPr="00CF015A">
        <w:t>praet</w:t>
      </w:r>
      <w:r w:rsidR="00405B28" w:rsidRPr="00CF015A">
        <w:t>ō</w:t>
      </w:r>
      <w:r w:rsidRPr="00CF015A">
        <w:t>ris</w:t>
      </w:r>
      <w:proofErr w:type="spellEnd"/>
      <w:r w:rsidRPr="00CF015A">
        <w:t>, m.: der Oberrichter, der Prätor</w:t>
      </w:r>
    </w:p>
    <w:p w14:paraId="65D3B616" w14:textId="77777777" w:rsidR="00CF015A" w:rsidRDefault="00CF015A" w:rsidP="00DC1A9A">
      <w:pPr>
        <w:pStyle w:val="lbs-dokumente"/>
        <w:ind w:left="709"/>
      </w:pPr>
      <w:r w:rsidRPr="00CF015A">
        <w:t xml:space="preserve">Der Prätor war eines der Ämter im so genannten cursus </w:t>
      </w:r>
      <w:proofErr w:type="spellStart"/>
      <w:r w:rsidRPr="00CF015A">
        <w:t>honorum</w:t>
      </w:r>
      <w:proofErr w:type="spellEnd"/>
      <w:r w:rsidRPr="00CF015A">
        <w:t xml:space="preserve">, der Ämterlaufbahn. </w:t>
      </w:r>
    </w:p>
    <w:p w14:paraId="05FD4B41" w14:textId="77777777" w:rsidR="00CF015A" w:rsidRPr="00CF015A" w:rsidRDefault="00CF015A" w:rsidP="00DC1A9A">
      <w:pPr>
        <w:pStyle w:val="lbs-dokumente"/>
        <w:rPr>
          <w:b/>
          <w:bCs/>
        </w:rPr>
      </w:pPr>
      <w:r w:rsidRPr="00CF015A">
        <w:rPr>
          <w:b/>
          <w:bCs/>
        </w:rPr>
        <w:t>3.2.2. Substantive</w:t>
      </w:r>
      <w:r w:rsidR="003D4506">
        <w:rPr>
          <w:b/>
          <w:bCs/>
        </w:rPr>
        <w:t xml:space="preserve"> und Adjektive</w:t>
      </w:r>
      <w:r w:rsidRPr="00CF015A">
        <w:rPr>
          <w:b/>
          <w:bCs/>
        </w:rPr>
        <w:t>: allgemeine Begriffe</w:t>
      </w:r>
      <w:r w:rsidR="003D4506">
        <w:rPr>
          <w:b/>
          <w:bCs/>
        </w:rPr>
        <w:t xml:space="preserve"> –</w:t>
      </w:r>
      <w:r w:rsidRPr="00CF015A">
        <w:rPr>
          <w:b/>
          <w:bCs/>
        </w:rPr>
        <w:t xml:space="preserve"> das Recht</w:t>
      </w:r>
    </w:p>
    <w:p w14:paraId="613CA73F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iūs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iūris</w:t>
      </w:r>
      <w:proofErr w:type="spellEnd"/>
      <w:r w:rsidR="00CF015A" w:rsidRPr="00CF015A">
        <w:t>, n.: das Recht</w:t>
      </w:r>
    </w:p>
    <w:p w14:paraId="6EE90349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lēx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lēgis</w:t>
      </w:r>
      <w:proofErr w:type="spellEnd"/>
      <w:r w:rsidR="00CF015A" w:rsidRPr="00CF015A">
        <w:t>, f.: das Gesetz</w:t>
      </w:r>
    </w:p>
    <w:p w14:paraId="7C2FFAD5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iūstitia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iūstitiae</w:t>
      </w:r>
      <w:proofErr w:type="spellEnd"/>
      <w:r w:rsidRPr="0010605B">
        <w:rPr>
          <w:rFonts w:asciiTheme="minorHAnsi" w:hAnsiTheme="minorHAnsi"/>
          <w:szCs w:val="22"/>
        </w:rPr>
        <w:t>, f</w:t>
      </w:r>
      <w:r w:rsidR="00CF015A" w:rsidRPr="00CF015A">
        <w:t>.: die Gerechtigkeit</w:t>
      </w:r>
    </w:p>
    <w:p w14:paraId="57B6AC32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iūdicium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iūdiciī</w:t>
      </w:r>
      <w:proofErr w:type="spellEnd"/>
      <w:r w:rsidRPr="0010605B">
        <w:rPr>
          <w:rFonts w:asciiTheme="minorHAnsi" w:hAnsiTheme="minorHAnsi"/>
          <w:szCs w:val="22"/>
        </w:rPr>
        <w:t>,</w:t>
      </w:r>
      <w:r>
        <w:rPr>
          <w:rFonts w:asciiTheme="minorHAnsi" w:hAnsiTheme="minorHAnsi"/>
          <w:szCs w:val="22"/>
        </w:rPr>
        <w:t xml:space="preserve"> </w:t>
      </w:r>
      <w:r w:rsidR="00CF015A" w:rsidRPr="00CF015A">
        <w:t>n.: das Gericht, der Prozess, das Urteil</w:t>
      </w:r>
    </w:p>
    <w:p w14:paraId="15F8ECE2" w14:textId="77777777" w:rsidR="00CF015A" w:rsidRPr="00CF015A" w:rsidRDefault="00CF015A" w:rsidP="00DC1A9A">
      <w:pPr>
        <w:pStyle w:val="lbs-dokumente"/>
      </w:pPr>
      <w:r w:rsidRPr="008765E6">
        <w:rPr>
          <w:b/>
        </w:rPr>
        <w:t>poena</w:t>
      </w:r>
      <w:r w:rsidRPr="00CF015A">
        <w:t xml:space="preserve">, </w:t>
      </w:r>
      <w:proofErr w:type="spellStart"/>
      <w:r w:rsidRPr="00CF015A">
        <w:t>poenae</w:t>
      </w:r>
      <w:proofErr w:type="spellEnd"/>
      <w:r w:rsidRPr="00CF015A">
        <w:t>, f.: die Strafe</w:t>
      </w:r>
    </w:p>
    <w:p w14:paraId="09A4511A" w14:textId="77777777" w:rsidR="00CF015A" w:rsidRPr="00CF015A" w:rsidRDefault="00CF015A" w:rsidP="00DC1A9A">
      <w:pPr>
        <w:pStyle w:val="lbs-dokumente"/>
      </w:pPr>
      <w:r w:rsidRPr="008765E6">
        <w:rPr>
          <w:b/>
        </w:rPr>
        <w:t>causa</w:t>
      </w:r>
      <w:r w:rsidRPr="00CF015A">
        <w:t xml:space="preserve">, </w:t>
      </w:r>
      <w:proofErr w:type="spellStart"/>
      <w:r w:rsidRPr="00CF015A">
        <w:t>causae</w:t>
      </w:r>
      <w:proofErr w:type="spellEnd"/>
      <w:r w:rsidRPr="00CF015A">
        <w:t>, f.: der Rechtsfall; der Grund</w:t>
      </w:r>
    </w:p>
    <w:p w14:paraId="7FC8125B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supplicium</w:t>
      </w:r>
      <w:proofErr w:type="spellEnd"/>
      <w:r w:rsidRPr="00CF015A">
        <w:t xml:space="preserve">, </w:t>
      </w:r>
      <w:proofErr w:type="spellStart"/>
      <w:r w:rsidRPr="00CF015A">
        <w:t>supplici</w:t>
      </w:r>
      <w:r w:rsidR="0010605B">
        <w:t>ī</w:t>
      </w:r>
      <w:proofErr w:type="spellEnd"/>
      <w:r w:rsidRPr="00CF015A">
        <w:t>, n.: das Flehen; die harte Strafe, die Hinrichtung</w:t>
      </w:r>
    </w:p>
    <w:p w14:paraId="39752AF0" w14:textId="77777777" w:rsidR="00CF015A" w:rsidRPr="00CF015A" w:rsidRDefault="00CF015A" w:rsidP="00DC1A9A">
      <w:pPr>
        <w:pStyle w:val="lbs-dokumente"/>
      </w:pPr>
      <w:r w:rsidRPr="00CF015A">
        <w:rPr>
          <w:b/>
          <w:bCs/>
        </w:rPr>
        <w:t>Adjektive</w:t>
      </w:r>
    </w:p>
    <w:p w14:paraId="5EFD1905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iūstus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iūsta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iūstum</w:t>
      </w:r>
      <w:proofErr w:type="spellEnd"/>
      <w:r w:rsidR="00CF015A" w:rsidRPr="00CF015A">
        <w:t>: gerecht</w:t>
      </w:r>
    </w:p>
    <w:p w14:paraId="2EB5BADF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iniūstus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iniūsta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iniūstum</w:t>
      </w:r>
      <w:proofErr w:type="spellEnd"/>
      <w:r w:rsidR="00CF015A" w:rsidRPr="00CF015A">
        <w:t>: ungerecht</w:t>
      </w:r>
    </w:p>
    <w:p w14:paraId="0CCEBFA0" w14:textId="77777777" w:rsidR="00CF015A" w:rsidRPr="00CF015A" w:rsidRDefault="00CF015A" w:rsidP="00DC1A9A">
      <w:pPr>
        <w:pStyle w:val="lbs-dokumente"/>
        <w:rPr>
          <w:b/>
          <w:bCs/>
        </w:rPr>
      </w:pPr>
      <w:r w:rsidRPr="00CF015A">
        <w:rPr>
          <w:b/>
          <w:bCs/>
        </w:rPr>
        <w:lastRenderedPageBreak/>
        <w:t>3.2.2. Substantive: allgemeine Begriffe: die Tat und die Strafe</w:t>
      </w:r>
    </w:p>
    <w:p w14:paraId="729A22F5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caedēs</w:t>
      </w:r>
      <w:proofErr w:type="spellEnd"/>
      <w:r w:rsidR="00CF015A" w:rsidRPr="00CF015A">
        <w:t xml:space="preserve">, </w:t>
      </w:r>
      <w:proofErr w:type="spellStart"/>
      <w:r w:rsidR="00CF015A" w:rsidRPr="00CF015A">
        <w:t>caedis</w:t>
      </w:r>
      <w:proofErr w:type="spellEnd"/>
      <w:r w:rsidR="00CF015A" w:rsidRPr="00CF015A">
        <w:t>, f.: der Mord (</w:t>
      </w:r>
      <w:r w:rsidR="00B37636">
        <w:t>Herkunft:</w:t>
      </w:r>
      <w:r w:rsidR="00CF015A" w:rsidRPr="00CF015A">
        <w:t xml:space="preserve"> </w:t>
      </w:r>
      <w:proofErr w:type="spellStart"/>
      <w:r w:rsidR="00CF015A" w:rsidRPr="00CF015A">
        <w:t>caedere</w:t>
      </w:r>
      <w:proofErr w:type="spellEnd"/>
      <w:r w:rsidR="00CF015A" w:rsidRPr="00CF015A">
        <w:t>)</w:t>
      </w:r>
    </w:p>
    <w:p w14:paraId="1E3BF5EF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crīmen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crīminis</w:t>
      </w:r>
      <w:proofErr w:type="spellEnd"/>
      <w:r w:rsidR="00CF015A" w:rsidRPr="00CF015A">
        <w:t>, n.: das Verbrechen, der Vorwurf, die Beschuldigung</w:t>
      </w:r>
    </w:p>
    <w:p w14:paraId="7D569F12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vitium</w:t>
      </w:r>
      <w:proofErr w:type="spellEnd"/>
      <w:r w:rsidRPr="00CF015A">
        <w:t xml:space="preserve">, </w:t>
      </w:r>
      <w:proofErr w:type="spellStart"/>
      <w:r w:rsidRPr="00CF015A">
        <w:t>viti</w:t>
      </w:r>
      <w:r w:rsidR="0010605B" w:rsidRPr="0010605B">
        <w:t>ī</w:t>
      </w:r>
      <w:proofErr w:type="spellEnd"/>
      <w:r w:rsidRPr="00CF015A">
        <w:t>, n.: das Unrecht, die Straftat, der Fehler</w:t>
      </w:r>
    </w:p>
    <w:p w14:paraId="7F218027" w14:textId="77777777" w:rsidR="00CF015A" w:rsidRPr="00CF015A" w:rsidRDefault="00CF015A" w:rsidP="00DC1A9A">
      <w:pPr>
        <w:pStyle w:val="lbs-dokumente"/>
      </w:pPr>
      <w:r w:rsidRPr="008765E6">
        <w:rPr>
          <w:b/>
        </w:rPr>
        <w:t>culpa</w:t>
      </w:r>
      <w:r w:rsidRPr="00CF015A">
        <w:t xml:space="preserve">, </w:t>
      </w:r>
      <w:proofErr w:type="spellStart"/>
      <w:r w:rsidRPr="00CF015A">
        <w:t>culpae</w:t>
      </w:r>
      <w:proofErr w:type="spellEnd"/>
      <w:r w:rsidRPr="00CF015A">
        <w:t>, f.: die Schuld</w:t>
      </w:r>
    </w:p>
    <w:p w14:paraId="433E59DE" w14:textId="77777777" w:rsidR="00CF015A" w:rsidRDefault="00CF015A" w:rsidP="00DC1A9A">
      <w:pPr>
        <w:pStyle w:val="lbs-dokumente"/>
      </w:pPr>
      <w:proofErr w:type="spellStart"/>
      <w:r w:rsidRPr="008765E6">
        <w:rPr>
          <w:b/>
        </w:rPr>
        <w:t>facinus</w:t>
      </w:r>
      <w:proofErr w:type="spellEnd"/>
      <w:r w:rsidRPr="00CF015A">
        <w:t xml:space="preserve">, </w:t>
      </w:r>
      <w:proofErr w:type="spellStart"/>
      <w:r w:rsidRPr="00CF015A">
        <w:t>facinoris</w:t>
      </w:r>
      <w:proofErr w:type="spellEnd"/>
      <w:r w:rsidRPr="00CF015A">
        <w:t xml:space="preserve">, n.: die Tat, das Verbrechen </w:t>
      </w:r>
    </w:p>
    <w:p w14:paraId="4A0A83AC" w14:textId="77777777" w:rsidR="0010605B" w:rsidRPr="00CF015A" w:rsidRDefault="0010605B" w:rsidP="0010605B">
      <w:pPr>
        <w:pStyle w:val="lbs-dokumente"/>
        <w:ind w:left="709"/>
      </w:pPr>
      <w:r w:rsidRPr="0010605B">
        <w:t xml:space="preserve">Wurzel/Herkunft des Wortes: </w:t>
      </w:r>
      <w:proofErr w:type="spellStart"/>
      <w:r w:rsidRPr="0010605B">
        <w:t>facere</w:t>
      </w:r>
      <w:proofErr w:type="spellEnd"/>
    </w:p>
    <w:p w14:paraId="106A3827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n</w:t>
      </w:r>
      <w:r w:rsidR="0010605B">
        <w:rPr>
          <w:b/>
        </w:rPr>
        <w:t>e</w:t>
      </w:r>
      <w:r w:rsidRPr="008765E6">
        <w:rPr>
          <w:b/>
        </w:rPr>
        <w:t>fās</w:t>
      </w:r>
      <w:proofErr w:type="spellEnd"/>
      <w:r w:rsidRPr="00CF015A">
        <w:t>: das Unrecht, der Frevel</w:t>
      </w:r>
    </w:p>
    <w:p w14:paraId="55F8DB67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flāgitium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flāgitiī</w:t>
      </w:r>
      <w:proofErr w:type="spellEnd"/>
      <w:r w:rsidR="00CF015A" w:rsidRPr="00CF015A">
        <w:t>, n.: das Verbrechen</w:t>
      </w:r>
    </w:p>
    <w:p w14:paraId="4705D0D7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praeda</w:t>
      </w:r>
      <w:proofErr w:type="spellEnd"/>
      <w:r w:rsidRPr="00CF015A">
        <w:t xml:space="preserve">, </w:t>
      </w:r>
      <w:proofErr w:type="spellStart"/>
      <w:r w:rsidRPr="00CF015A">
        <w:t>praedae</w:t>
      </w:r>
      <w:proofErr w:type="spellEnd"/>
      <w:r w:rsidRPr="00CF015A">
        <w:t>, f.: die Beute</w:t>
      </w:r>
    </w:p>
    <w:p w14:paraId="45299A74" w14:textId="77777777" w:rsidR="00CF015A" w:rsidRPr="00CF015A" w:rsidRDefault="00CF015A" w:rsidP="00DC1A9A">
      <w:pPr>
        <w:pStyle w:val="lbs-dokumente"/>
      </w:pPr>
      <w:proofErr w:type="spellStart"/>
      <w:r w:rsidRPr="008765E6">
        <w:rPr>
          <w:b/>
        </w:rPr>
        <w:t>scelus</w:t>
      </w:r>
      <w:proofErr w:type="spellEnd"/>
      <w:r w:rsidRPr="00CF015A">
        <w:t xml:space="preserve">, </w:t>
      </w:r>
      <w:proofErr w:type="spellStart"/>
      <w:r w:rsidRPr="00CF015A">
        <w:t>sceleris</w:t>
      </w:r>
      <w:proofErr w:type="spellEnd"/>
      <w:r w:rsidRPr="00CF015A">
        <w:t>, n.: das Verbrechen</w:t>
      </w:r>
    </w:p>
    <w:p w14:paraId="68171F84" w14:textId="77777777" w:rsidR="00CF015A" w:rsidRPr="00CF015A" w:rsidRDefault="0010605B" w:rsidP="00DC1A9A">
      <w:pPr>
        <w:pStyle w:val="lbs-dokumente"/>
      </w:pPr>
      <w:proofErr w:type="spellStart"/>
      <w:r w:rsidRPr="0010605B">
        <w:rPr>
          <w:rFonts w:asciiTheme="minorHAnsi" w:hAnsiTheme="minorHAnsi"/>
          <w:b/>
          <w:bCs/>
          <w:szCs w:val="22"/>
        </w:rPr>
        <w:t>suspīciō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suspīciōnis</w:t>
      </w:r>
      <w:proofErr w:type="spellEnd"/>
      <w:r w:rsidR="00CF015A" w:rsidRPr="00CF015A">
        <w:t>, f.: der Verdacht</w:t>
      </w:r>
    </w:p>
    <w:p w14:paraId="5A2100D0" w14:textId="77777777" w:rsidR="00CF015A" w:rsidRPr="00CF015A" w:rsidRDefault="00CF015A" w:rsidP="00DC1A9A">
      <w:pPr>
        <w:pStyle w:val="lbs-dokumente"/>
        <w:rPr>
          <w:b/>
          <w:bCs/>
        </w:rPr>
      </w:pPr>
      <w:r w:rsidRPr="00CF015A">
        <w:rPr>
          <w:b/>
          <w:bCs/>
        </w:rPr>
        <w:t>3.2.4.: Verben</w:t>
      </w:r>
    </w:p>
    <w:p w14:paraId="3F29210D" w14:textId="77777777" w:rsidR="00CF015A" w:rsidRDefault="0010605B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10605B">
        <w:rPr>
          <w:rFonts w:asciiTheme="minorHAnsi" w:hAnsiTheme="minorHAnsi"/>
          <w:b/>
          <w:bCs/>
          <w:szCs w:val="22"/>
        </w:rPr>
        <w:t>accūsāre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accūsō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accūsāvī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accūsātum</w:t>
      </w:r>
      <w:proofErr w:type="spellEnd"/>
      <w:r w:rsidR="00CF015A">
        <w:t xml:space="preserve">: </w:t>
      </w:r>
      <w:r w:rsidR="00CF015A" w:rsidRPr="00CF015A">
        <w:t>anklagen</w:t>
      </w:r>
    </w:p>
    <w:p w14:paraId="27E5C25F" w14:textId="77777777" w:rsidR="001522BB" w:rsidRPr="00CF015A" w:rsidRDefault="001522BB" w:rsidP="001522BB">
      <w:pPr>
        <w:pStyle w:val="lbs-dokumente"/>
        <w:tabs>
          <w:tab w:val="left" w:pos="2411"/>
          <w:tab w:val="left" w:pos="5959"/>
        </w:tabs>
        <w:ind w:left="709"/>
      </w:pPr>
      <w:r>
        <w:t xml:space="preserve">Bei </w:t>
      </w:r>
      <w:proofErr w:type="spellStart"/>
      <w:r w:rsidRPr="001522BB">
        <w:rPr>
          <w:i/>
          <w:iCs/>
        </w:rPr>
        <w:t>accusare</w:t>
      </w:r>
      <w:proofErr w:type="spellEnd"/>
      <w:r>
        <w:t xml:space="preserve"> und anderen Verben aus </w:t>
      </w:r>
      <w:r w:rsidRPr="001522BB">
        <w:rPr>
          <w:iCs/>
        </w:rPr>
        <w:t>dem Sachfeld</w:t>
      </w:r>
      <w:r w:rsidRPr="001522BB">
        <w:rPr>
          <w:i/>
          <w:iCs/>
        </w:rPr>
        <w:t xml:space="preserve"> </w:t>
      </w:r>
      <w:r w:rsidRPr="001522BB">
        <w:rPr>
          <w:i/>
        </w:rPr>
        <w:t>Bestrafen und Anklagen</w:t>
      </w:r>
      <w:r>
        <w:rPr>
          <w:rStyle w:val="Hervorhebung"/>
        </w:rPr>
        <w:t xml:space="preserve"> </w:t>
      </w:r>
      <w:r>
        <w:t xml:space="preserve">wird der </w:t>
      </w:r>
      <w:hyperlink r:id="rId8" w:anchor="crim" w:tgtFrame="_blank" w:tooltip="Erläuterungen zur Kasuslehre im Lateinportal" w:history="1">
        <w:r>
          <w:rPr>
            <w:rStyle w:val="Hyperlink"/>
          </w:rPr>
          <w:t>Genitivus criminis</w:t>
        </w:r>
      </w:hyperlink>
      <w:r>
        <w:t xml:space="preserve"> (Genitiv der Rechtsfragen) verwendet, d. h. die Sache, deretwegen jemand angeklagt wird, steht im Genitiv: </w:t>
      </w:r>
      <w:proofErr w:type="spellStart"/>
      <w:r>
        <w:t>Eius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accuso</w:t>
      </w:r>
      <w:proofErr w:type="spellEnd"/>
      <w:r>
        <w:t>: Ich klage ihn wegen dieser Sache an.</w:t>
      </w:r>
    </w:p>
    <w:p w14:paraId="345E7767" w14:textId="77777777" w:rsidR="00CF015A" w:rsidRDefault="0010605B" w:rsidP="00F237BA">
      <w:pPr>
        <w:pStyle w:val="lbs-dokumente"/>
        <w:tabs>
          <w:tab w:val="left" w:pos="2411"/>
          <w:tab w:val="left" w:pos="5959"/>
        </w:tabs>
      </w:pPr>
      <w:proofErr w:type="spellStart"/>
      <w:r>
        <w:rPr>
          <w:rStyle w:val="Fett"/>
        </w:rPr>
        <w:t>arguere</w:t>
      </w:r>
      <w:proofErr w:type="spellEnd"/>
      <w:r>
        <w:t xml:space="preserve">, </w:t>
      </w:r>
      <w:proofErr w:type="spellStart"/>
      <w:r>
        <w:t>arguō</w:t>
      </w:r>
      <w:proofErr w:type="spellEnd"/>
      <w:r>
        <w:t xml:space="preserve">, </w:t>
      </w:r>
      <w:proofErr w:type="spellStart"/>
      <w:r>
        <w:t>arguī</w:t>
      </w:r>
      <w:proofErr w:type="spellEnd"/>
      <w:r w:rsidRPr="00CF015A">
        <w:t xml:space="preserve"> </w:t>
      </w:r>
      <w:r w:rsidR="00CF015A" w:rsidRPr="00CF015A">
        <w:t>(ohne PPP.)</w:t>
      </w:r>
      <w:r w:rsidR="00CF015A">
        <w:t xml:space="preserve">: </w:t>
      </w:r>
      <w:r w:rsidR="008765E6">
        <w:t>anklagen, beschuldigen; auch: darstellen</w:t>
      </w:r>
    </w:p>
    <w:p w14:paraId="2717696F" w14:textId="77777777" w:rsidR="00B37636" w:rsidRPr="00CF015A" w:rsidRDefault="00B37636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B37636">
        <w:rPr>
          <w:rFonts w:asciiTheme="minorHAnsi" w:hAnsiTheme="minorHAnsi"/>
          <w:b/>
          <w:bCs/>
          <w:szCs w:val="22"/>
        </w:rPr>
        <w:t>iūdicāre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iūdicō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iūdicāvī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iūdicātum</w:t>
      </w:r>
      <w:proofErr w:type="spellEnd"/>
      <w:r w:rsidRPr="00B37636">
        <w:rPr>
          <w:rFonts w:asciiTheme="minorHAnsi" w:hAnsiTheme="minorHAnsi"/>
          <w:szCs w:val="22"/>
        </w:rPr>
        <w:t>: zu Gericht sitzen, über etwas urteilen, jemanden oder etwas einschätzen</w:t>
      </w:r>
    </w:p>
    <w:p w14:paraId="483497F2" w14:textId="77777777" w:rsidR="00CF015A" w:rsidRPr="00CF015A" w:rsidRDefault="0010605B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10605B">
        <w:rPr>
          <w:rFonts w:asciiTheme="minorHAnsi" w:hAnsiTheme="minorHAnsi"/>
          <w:b/>
          <w:bCs/>
          <w:szCs w:val="22"/>
        </w:rPr>
        <w:t>punīre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puniō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punīvī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punītum</w:t>
      </w:r>
      <w:proofErr w:type="spellEnd"/>
      <w:r w:rsidR="00CF015A">
        <w:t xml:space="preserve">: </w:t>
      </w:r>
      <w:r w:rsidR="00CF015A" w:rsidRPr="00CF015A">
        <w:t>bestrafen</w:t>
      </w:r>
    </w:p>
    <w:p w14:paraId="24B609D7" w14:textId="77777777" w:rsidR="00CF015A" w:rsidRDefault="0010605B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10605B">
        <w:rPr>
          <w:rFonts w:asciiTheme="minorHAnsi" w:hAnsiTheme="minorHAnsi"/>
          <w:b/>
          <w:bCs/>
          <w:szCs w:val="22"/>
        </w:rPr>
        <w:t>damnāre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damnō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damnāvī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damnātum</w:t>
      </w:r>
      <w:proofErr w:type="spellEnd"/>
      <w:r w:rsidR="00CF015A">
        <w:t xml:space="preserve">: </w:t>
      </w:r>
      <w:r w:rsidR="00CF015A" w:rsidRPr="00CF015A">
        <w:t>verurteilen</w:t>
      </w:r>
    </w:p>
    <w:p w14:paraId="76A4384C" w14:textId="77777777" w:rsidR="00CF015A" w:rsidRPr="00CF015A" w:rsidRDefault="00CF015A" w:rsidP="00DC1A9A">
      <w:pPr>
        <w:pStyle w:val="lbs-dokumente"/>
        <w:tabs>
          <w:tab w:val="left" w:pos="2411"/>
          <w:tab w:val="left" w:pos="5959"/>
        </w:tabs>
        <w:ind w:left="709"/>
      </w:pPr>
      <w:r w:rsidRPr="00CF015A">
        <w:t xml:space="preserve">capitis </w:t>
      </w:r>
      <w:proofErr w:type="spellStart"/>
      <w:r w:rsidRPr="00CF015A">
        <w:t>damnare</w:t>
      </w:r>
      <w:proofErr w:type="spellEnd"/>
      <w:r w:rsidRPr="00CF015A">
        <w:t>: zum Tode verurteilen</w:t>
      </w:r>
    </w:p>
    <w:p w14:paraId="1510A87C" w14:textId="77777777" w:rsidR="00CF015A" w:rsidRPr="00CF015A" w:rsidRDefault="0010605B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10605B">
        <w:rPr>
          <w:rFonts w:asciiTheme="minorHAnsi" w:hAnsiTheme="minorHAnsi"/>
          <w:b/>
          <w:bCs/>
          <w:szCs w:val="22"/>
        </w:rPr>
        <w:t>defendere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defendō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defendī</w:t>
      </w:r>
      <w:proofErr w:type="spellEnd"/>
      <w:r w:rsidRPr="0010605B">
        <w:rPr>
          <w:rFonts w:asciiTheme="minorHAnsi" w:hAnsiTheme="minorHAnsi"/>
          <w:szCs w:val="22"/>
        </w:rPr>
        <w:t xml:space="preserve">, </w:t>
      </w:r>
      <w:proofErr w:type="spellStart"/>
      <w:r w:rsidRPr="0010605B">
        <w:rPr>
          <w:rFonts w:asciiTheme="minorHAnsi" w:hAnsiTheme="minorHAnsi"/>
          <w:szCs w:val="22"/>
        </w:rPr>
        <w:t>defēnsum</w:t>
      </w:r>
      <w:proofErr w:type="spellEnd"/>
      <w:r>
        <w:t>:</w:t>
      </w:r>
      <w:r w:rsidR="00CF015A">
        <w:t xml:space="preserve"> </w:t>
      </w:r>
      <w:r w:rsidR="00CF015A" w:rsidRPr="00CF015A">
        <w:t>verteidigen (militärisch und vor Gericht)</w:t>
      </w:r>
    </w:p>
    <w:p w14:paraId="3B1C4DAD" w14:textId="77777777" w:rsidR="00CF015A" w:rsidRPr="00CF015A" w:rsidRDefault="00B37636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B37636">
        <w:rPr>
          <w:rFonts w:asciiTheme="minorHAnsi" w:hAnsiTheme="minorHAnsi"/>
          <w:b/>
          <w:bCs/>
          <w:szCs w:val="22"/>
        </w:rPr>
        <w:lastRenderedPageBreak/>
        <w:t>peccāre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peccō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peccāvī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peccātum</w:t>
      </w:r>
      <w:proofErr w:type="spellEnd"/>
      <w:r w:rsidR="00CF015A">
        <w:t xml:space="preserve">: </w:t>
      </w:r>
      <w:r w:rsidR="00CF015A" w:rsidRPr="00CF015A">
        <w:t>etwas Falsches tun, eine Straftat begehen</w:t>
      </w:r>
    </w:p>
    <w:p w14:paraId="47DCBB44" w14:textId="77777777" w:rsidR="00CF015A" w:rsidRDefault="00B37636" w:rsidP="00F237BA">
      <w:pPr>
        <w:pStyle w:val="lbs-dokumente"/>
        <w:tabs>
          <w:tab w:val="left" w:pos="2411"/>
          <w:tab w:val="left" w:pos="5959"/>
        </w:tabs>
      </w:pPr>
      <w:proofErr w:type="spellStart"/>
      <w:r w:rsidRPr="00B37636">
        <w:rPr>
          <w:rFonts w:asciiTheme="minorHAnsi" w:hAnsiTheme="minorHAnsi"/>
          <w:b/>
          <w:bCs/>
          <w:szCs w:val="22"/>
        </w:rPr>
        <w:t>iūrāre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iūrō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iūrāvī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iūrātum</w:t>
      </w:r>
      <w:proofErr w:type="spellEnd"/>
      <w:r>
        <w:rPr>
          <w:rFonts w:asciiTheme="minorHAnsi" w:hAnsiTheme="minorHAnsi"/>
          <w:szCs w:val="22"/>
        </w:rPr>
        <w:t xml:space="preserve">: </w:t>
      </w:r>
      <w:r w:rsidR="00CF015A" w:rsidRPr="00CF015A">
        <w:t>schwören</w:t>
      </w:r>
      <w:r>
        <w:t>, etwas unter Eid aussagen</w:t>
      </w:r>
    </w:p>
    <w:p w14:paraId="7A08FC3D" w14:textId="77777777" w:rsidR="00CF015A" w:rsidRPr="00CF015A" w:rsidRDefault="00CF015A" w:rsidP="00DC1A9A">
      <w:pPr>
        <w:pStyle w:val="lbs-dokumente"/>
        <w:tabs>
          <w:tab w:val="left" w:pos="2411"/>
          <w:tab w:val="left" w:pos="5959"/>
        </w:tabs>
        <w:ind w:left="709"/>
      </w:pPr>
      <w:proofErr w:type="spellStart"/>
      <w:r w:rsidRPr="00CF015A">
        <w:t>ius</w:t>
      </w:r>
      <w:proofErr w:type="spellEnd"/>
      <w:r w:rsidRPr="00CF015A">
        <w:t xml:space="preserve"> </w:t>
      </w:r>
      <w:proofErr w:type="spellStart"/>
      <w:r w:rsidRPr="00CF015A">
        <w:t>iurandum</w:t>
      </w:r>
      <w:proofErr w:type="spellEnd"/>
      <w:r w:rsidRPr="00CF015A">
        <w:t>: der Eid</w:t>
      </w:r>
    </w:p>
    <w:p w14:paraId="45C19683" w14:textId="77777777" w:rsidR="00CF015A" w:rsidRPr="00CF015A" w:rsidRDefault="00B37636" w:rsidP="00CF651D">
      <w:pPr>
        <w:pStyle w:val="lbs-dokumente"/>
        <w:tabs>
          <w:tab w:val="left" w:pos="2411"/>
          <w:tab w:val="left" w:pos="5959"/>
        </w:tabs>
      </w:pPr>
      <w:proofErr w:type="spellStart"/>
      <w:r w:rsidRPr="00B37636">
        <w:rPr>
          <w:rFonts w:asciiTheme="minorHAnsi" w:hAnsiTheme="minorHAnsi"/>
          <w:b/>
          <w:bCs/>
          <w:szCs w:val="22"/>
        </w:rPr>
        <w:t>fatērī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fateor</w:t>
      </w:r>
      <w:proofErr w:type="spellEnd"/>
      <w:r w:rsidRPr="00B37636">
        <w:rPr>
          <w:rFonts w:asciiTheme="minorHAnsi" w:hAnsiTheme="minorHAnsi"/>
          <w:szCs w:val="22"/>
        </w:rPr>
        <w:t xml:space="preserve">, </w:t>
      </w:r>
      <w:proofErr w:type="spellStart"/>
      <w:r w:rsidRPr="00B37636">
        <w:rPr>
          <w:rFonts w:asciiTheme="minorHAnsi" w:hAnsiTheme="minorHAnsi"/>
          <w:szCs w:val="22"/>
        </w:rPr>
        <w:t>fassa</w:t>
      </w:r>
      <w:proofErr w:type="spellEnd"/>
      <w:r w:rsidRPr="00B37636">
        <w:rPr>
          <w:rFonts w:asciiTheme="minorHAnsi" w:hAnsiTheme="minorHAnsi"/>
          <w:szCs w:val="22"/>
        </w:rPr>
        <w:t>/</w:t>
      </w:r>
      <w:proofErr w:type="spellStart"/>
      <w:r w:rsidRPr="00B37636">
        <w:rPr>
          <w:rFonts w:asciiTheme="minorHAnsi" w:hAnsiTheme="minorHAnsi"/>
          <w:szCs w:val="22"/>
        </w:rPr>
        <w:t>fassus</w:t>
      </w:r>
      <w:proofErr w:type="spellEnd"/>
      <w:r w:rsidRPr="00B37636">
        <w:rPr>
          <w:rFonts w:asciiTheme="minorHAnsi" w:hAnsiTheme="minorHAnsi"/>
          <w:szCs w:val="22"/>
        </w:rPr>
        <w:t xml:space="preserve"> </w:t>
      </w:r>
      <w:proofErr w:type="spellStart"/>
      <w:r w:rsidRPr="00B37636">
        <w:rPr>
          <w:rFonts w:asciiTheme="minorHAnsi" w:hAnsiTheme="minorHAnsi"/>
          <w:szCs w:val="22"/>
        </w:rPr>
        <w:t>sum</w:t>
      </w:r>
      <w:proofErr w:type="spellEnd"/>
      <w:r w:rsidR="00CF015A" w:rsidRPr="00CF015A">
        <w:t xml:space="preserve"> (Deponens)</w:t>
      </w:r>
      <w:r w:rsidR="00CF015A">
        <w:t xml:space="preserve">: </w:t>
      </w:r>
      <w:r w:rsidR="00CF015A" w:rsidRPr="00CF015A">
        <w:t>gestehen, erklären</w:t>
      </w:r>
    </w:p>
    <w:p w14:paraId="2EB7FE3A" w14:textId="77777777" w:rsidR="00CF015A" w:rsidRPr="00CF015A" w:rsidRDefault="00B37636" w:rsidP="00CF651D">
      <w:pPr>
        <w:pStyle w:val="lbs-dokumente"/>
        <w:tabs>
          <w:tab w:val="left" w:pos="2411"/>
          <w:tab w:val="left" w:pos="5959"/>
        </w:tabs>
      </w:pPr>
      <w:proofErr w:type="spellStart"/>
      <w:r>
        <w:rPr>
          <w:rStyle w:val="Fett"/>
        </w:rPr>
        <w:t>cōnfitērī</w:t>
      </w:r>
      <w:proofErr w:type="spellEnd"/>
      <w:r>
        <w:t xml:space="preserve">, </w:t>
      </w:r>
      <w:proofErr w:type="spellStart"/>
      <w:r>
        <w:t>cōnfiteor</w:t>
      </w:r>
      <w:proofErr w:type="spellEnd"/>
      <w:r>
        <w:t xml:space="preserve">, </w:t>
      </w:r>
      <w:proofErr w:type="spellStart"/>
      <w:r>
        <w:t>cōnfessa</w:t>
      </w:r>
      <w:proofErr w:type="spellEnd"/>
      <w:r>
        <w:t>/</w:t>
      </w:r>
      <w:proofErr w:type="spellStart"/>
      <w:r>
        <w:t>cōnfessus</w:t>
      </w:r>
      <w:proofErr w:type="spellEnd"/>
      <w:r>
        <w:t xml:space="preserve"> </w:t>
      </w:r>
      <w:proofErr w:type="spellStart"/>
      <w:r>
        <w:t>sum</w:t>
      </w:r>
      <w:proofErr w:type="spellEnd"/>
      <w:r w:rsidRPr="00CF015A">
        <w:t xml:space="preserve"> </w:t>
      </w:r>
      <w:r w:rsidR="00CF015A" w:rsidRPr="00CF015A">
        <w:t>(Deponens, Kompositum</w:t>
      </w:r>
      <w:r w:rsidR="00CF015A">
        <w:t xml:space="preserve"> </w:t>
      </w:r>
      <w:r w:rsidR="00CF015A" w:rsidRPr="00CF015A">
        <w:t xml:space="preserve">zu </w:t>
      </w:r>
      <w:proofErr w:type="spellStart"/>
      <w:r w:rsidR="00CF015A" w:rsidRPr="00CF015A">
        <w:t>fatērī</w:t>
      </w:r>
      <w:proofErr w:type="spellEnd"/>
      <w:r w:rsidR="00CF015A" w:rsidRPr="00CF015A">
        <w:t>)</w:t>
      </w:r>
      <w:r w:rsidR="00CF015A">
        <w:t xml:space="preserve">: </w:t>
      </w:r>
      <w:r w:rsidR="00CF015A" w:rsidRPr="00CF015A">
        <w:t>gestehen</w:t>
      </w:r>
    </w:p>
    <w:p w14:paraId="63A0BA5B" w14:textId="335A8D83" w:rsidR="00BD1AD3" w:rsidRDefault="008765E6" w:rsidP="008765E6">
      <w:pPr>
        <w:pStyle w:val="lbs-dokumente"/>
        <w:jc w:val="center"/>
      </w:pPr>
      <w:r>
        <w:rPr>
          <w:noProof/>
        </w:rPr>
        <w:drawing>
          <wp:inline distT="0" distB="0" distL="0" distR="0" wp14:anchorId="61DE7EA1" wp14:editId="2FACC367">
            <wp:extent cx="4252244" cy="4213860"/>
            <wp:effectExtent l="0" t="0" r="0" b="0"/>
            <wp:docPr id="2" name="Grafik 2" descr="Ein Bild, das Text, Karte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cht-gros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740" cy="421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DEDB3" w14:textId="77777777" w:rsidR="008F694E" w:rsidRPr="00374627" w:rsidRDefault="008F694E" w:rsidP="008F694E">
      <w:pPr>
        <w:jc w:val="center"/>
        <w:rPr>
          <w:sz w:val="16"/>
          <w:szCs w:val="16"/>
        </w:rPr>
      </w:pPr>
      <w:r w:rsidRPr="00374627">
        <w:rPr>
          <w:sz w:val="16"/>
          <w:szCs w:val="16"/>
        </w:rPr>
        <w:t>Lizenz des Bildes: Standardlizenz des Landesbildungsservers; siehe letzte Seite dieses Dokuments</w:t>
      </w:r>
      <w:r>
        <w:rPr>
          <w:sz w:val="16"/>
          <w:szCs w:val="16"/>
        </w:rPr>
        <w:t>.</w:t>
      </w:r>
    </w:p>
    <w:p w14:paraId="33F3A42C" w14:textId="77777777" w:rsidR="008F694E" w:rsidRDefault="008F694E" w:rsidP="008765E6">
      <w:pPr>
        <w:pStyle w:val="lbs-dokumente"/>
        <w:jc w:val="center"/>
      </w:pPr>
      <w:bookmarkStart w:id="0" w:name="_GoBack"/>
      <w:bookmarkEnd w:id="0"/>
    </w:p>
    <w:p w14:paraId="281A133F" w14:textId="77777777" w:rsidR="00B37636" w:rsidRPr="00B37636" w:rsidRDefault="00B37636" w:rsidP="00B37636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de-DE" w:bidi="ar-SA"/>
        </w:rPr>
      </w:pPr>
      <w:proofErr w:type="spellStart"/>
      <w:r w:rsidRPr="00B37636">
        <w:rPr>
          <w:rFonts w:ascii="Arial" w:eastAsia="Times New Roman" w:hAnsi="Arial" w:cs="Arial"/>
          <w:b/>
          <w:bCs/>
          <w:sz w:val="27"/>
          <w:szCs w:val="27"/>
          <w:lang w:eastAsia="de-DE" w:bidi="ar-SA"/>
        </w:rPr>
        <w:t>Lexemfelder</w:t>
      </w:r>
      <w:proofErr w:type="spellEnd"/>
    </w:p>
    <w:p w14:paraId="0B6117BB" w14:textId="77777777" w:rsidR="00B37636" w:rsidRPr="00B37636" w:rsidRDefault="00B37636" w:rsidP="00B37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la-Latn" w:eastAsia="de-DE" w:bidi="ar-SA"/>
        </w:rPr>
      </w:pPr>
      <w:r w:rsidRPr="00B37636">
        <w:rPr>
          <w:rFonts w:ascii="Arial" w:eastAsia="Times New Roman" w:hAnsi="Arial" w:cs="Arial"/>
          <w:sz w:val="24"/>
          <w:szCs w:val="24"/>
          <w:lang w:val="la-Latn" w:eastAsia="de-DE" w:bidi="ar-SA"/>
        </w:rPr>
        <w:t xml:space="preserve">iūs – iūrāre – iūdicāre – iūstitia – iūdicium – iūstus/iniūstus – iūdex </w:t>
      </w:r>
    </w:p>
    <w:p w14:paraId="26D80B1F" w14:textId="77777777" w:rsidR="00B37636" w:rsidRPr="00B37636" w:rsidRDefault="00B37636" w:rsidP="00B37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la-Latn" w:eastAsia="de-DE" w:bidi="ar-SA"/>
        </w:rPr>
      </w:pPr>
      <w:r w:rsidRPr="00B37636">
        <w:rPr>
          <w:rFonts w:ascii="Arial" w:eastAsia="Times New Roman" w:hAnsi="Arial" w:cs="Arial"/>
          <w:sz w:val="24"/>
          <w:szCs w:val="24"/>
          <w:lang w:val="la-Latn" w:eastAsia="de-DE" w:bidi="ar-SA"/>
        </w:rPr>
        <w:t>punīre – poena</w:t>
      </w:r>
    </w:p>
    <w:p w14:paraId="492F61DA" w14:textId="77777777" w:rsidR="00B37636" w:rsidRPr="00B37636" w:rsidRDefault="00B37636" w:rsidP="00B3763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val="la-Latn" w:eastAsia="de-DE" w:bidi="ar-SA"/>
        </w:rPr>
      </w:pPr>
      <w:r w:rsidRPr="00B37636">
        <w:rPr>
          <w:rFonts w:ascii="Arial" w:eastAsia="Times New Roman" w:hAnsi="Arial" w:cs="Arial"/>
          <w:sz w:val="24"/>
          <w:szCs w:val="24"/>
          <w:lang w:val="la-Latn" w:eastAsia="de-DE" w:bidi="ar-SA"/>
        </w:rPr>
        <w:t xml:space="preserve">accūsāre – accūsātor </w:t>
      </w:r>
    </w:p>
    <w:p w14:paraId="39C9CDE0" w14:textId="77777777" w:rsidR="00B37636" w:rsidRPr="00B37636" w:rsidRDefault="00B37636" w:rsidP="00B376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  <w:r w:rsidRPr="00B37636">
        <w:rPr>
          <w:rFonts w:ascii="Arial" w:eastAsia="Times New Roman" w:hAnsi="Arial" w:cs="Arial"/>
          <w:sz w:val="24"/>
          <w:szCs w:val="24"/>
          <w:lang w:val="la-Latn" w:eastAsia="de-DE" w:bidi="ar-SA"/>
        </w:rPr>
        <w:t>fatērī – cōnfitērī</w:t>
      </w:r>
    </w:p>
    <w:p w14:paraId="0DEBD083" w14:textId="77777777" w:rsidR="00CF015A" w:rsidRDefault="00CF015A" w:rsidP="00DC1A9A">
      <w:pPr>
        <w:pStyle w:val="lbs-dokumente"/>
      </w:pPr>
    </w:p>
    <w:p w14:paraId="2AAAE5AB" w14:textId="77777777" w:rsidR="00BD1AD3" w:rsidRDefault="00BD1AD3" w:rsidP="00DC1A9A">
      <w:pPr>
        <w:pStyle w:val="lbs-dokumente"/>
      </w:pPr>
    </w:p>
    <w:p w14:paraId="79398DCF" w14:textId="77777777" w:rsidR="00BD1AD3" w:rsidRDefault="00BD1AD3" w:rsidP="00DC1A9A">
      <w:pPr>
        <w:pStyle w:val="lbs-dokumente"/>
        <w:rPr>
          <w:rStyle w:val="Hyperlink"/>
          <w:color w:val="0E57C4" w:themeColor="background2" w:themeShade="80"/>
        </w:rPr>
      </w:pPr>
      <w:r>
        <w:t xml:space="preserve">URL dieser Seite: </w:t>
      </w:r>
      <w:hyperlink r:id="rId10" w:history="1">
        <w:r w:rsidR="00B37636" w:rsidRPr="00774D66">
          <w:rPr>
            <w:rStyle w:val="Hyperlink"/>
            <w:color w:val="4B2467" w:themeColor="hyperlink" w:themeShade="80"/>
          </w:rPr>
          <w:t>http://www.schule-bw.de/faecher-und-schularten/sprachen-und-literatur/latein/sprache/grundwortschatz/staat-und-recht/recht.html</w:t>
        </w:r>
      </w:hyperlink>
      <w:r w:rsidR="00B37636">
        <w:rPr>
          <w:rStyle w:val="Hyperlink"/>
          <w:color w:val="0E57C4" w:themeColor="background2" w:themeShade="80"/>
        </w:rPr>
        <w:t xml:space="preserve"> </w:t>
      </w:r>
    </w:p>
    <w:p w14:paraId="30024359" w14:textId="77777777" w:rsidR="00B37636" w:rsidRDefault="00B37636" w:rsidP="00DC1A9A">
      <w:pPr>
        <w:pStyle w:val="lbs-dokumente"/>
      </w:pPr>
      <w:r>
        <w:t>Das HTML-Dokument enthält bei jedem Wort Links zu den Deklinations- bzw. Konjugationstabellen</w:t>
      </w:r>
    </w:p>
    <w:sectPr w:rsidR="00B37636">
      <w:headerReference w:type="default" r:id="rId11"/>
      <w:footerReference w:type="default" r:id="rId12"/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80E88" w14:textId="77777777" w:rsidR="0002756A" w:rsidRDefault="0002756A">
      <w:r>
        <w:separator/>
      </w:r>
    </w:p>
  </w:endnote>
  <w:endnote w:type="continuationSeparator" w:id="0">
    <w:p w14:paraId="3D8D2CF9" w14:textId="77777777" w:rsidR="0002756A" w:rsidRDefault="00027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DF04" w14:textId="77777777" w:rsidR="00202DA3" w:rsidRDefault="0002756A">
    <w:pPr>
      <w:pStyle w:val="Fuzeile"/>
    </w:pPr>
    <w:hyperlink r:id="rId1" w:tgtFrame="_blank" w:history="1">
      <w:r w:rsidR="001A1D2B" w:rsidRPr="001A1D2B">
        <w:rPr>
          <w:rFonts w:ascii="Verdana" w:hAnsi="Verdana"/>
          <w:color w:val="0070C0"/>
          <w:sz w:val="20"/>
          <w:szCs w:val="20"/>
        </w:rPr>
        <w:t>www.latein-bw.de</w:t>
      </w:r>
    </w:hyperlink>
    <w:r w:rsidR="00F44721" w:rsidRPr="001A1D2B">
      <w:rPr>
        <w:rFonts w:ascii="Verdana" w:hAnsi="Verdana"/>
        <w:color w:val="0070C0"/>
        <w:sz w:val="20"/>
        <w:szCs w:val="20"/>
      </w:rPr>
      <w:t xml:space="preserve"> </w:t>
    </w:r>
    <w:r w:rsidR="00F44721">
      <w:rPr>
        <w:rFonts w:ascii="Verdana" w:hAnsi="Verdana"/>
        <w:sz w:val="20"/>
        <w:szCs w:val="20"/>
      </w:rPr>
      <w:tab/>
    </w:r>
    <w:r w:rsidR="00F44721">
      <w:rPr>
        <w:rFonts w:ascii="Verdana" w:hAnsi="Verdana"/>
        <w:sz w:val="20"/>
        <w:szCs w:val="20"/>
      </w:rPr>
      <w:tab/>
      <w:t xml:space="preserve">Seite </w:t>
    </w:r>
    <w:r w:rsidR="00F44721">
      <w:rPr>
        <w:rFonts w:ascii="Verdana" w:hAnsi="Verdana"/>
        <w:sz w:val="20"/>
        <w:szCs w:val="20"/>
      </w:rPr>
      <w:fldChar w:fldCharType="begin"/>
    </w:r>
    <w:r w:rsidR="00F44721">
      <w:rPr>
        <w:rFonts w:ascii="Verdana" w:hAnsi="Verdana"/>
        <w:sz w:val="20"/>
        <w:szCs w:val="20"/>
      </w:rPr>
      <w:instrText xml:space="preserve"> PAGE </w:instrText>
    </w:r>
    <w:r w:rsidR="00F44721">
      <w:rPr>
        <w:rFonts w:ascii="Verdana" w:hAnsi="Verdana"/>
        <w:sz w:val="20"/>
        <w:szCs w:val="20"/>
      </w:rPr>
      <w:fldChar w:fldCharType="separate"/>
    </w:r>
    <w:r w:rsidR="007D417E">
      <w:rPr>
        <w:rFonts w:ascii="Verdana" w:hAnsi="Verdana"/>
        <w:noProof/>
        <w:sz w:val="20"/>
        <w:szCs w:val="20"/>
      </w:rPr>
      <w:t>2</w:t>
    </w:r>
    <w:r w:rsidR="00F44721"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40F0C7" w14:textId="77777777" w:rsidR="0002756A" w:rsidRDefault="0002756A">
      <w:r>
        <w:rPr>
          <w:color w:val="000000"/>
        </w:rPr>
        <w:separator/>
      </w:r>
    </w:p>
  </w:footnote>
  <w:footnote w:type="continuationSeparator" w:id="0">
    <w:p w14:paraId="1EBCDC3C" w14:textId="77777777" w:rsidR="0002756A" w:rsidRDefault="00027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212"/>
      <w:gridCol w:w="3213"/>
      <w:gridCol w:w="3213"/>
    </w:tblGrid>
    <w:tr w:rsidR="00202DA3" w14:paraId="58DBA27B" w14:textId="77777777">
      <w:trPr>
        <w:trHeight w:val="794"/>
      </w:trPr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97E4AB" w14:textId="77777777" w:rsidR="00202DA3" w:rsidRDefault="00F44721" w:rsidP="00B30055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298A8AE" wp14:editId="658C16EA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12C7E38" w14:textId="77777777" w:rsidR="00202DA3" w:rsidRDefault="0002756A" w:rsidP="00B30055">
          <w:pPr>
            <w:pStyle w:val="TableContents"/>
            <w:spacing w:before="0" w:after="0" w:line="240" w:lineRule="auto"/>
          </w:pPr>
        </w:p>
      </w:tc>
      <w:tc>
        <w:tcPr>
          <w:tcW w:w="3213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F2D4D5" w14:textId="77777777" w:rsidR="00202DA3" w:rsidRDefault="008C2639" w:rsidP="00B30055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>Lateinp</w:t>
          </w:r>
          <w:r w:rsidR="00337058">
            <w:rPr>
              <w:rFonts w:ascii="Arial Rounded MT Bold" w:hAnsi="Arial Rounded MT Bold"/>
            </w:rPr>
            <w:t xml:space="preserve">ortal </w:t>
          </w:r>
          <w:r w:rsidR="00337058">
            <w:rPr>
              <w:rFonts w:ascii="Arial Rounded MT Bold" w:hAnsi="Arial Rounded MT Bold"/>
            </w:rPr>
            <w:br/>
          </w:r>
          <w:r w:rsidR="00EA2BE5">
            <w:rPr>
              <w:rFonts w:ascii="Arial Rounded MT Bold" w:hAnsi="Arial Rounded MT Bold"/>
            </w:rPr>
            <w:t>Grundwortschatz</w:t>
          </w:r>
          <w:r w:rsidR="00337058">
            <w:rPr>
              <w:rFonts w:ascii="Arial Rounded MT Bold" w:hAnsi="Arial Rounded MT Bold"/>
            </w:rPr>
            <w:br/>
          </w:r>
        </w:p>
      </w:tc>
    </w:tr>
  </w:tbl>
  <w:p w14:paraId="7CF52960" w14:textId="77777777" w:rsidR="00202DA3" w:rsidRDefault="0002756A" w:rsidP="00B30055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C323F"/>
    <w:multiLevelType w:val="hybridMultilevel"/>
    <w:tmpl w:val="8A6490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D3389"/>
    <w:multiLevelType w:val="multilevel"/>
    <w:tmpl w:val="8B3E3CE2"/>
    <w:lvl w:ilvl="0">
      <w:start w:val="1"/>
      <w:numFmt w:val="lowerLetter"/>
      <w:lvlText w:val="%1."/>
      <w:lvlJc w:val="left"/>
      <w:pPr>
        <w:ind w:left="707" w:hanging="283"/>
      </w:p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hint="default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386F27B0"/>
    <w:multiLevelType w:val="multilevel"/>
    <w:tmpl w:val="776E29F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4245126F"/>
    <w:multiLevelType w:val="hybridMultilevel"/>
    <w:tmpl w:val="9EFA5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363"/>
    <w:multiLevelType w:val="multilevel"/>
    <w:tmpl w:val="8D3A5B1E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start w:val="1"/>
      <w:numFmt w:val="bullet"/>
      <w:lvlText w:val=""/>
      <w:lvlJc w:val="left"/>
      <w:pPr>
        <w:ind w:left="2121" w:hanging="283"/>
      </w:pPr>
      <w:rPr>
        <w:rFonts w:ascii="Wingdings" w:hAnsi="Wingdings" w:hint="default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5404668A"/>
    <w:multiLevelType w:val="multilevel"/>
    <w:tmpl w:val="063A478A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ascii="StarSymbol" w:eastAsia="OpenSymbol" w:hAnsi="Star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5FBA36D5"/>
    <w:multiLevelType w:val="hybridMultilevel"/>
    <w:tmpl w:val="870EBCDC"/>
    <w:lvl w:ilvl="0" w:tplc="D0FE3A2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805C1"/>
    <w:multiLevelType w:val="hybridMultilevel"/>
    <w:tmpl w:val="C5E2F37C"/>
    <w:lvl w:ilvl="0" w:tplc="3F8681A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72BBF"/>
    <w:multiLevelType w:val="hybridMultilevel"/>
    <w:tmpl w:val="E8220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BE5"/>
    <w:rsid w:val="0002756A"/>
    <w:rsid w:val="000B1C26"/>
    <w:rsid w:val="000C339D"/>
    <w:rsid w:val="0010605B"/>
    <w:rsid w:val="00106877"/>
    <w:rsid w:val="0011066F"/>
    <w:rsid w:val="001336F8"/>
    <w:rsid w:val="00145691"/>
    <w:rsid w:val="001522BB"/>
    <w:rsid w:val="00166926"/>
    <w:rsid w:val="001721C4"/>
    <w:rsid w:val="001A1D2B"/>
    <w:rsid w:val="001E128F"/>
    <w:rsid w:val="00233A5B"/>
    <w:rsid w:val="00244475"/>
    <w:rsid w:val="00317A54"/>
    <w:rsid w:val="00337058"/>
    <w:rsid w:val="003633C3"/>
    <w:rsid w:val="003975CE"/>
    <w:rsid w:val="003C11DC"/>
    <w:rsid w:val="003D4506"/>
    <w:rsid w:val="00405B28"/>
    <w:rsid w:val="004548BE"/>
    <w:rsid w:val="00480D40"/>
    <w:rsid w:val="004A4D17"/>
    <w:rsid w:val="004B7822"/>
    <w:rsid w:val="004E1E9F"/>
    <w:rsid w:val="005363FB"/>
    <w:rsid w:val="005B59AE"/>
    <w:rsid w:val="005E26A9"/>
    <w:rsid w:val="006139E9"/>
    <w:rsid w:val="007066C0"/>
    <w:rsid w:val="00724AEC"/>
    <w:rsid w:val="007405FE"/>
    <w:rsid w:val="00777322"/>
    <w:rsid w:val="007C4648"/>
    <w:rsid w:val="007D417E"/>
    <w:rsid w:val="00810E9E"/>
    <w:rsid w:val="00825DA7"/>
    <w:rsid w:val="008765E6"/>
    <w:rsid w:val="00885D32"/>
    <w:rsid w:val="008C2639"/>
    <w:rsid w:val="008F694E"/>
    <w:rsid w:val="00913DD3"/>
    <w:rsid w:val="00933128"/>
    <w:rsid w:val="009C2E64"/>
    <w:rsid w:val="009E3034"/>
    <w:rsid w:val="009E4A54"/>
    <w:rsid w:val="00AA2F5E"/>
    <w:rsid w:val="00AB19FD"/>
    <w:rsid w:val="00B14434"/>
    <w:rsid w:val="00B21708"/>
    <w:rsid w:val="00B30055"/>
    <w:rsid w:val="00B37636"/>
    <w:rsid w:val="00B447D9"/>
    <w:rsid w:val="00B614AB"/>
    <w:rsid w:val="00B87D12"/>
    <w:rsid w:val="00BD1AD3"/>
    <w:rsid w:val="00CA7AD5"/>
    <w:rsid w:val="00CF015A"/>
    <w:rsid w:val="00CF651D"/>
    <w:rsid w:val="00DC1A9A"/>
    <w:rsid w:val="00EA2BE5"/>
    <w:rsid w:val="00F103ED"/>
    <w:rsid w:val="00F152EB"/>
    <w:rsid w:val="00F237BA"/>
    <w:rsid w:val="00F35936"/>
    <w:rsid w:val="00F44721"/>
    <w:rsid w:val="00F5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B6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de-DE" w:eastAsia="zh-CN" w:bidi="hi-IN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13DD3"/>
    <w:pPr>
      <w:spacing w:before="200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44475"/>
    <w:pPr>
      <w:keepNext/>
      <w:keepLines/>
      <w:pBdr>
        <w:left w:val="single" w:sz="12" w:space="12" w:color="629DD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3DD3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13DD3"/>
    <w:pPr>
      <w:keepNext/>
      <w:keepLines/>
      <w:spacing w:before="240" w:after="240" w:line="259" w:lineRule="auto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47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next w:val="Standard"/>
    <w:uiPriority w:val="35"/>
    <w:unhideWhenUsed/>
    <w:qFormat/>
    <w:rsid w:val="00244475"/>
    <w:pPr>
      <w:spacing w:line="240" w:lineRule="auto"/>
    </w:pPr>
    <w:rPr>
      <w:b/>
      <w:bCs/>
      <w:color w:val="629DD1" w:themeColor="accent2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spacing w:after="198" w:line="360" w:lineRule="auto"/>
    </w:pPr>
    <w:rPr>
      <w:rFonts w:ascii="Arial" w:hAnsi="Arial"/>
      <w:sz w:val="22"/>
    </w:rPr>
  </w:style>
  <w:style w:type="paragraph" w:customStyle="1" w:styleId="berschrift1-lbs">
    <w:name w:val="Überschrift1-lbs"/>
    <w:next w:val="lbs-dokumente"/>
    <w:pPr>
      <w:spacing w:after="170"/>
      <w:ind w:right="-62"/>
    </w:pPr>
    <w:rPr>
      <w:rFonts w:ascii="Arial" w:hAnsi="Arial"/>
      <w:b/>
      <w:sz w:val="3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uiPriority w:val="20"/>
    <w:qFormat/>
    <w:rsid w:val="00244475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13DD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44475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44475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13DD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44475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4447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44475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475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475"/>
    <w:rPr>
      <w:rFonts w:asciiTheme="majorHAnsi" w:eastAsiaTheme="majorEastAsia" w:hAnsiTheme="majorHAnsi" w:cstheme="majorBidi"/>
      <w:i/>
      <w:iCs/>
      <w:caps/>
    </w:rPr>
  </w:style>
  <w:style w:type="paragraph" w:styleId="Titel">
    <w:name w:val="Title"/>
    <w:basedOn w:val="Standard"/>
    <w:next w:val="Standard"/>
    <w:link w:val="TitelZchn"/>
    <w:uiPriority w:val="10"/>
    <w:qFormat/>
    <w:rsid w:val="00244475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244475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44475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44475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44475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KeinLeerraum">
    <w:name w:val="No Spacing"/>
    <w:uiPriority w:val="1"/>
    <w:qFormat/>
    <w:rsid w:val="00244475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44475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244475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4447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44475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244475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244475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244475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244475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244475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44475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EA2BE5"/>
    <w:rPr>
      <w:color w:val="9454C3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A2BE5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1522BB"/>
    <w:rPr>
      <w:color w:val="3EBBF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4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ule-bw.de/faecher-und-schularten/sprachen-und-literatur/latein/sprache/kasuslehre/kasuslehre-gesam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chule-bw.de/faecher-und-schularten/sprachen-und-literatur/latein/sprache/grundwortschatz/staat-und-recht/recht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tein-bw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\Documents\landesbildungsserver-2014b\lbs-dateien%20neu\vorlagen\vorlage-latein.dotx" TargetMode="External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99991-BA43-4B98-841F-9EF3FEE0C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vorlage-latein.dotx</Template>
  <TotalTime>0</TotalTime>
  <Pages>4</Pages>
  <Words>454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Grundwortschatz Macht und Staat</vt:lpstr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Grundwortschatz Macht und Staat</dc:title>
  <dc:creator/>
  <cp:lastModifiedBy/>
  <cp:revision>1</cp:revision>
  <dcterms:created xsi:type="dcterms:W3CDTF">2018-05-18T12:27:00Z</dcterms:created>
  <dcterms:modified xsi:type="dcterms:W3CDTF">2018-11-21T21:40:00Z</dcterms:modified>
</cp:coreProperties>
</file>