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1A8B" w14:textId="084275E8" w:rsidR="00E45929" w:rsidRPr="005400F7" w:rsidRDefault="00E45929" w:rsidP="00E45929">
      <w:pPr>
        <w:rPr>
          <w:rFonts w:ascii="Arial" w:hAnsi="Arial"/>
          <w:szCs w:val="21"/>
        </w:rPr>
      </w:pPr>
      <w:r w:rsidRPr="005400F7">
        <w:rPr>
          <w:rFonts w:ascii="Arial" w:hAnsi="Arial"/>
          <w:szCs w:val="21"/>
        </w:rPr>
        <w:t xml:space="preserve">Grundwortschatz </w:t>
      </w:r>
      <w:r w:rsidR="00C84971">
        <w:rPr>
          <w:rFonts w:ascii="Arial" w:hAnsi="Arial"/>
          <w:szCs w:val="21"/>
        </w:rPr>
        <w:t>6</w:t>
      </w:r>
      <w:r w:rsidRPr="005400F7">
        <w:rPr>
          <w:rFonts w:ascii="Arial" w:hAnsi="Arial"/>
          <w:szCs w:val="21"/>
        </w:rPr>
        <w:t xml:space="preserve">: </w:t>
      </w:r>
      <w:r w:rsidR="00C84971">
        <w:rPr>
          <w:rFonts w:ascii="Arial" w:hAnsi="Arial"/>
          <w:szCs w:val="21"/>
        </w:rPr>
        <w:t>Handeln des Menschen</w:t>
      </w:r>
    </w:p>
    <w:p w14:paraId="44550F2D" w14:textId="13A7D407" w:rsidR="005400F7" w:rsidRPr="005400F7" w:rsidRDefault="00C84971" w:rsidP="00EA41AF">
      <w:pPr>
        <w:pStyle w:val="berschrift2"/>
        <w:spacing w:after="0"/>
      </w:pPr>
      <w:r>
        <w:t>6.6</w:t>
      </w:r>
      <w:r w:rsidR="005400F7" w:rsidRPr="005400F7">
        <w:t xml:space="preserve">. </w:t>
      </w:r>
      <w:r>
        <w:t>Geld und Handel</w:t>
      </w:r>
    </w:p>
    <w:p w14:paraId="0E341288" w14:textId="4BF3ACCC" w:rsidR="005400F7" w:rsidRPr="005400F7" w:rsidRDefault="00484124" w:rsidP="00EA41AF">
      <w:pPr>
        <w:spacing w:before="0"/>
        <w:jc w:val="righ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1</w:t>
      </w:r>
      <w:r w:rsidR="00C84971">
        <w:rPr>
          <w:rFonts w:ascii="Arial" w:hAnsi="Arial"/>
          <w:szCs w:val="21"/>
        </w:rPr>
        <w:t>0</w:t>
      </w:r>
      <w:r w:rsidR="005400F7" w:rsidRPr="005400F7">
        <w:rPr>
          <w:rFonts w:ascii="Arial" w:hAnsi="Arial"/>
          <w:szCs w:val="21"/>
        </w:rPr>
        <w:t xml:space="preserve"> Wörter</w:t>
      </w:r>
    </w:p>
    <w:p w14:paraId="2C978036" w14:textId="12972035" w:rsidR="00F11DE8" w:rsidRDefault="00C84971" w:rsidP="00EA41AF">
      <w:pPr>
        <w:pStyle w:val="berschrift2"/>
        <w:rPr>
          <w:sz w:val="27"/>
          <w:szCs w:val="27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8C3C0C" wp14:editId="1549CD6E">
            <wp:simplePos x="0" y="0"/>
            <wp:positionH relativeFrom="margin">
              <wp:posOffset>3441700</wp:posOffset>
            </wp:positionH>
            <wp:positionV relativeFrom="margin">
              <wp:posOffset>1501140</wp:posOffset>
            </wp:positionV>
            <wp:extent cx="3038475" cy="3512820"/>
            <wp:effectExtent l="0" t="0" r="9525" b="0"/>
            <wp:wrapSquare wrapText="bothSides"/>
            <wp:docPr id="3" name="Grafik 3" descr="Grundwortschatz Ha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el-gro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6</w:t>
      </w:r>
      <w:r w:rsidR="00F11DE8">
        <w:t>.</w:t>
      </w:r>
      <w:r>
        <w:t>6</w:t>
      </w:r>
      <w:r w:rsidR="00F11DE8">
        <w:t xml:space="preserve">.1. </w:t>
      </w:r>
      <w:r>
        <w:t>Substantive</w:t>
      </w:r>
    </w:p>
    <w:p w14:paraId="068ADFB9" w14:textId="7F90E5B8" w:rsidR="00C84971" w:rsidRPr="00EA41AF" w:rsidRDefault="00C84971" w:rsidP="00EA41AF">
      <w:proofErr w:type="spellStart"/>
      <w:r w:rsidRPr="00EA41AF">
        <w:rPr>
          <w:b/>
        </w:rPr>
        <w:t>mercātor</w:t>
      </w:r>
      <w:proofErr w:type="spellEnd"/>
      <w:r w:rsidRPr="00EA41AF">
        <w:t xml:space="preserve">, </w:t>
      </w:r>
      <w:proofErr w:type="spellStart"/>
      <w:r w:rsidRPr="00EA41AF">
        <w:t>mercātōris</w:t>
      </w:r>
      <w:proofErr w:type="spellEnd"/>
      <w:r w:rsidRPr="00EA41AF">
        <w:t>, m.: der Händler, der Kaufmann</w:t>
      </w:r>
    </w:p>
    <w:p w14:paraId="0C90D054" w14:textId="77777777" w:rsidR="00C84971" w:rsidRDefault="00C84971" w:rsidP="00EA41AF">
      <w:pPr>
        <w:pStyle w:val="berschrift3"/>
      </w:pPr>
      <w:r>
        <w:t>Weitere Substantive: Handel, Geld, Orte</w:t>
      </w:r>
    </w:p>
    <w:p w14:paraId="2A94EF1F" w14:textId="00119546" w:rsidR="00C84971" w:rsidRPr="00C84971" w:rsidRDefault="00C84971" w:rsidP="00C84971">
      <w:proofErr w:type="spellStart"/>
      <w:r w:rsidRPr="00C84971">
        <w:rPr>
          <w:b/>
        </w:rPr>
        <w:t>pecūnia</w:t>
      </w:r>
      <w:proofErr w:type="spellEnd"/>
      <w:r w:rsidRPr="00C84971">
        <w:t xml:space="preserve">, </w:t>
      </w:r>
      <w:proofErr w:type="spellStart"/>
      <w:r w:rsidRPr="00C84971">
        <w:t>pecūniae</w:t>
      </w:r>
      <w:proofErr w:type="spellEnd"/>
      <w:r w:rsidRPr="00C84971">
        <w:t>, f.: das Geld</w:t>
      </w:r>
    </w:p>
    <w:p w14:paraId="2EA6527A" w14:textId="15859A3C" w:rsidR="00C84971" w:rsidRPr="00C84971" w:rsidRDefault="00C84971" w:rsidP="00C84971">
      <w:proofErr w:type="spellStart"/>
      <w:r w:rsidRPr="00C84971">
        <w:rPr>
          <w:b/>
        </w:rPr>
        <w:t>negōtium</w:t>
      </w:r>
      <w:proofErr w:type="spellEnd"/>
      <w:r w:rsidRPr="00C84971">
        <w:t xml:space="preserve">, </w:t>
      </w:r>
      <w:proofErr w:type="spellStart"/>
      <w:r w:rsidRPr="00C84971">
        <w:t>negōtiī</w:t>
      </w:r>
      <w:proofErr w:type="spellEnd"/>
      <w:r w:rsidRPr="00C84971">
        <w:t>, n.: der Handel, die Aufgabe, die Unternehmung</w:t>
      </w:r>
    </w:p>
    <w:p w14:paraId="3DB6E079" w14:textId="77777777" w:rsidR="00C84971" w:rsidRPr="00C84971" w:rsidRDefault="00C84971" w:rsidP="00C84971">
      <w:pPr>
        <w:ind w:left="709"/>
      </w:pPr>
      <w:proofErr w:type="spellStart"/>
      <w:r w:rsidRPr="00C84971">
        <w:t>Neg</w:t>
      </w:r>
      <w:proofErr w:type="spellEnd"/>
      <w:r w:rsidRPr="00C84971">
        <w:t xml:space="preserve">-otium ist das Gegenteil von </w:t>
      </w:r>
      <w:proofErr w:type="spellStart"/>
      <w:r w:rsidRPr="00C84971">
        <w:t>otium</w:t>
      </w:r>
      <w:proofErr w:type="spellEnd"/>
      <w:r w:rsidRPr="00C84971">
        <w:t>: die Muße, die Untätigkeit</w:t>
      </w:r>
    </w:p>
    <w:p w14:paraId="2BCE46BE" w14:textId="1CBED919" w:rsidR="00C84971" w:rsidRPr="00C84971" w:rsidRDefault="00C84971" w:rsidP="00C84971">
      <w:proofErr w:type="spellStart"/>
      <w:r w:rsidRPr="00C84971">
        <w:rPr>
          <w:b/>
        </w:rPr>
        <w:t>forum</w:t>
      </w:r>
      <w:proofErr w:type="spellEnd"/>
      <w:r w:rsidRPr="00C84971">
        <w:t xml:space="preserve">, </w:t>
      </w:r>
      <w:proofErr w:type="spellStart"/>
      <w:r w:rsidRPr="00C84971">
        <w:t>forī</w:t>
      </w:r>
      <w:proofErr w:type="spellEnd"/>
      <w:r w:rsidRPr="00C84971">
        <w:t>, n.: der Marktplatz, das Forum</w:t>
      </w:r>
    </w:p>
    <w:p w14:paraId="237CB720" w14:textId="43902288" w:rsidR="00C84971" w:rsidRPr="00C84971" w:rsidRDefault="00C84971" w:rsidP="00C84971">
      <w:proofErr w:type="spellStart"/>
      <w:r w:rsidRPr="00C84971">
        <w:rPr>
          <w:b/>
        </w:rPr>
        <w:t>dīvitiae</w:t>
      </w:r>
      <w:proofErr w:type="spellEnd"/>
      <w:r w:rsidRPr="00C84971">
        <w:t xml:space="preserve">, </w:t>
      </w:r>
      <w:proofErr w:type="spellStart"/>
      <w:r w:rsidRPr="00C84971">
        <w:t>dīvitiārum</w:t>
      </w:r>
      <w:proofErr w:type="spellEnd"/>
      <w:r w:rsidRPr="00C84971">
        <w:t>, f. (Pluralwort): der Reichtum</w:t>
      </w:r>
    </w:p>
    <w:p w14:paraId="028A00C6" w14:textId="36637840" w:rsidR="00C84971" w:rsidRPr="00C84971" w:rsidRDefault="00C84971" w:rsidP="00C84971">
      <w:proofErr w:type="spellStart"/>
      <w:r w:rsidRPr="00C84971">
        <w:rPr>
          <w:b/>
        </w:rPr>
        <w:t>mercēs</w:t>
      </w:r>
      <w:proofErr w:type="spellEnd"/>
      <w:r w:rsidRPr="00C84971">
        <w:t xml:space="preserve">, </w:t>
      </w:r>
      <w:proofErr w:type="spellStart"/>
      <w:r w:rsidRPr="00C84971">
        <w:t>mercēdis</w:t>
      </w:r>
      <w:proofErr w:type="spellEnd"/>
      <w:r w:rsidRPr="00C84971">
        <w:t>, f.: der Lohn</w:t>
      </w:r>
    </w:p>
    <w:p w14:paraId="68652BC8" w14:textId="77777777" w:rsidR="00C84971" w:rsidRDefault="00C84971" w:rsidP="00EA41AF">
      <w:pPr>
        <w:pStyle w:val="berschrift2"/>
        <w:rPr>
          <w:sz w:val="27"/>
          <w:szCs w:val="27"/>
        </w:rPr>
      </w:pPr>
      <w:r>
        <w:t xml:space="preserve">6.6.2. Adjektive </w:t>
      </w:r>
    </w:p>
    <w:p w14:paraId="0C4D8714" w14:textId="22CC5C15" w:rsidR="00C84971" w:rsidRPr="00C84971" w:rsidRDefault="00C84971" w:rsidP="00C84971">
      <w:pPr>
        <w:pStyle w:val="StandardWeb"/>
        <w:rPr>
          <w:rFonts w:asciiTheme="minorHAnsi" w:hAnsiTheme="minorHAnsi" w:cstheme="minorHAnsi"/>
        </w:rPr>
      </w:pPr>
      <w:proofErr w:type="spellStart"/>
      <w:r w:rsidRPr="00C84971">
        <w:rPr>
          <w:rStyle w:val="Fett"/>
          <w:rFonts w:cstheme="minorHAnsi"/>
        </w:rPr>
        <w:t>dīves</w:t>
      </w:r>
      <w:proofErr w:type="spellEnd"/>
      <w:r w:rsidRPr="00C84971">
        <w:rPr>
          <w:rFonts w:asciiTheme="minorHAnsi" w:hAnsiTheme="minorHAnsi" w:cstheme="minorHAnsi"/>
        </w:rPr>
        <w:t xml:space="preserve">, </w:t>
      </w:r>
      <w:proofErr w:type="spellStart"/>
      <w:r w:rsidRPr="00C84971">
        <w:rPr>
          <w:rFonts w:asciiTheme="minorHAnsi" w:hAnsiTheme="minorHAnsi" w:cstheme="minorHAnsi"/>
        </w:rPr>
        <w:t>dīvitis</w:t>
      </w:r>
      <w:proofErr w:type="spellEnd"/>
      <w:r w:rsidRPr="00C84971">
        <w:rPr>
          <w:rFonts w:asciiTheme="minorHAnsi" w:hAnsiTheme="minorHAnsi" w:cstheme="minorHAnsi"/>
        </w:rPr>
        <w:t>: reich</w:t>
      </w:r>
    </w:p>
    <w:p w14:paraId="1543C191" w14:textId="2262D7B9" w:rsidR="00C84971" w:rsidRPr="00C84971" w:rsidRDefault="00C84971" w:rsidP="00C84971">
      <w:pPr>
        <w:pStyle w:val="StandardWeb"/>
        <w:rPr>
          <w:rFonts w:asciiTheme="minorHAnsi" w:hAnsiTheme="minorHAnsi" w:cstheme="minorHAnsi"/>
        </w:rPr>
      </w:pPr>
      <w:proofErr w:type="spellStart"/>
      <w:r w:rsidRPr="00C84971">
        <w:rPr>
          <w:rStyle w:val="Fett"/>
          <w:rFonts w:cstheme="minorHAnsi"/>
        </w:rPr>
        <w:t>pauper</w:t>
      </w:r>
      <w:proofErr w:type="spellEnd"/>
      <w:r w:rsidRPr="00C84971">
        <w:rPr>
          <w:rFonts w:asciiTheme="minorHAnsi" w:hAnsiTheme="minorHAnsi" w:cstheme="minorHAnsi"/>
        </w:rPr>
        <w:t xml:space="preserve">, </w:t>
      </w:r>
      <w:proofErr w:type="spellStart"/>
      <w:r w:rsidRPr="00C84971">
        <w:rPr>
          <w:rFonts w:asciiTheme="minorHAnsi" w:hAnsiTheme="minorHAnsi" w:cstheme="minorHAnsi"/>
        </w:rPr>
        <w:t>pauperis</w:t>
      </w:r>
      <w:proofErr w:type="spellEnd"/>
      <w:r w:rsidRPr="00C84971">
        <w:rPr>
          <w:rFonts w:asciiTheme="minorHAnsi" w:hAnsiTheme="minorHAnsi" w:cstheme="minorHAnsi"/>
        </w:rPr>
        <w:t>: arm</w:t>
      </w:r>
    </w:p>
    <w:p w14:paraId="63658D19" w14:textId="77777777" w:rsidR="00C84971" w:rsidRPr="00C84971" w:rsidRDefault="00C84971" w:rsidP="00C84971">
      <w:r w:rsidRPr="00C84971">
        <w:t xml:space="preserve">Merke: </w:t>
      </w:r>
      <w:proofErr w:type="spellStart"/>
      <w:r w:rsidRPr="00C84971">
        <w:t>dives</w:t>
      </w:r>
      <w:proofErr w:type="spellEnd"/>
      <w:r w:rsidRPr="00C84971">
        <w:t xml:space="preserve"> und </w:t>
      </w:r>
      <w:proofErr w:type="spellStart"/>
      <w:r w:rsidRPr="00C84971">
        <w:t>pauper</w:t>
      </w:r>
      <w:proofErr w:type="spellEnd"/>
      <w:r w:rsidRPr="00C84971">
        <w:t xml:space="preserve"> werden nach der reinen 3. Deklination ohne i-Erweiterung dekliniert (wie </w:t>
      </w:r>
      <w:proofErr w:type="spellStart"/>
      <w:r w:rsidRPr="00C84971">
        <w:t>miles</w:t>
      </w:r>
      <w:proofErr w:type="spellEnd"/>
      <w:r w:rsidRPr="00C84971">
        <w:t xml:space="preserve">, </w:t>
      </w:r>
      <w:proofErr w:type="spellStart"/>
      <w:r w:rsidRPr="00C84971">
        <w:t>militis</w:t>
      </w:r>
      <w:proofErr w:type="spellEnd"/>
      <w:r w:rsidRPr="00C84971">
        <w:t xml:space="preserve"> bzw. </w:t>
      </w:r>
      <w:proofErr w:type="spellStart"/>
      <w:r w:rsidRPr="00C84971">
        <w:t>carcer</w:t>
      </w:r>
      <w:proofErr w:type="spellEnd"/>
      <w:r w:rsidRPr="00C84971">
        <w:t xml:space="preserve">, </w:t>
      </w:r>
      <w:proofErr w:type="spellStart"/>
      <w:r w:rsidRPr="00C84971">
        <w:t>carceris</w:t>
      </w:r>
      <w:proofErr w:type="spellEnd"/>
      <w:r w:rsidRPr="00C84971">
        <w:t xml:space="preserve">; also: cum </w:t>
      </w:r>
      <w:proofErr w:type="spellStart"/>
      <w:r w:rsidRPr="00C84971">
        <w:t>viro</w:t>
      </w:r>
      <w:proofErr w:type="spellEnd"/>
      <w:r w:rsidRPr="00C84971">
        <w:t xml:space="preserve"> </w:t>
      </w:r>
      <w:proofErr w:type="spellStart"/>
      <w:r w:rsidRPr="00C84971">
        <w:t>divite</w:t>
      </w:r>
      <w:proofErr w:type="spellEnd"/>
      <w:r w:rsidRPr="00C84971">
        <w:t>: mit einem reichen Mann)</w:t>
      </w:r>
    </w:p>
    <w:p w14:paraId="49E2E57A" w14:textId="77777777" w:rsidR="00C84971" w:rsidRDefault="00C84971" w:rsidP="00EA41AF">
      <w:pPr>
        <w:pStyle w:val="berschrift3"/>
      </w:pPr>
      <w:r>
        <w:t>Wertangaben</w:t>
      </w:r>
    </w:p>
    <w:p w14:paraId="208A5AA8" w14:textId="77777777" w:rsidR="00C84971" w:rsidRPr="00C84971" w:rsidRDefault="00C84971" w:rsidP="00C84971">
      <w:r w:rsidRPr="00C84971">
        <w:t>Bei den Verben des Schätzens (</w:t>
      </w:r>
      <w:proofErr w:type="spellStart"/>
      <w:r w:rsidRPr="00C84971">
        <w:t>aestimare</w:t>
      </w:r>
      <w:proofErr w:type="spellEnd"/>
      <w:r w:rsidRPr="00C84971">
        <w:t xml:space="preserve">, </w:t>
      </w:r>
      <w:proofErr w:type="spellStart"/>
      <w:r w:rsidRPr="00C84971">
        <w:t>putare</w:t>
      </w:r>
      <w:proofErr w:type="spellEnd"/>
      <w:r w:rsidRPr="00C84971">
        <w:t xml:space="preserve">) und Geltens (esse im Sinne von „wert sein“) werden diese Wertangaben im </w:t>
      </w:r>
      <w:hyperlink r:id="rId9" w:anchor="genitivuspretii" w:tgtFrame="_blank" w:tooltip="Genitivus pretii - Kasuslehre" w:history="1">
        <w:r w:rsidRPr="00C84971">
          <w:rPr>
            <w:rStyle w:val="Hyperlink"/>
          </w:rPr>
          <w:t xml:space="preserve">Genitivus </w:t>
        </w:r>
        <w:proofErr w:type="spellStart"/>
        <w:r w:rsidRPr="00C84971">
          <w:rPr>
            <w:rStyle w:val="Hyperlink"/>
          </w:rPr>
          <w:t>pretii</w:t>
        </w:r>
        <w:proofErr w:type="spellEnd"/>
      </w:hyperlink>
      <w:r w:rsidRPr="00C84971">
        <w:t xml:space="preserve"> (Genitiv des Wertes) verwendet:</w:t>
      </w:r>
    </w:p>
    <w:p w14:paraId="76C490A1" w14:textId="77777777" w:rsidR="00C84971" w:rsidRDefault="00C84971" w:rsidP="00C84971">
      <w:pPr>
        <w:numPr>
          <w:ilvl w:val="0"/>
          <w:numId w:val="10"/>
        </w:numPr>
        <w:spacing w:before="100" w:beforeAutospacing="1" w:after="100" w:afterAutospacing="1" w:line="288" w:lineRule="auto"/>
        <w:ind w:left="714" w:hanging="357"/>
      </w:pPr>
      <w:proofErr w:type="spellStart"/>
      <w:r>
        <w:t>magnī</w:t>
      </w:r>
      <w:proofErr w:type="spellEnd"/>
      <w:r>
        <w:t xml:space="preserve">, </w:t>
      </w:r>
      <w:proofErr w:type="spellStart"/>
      <w:r>
        <w:t>plūris</w:t>
      </w:r>
      <w:proofErr w:type="spellEnd"/>
      <w:r>
        <w:t xml:space="preserve">, </w:t>
      </w:r>
      <w:proofErr w:type="spellStart"/>
      <w:r>
        <w:t>plūrimī</w:t>
      </w:r>
      <w:proofErr w:type="spellEnd"/>
      <w:r>
        <w:t>: hoch, höher, am höchsten</w:t>
      </w:r>
      <w:r>
        <w:br/>
      </w:r>
      <w:proofErr w:type="spellStart"/>
      <w:r>
        <w:t>Hunc</w:t>
      </w:r>
      <w:proofErr w:type="spellEnd"/>
      <w:r>
        <w:t xml:space="preserve"> </w:t>
      </w:r>
      <w:proofErr w:type="spellStart"/>
      <w:r>
        <w:t>equum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aestimat</w:t>
      </w:r>
      <w:proofErr w:type="spellEnd"/>
      <w:r>
        <w:t>. Er hält dieses Pferd für wertvoll/Er schätzt dieses Pferd für wertvoll ein.</w:t>
      </w:r>
    </w:p>
    <w:p w14:paraId="6DED7A21" w14:textId="77777777" w:rsidR="00C84971" w:rsidRDefault="00C84971" w:rsidP="00C84971">
      <w:pPr>
        <w:numPr>
          <w:ilvl w:val="0"/>
          <w:numId w:val="10"/>
        </w:numPr>
        <w:spacing w:before="100" w:beforeAutospacing="1" w:after="100" w:afterAutospacing="1" w:line="288" w:lineRule="auto"/>
        <w:ind w:left="714" w:hanging="357"/>
      </w:pPr>
      <w:proofErr w:type="spellStart"/>
      <w:r>
        <w:t>parvī</w:t>
      </w:r>
      <w:proofErr w:type="spellEnd"/>
      <w:r>
        <w:t xml:space="preserve">, </w:t>
      </w:r>
      <w:proofErr w:type="spellStart"/>
      <w:r>
        <w:t>minōris</w:t>
      </w:r>
      <w:proofErr w:type="spellEnd"/>
      <w:r>
        <w:t xml:space="preserve">, </w:t>
      </w:r>
      <w:proofErr w:type="spellStart"/>
      <w:r>
        <w:t>minimī</w:t>
      </w:r>
      <w:proofErr w:type="spellEnd"/>
      <w:r>
        <w:t>: gering, geringer, am geringsten</w:t>
      </w:r>
    </w:p>
    <w:p w14:paraId="4A7337C1" w14:textId="77777777" w:rsidR="00C84971" w:rsidRDefault="00C84971" w:rsidP="00C84971">
      <w:pPr>
        <w:numPr>
          <w:ilvl w:val="0"/>
          <w:numId w:val="10"/>
        </w:numPr>
        <w:spacing w:before="100" w:beforeAutospacing="1" w:after="100" w:afterAutospacing="1" w:line="288" w:lineRule="auto"/>
        <w:ind w:left="714" w:hanging="357"/>
      </w:pPr>
      <w:proofErr w:type="spellStart"/>
      <w:r>
        <w:t>tantī</w:t>
      </w:r>
      <w:proofErr w:type="spellEnd"/>
      <w:r>
        <w:t>/</w:t>
      </w:r>
      <w:proofErr w:type="spellStart"/>
      <w:r>
        <w:t>quantī</w:t>
      </w:r>
      <w:proofErr w:type="spellEnd"/>
      <w:r>
        <w:t>: so hoch, so wertvoll/wie hoch, wie wertvoll</w:t>
      </w:r>
    </w:p>
    <w:p w14:paraId="412EB304" w14:textId="77777777" w:rsidR="00C84971" w:rsidRPr="00C84971" w:rsidRDefault="00C84971" w:rsidP="00C84971">
      <w:r w:rsidRPr="00C84971">
        <w:lastRenderedPageBreak/>
        <w:t>Bei d</w:t>
      </w:r>
      <w:bookmarkStart w:id="0" w:name="_GoBack"/>
      <w:bookmarkEnd w:id="0"/>
      <w:r w:rsidRPr="00C84971">
        <w:t xml:space="preserve">en Verben des Kaufens (siehe den folgenden Abschnitt) werden nur </w:t>
      </w:r>
      <w:proofErr w:type="spellStart"/>
      <w:r w:rsidRPr="00C84971">
        <w:rPr>
          <w:i/>
        </w:rPr>
        <w:t>pluris</w:t>
      </w:r>
      <w:proofErr w:type="spellEnd"/>
      <w:r w:rsidRPr="00C84971">
        <w:rPr>
          <w:i/>
        </w:rPr>
        <w:t xml:space="preserve">, minoris, </w:t>
      </w:r>
      <w:proofErr w:type="spellStart"/>
      <w:r w:rsidRPr="00C84971">
        <w:rPr>
          <w:i/>
        </w:rPr>
        <w:t>tanti</w:t>
      </w:r>
      <w:proofErr w:type="spellEnd"/>
      <w:r w:rsidRPr="00C84971">
        <w:t xml:space="preserve"> und </w:t>
      </w:r>
      <w:r w:rsidRPr="00C84971">
        <w:rPr>
          <w:i/>
        </w:rPr>
        <w:t>quanti</w:t>
      </w:r>
      <w:r w:rsidRPr="00C84971">
        <w:t xml:space="preserve"> als vergleichende Wertangaben verwendet; </w:t>
      </w:r>
      <w:proofErr w:type="gramStart"/>
      <w:r w:rsidRPr="00C84971">
        <w:t>den deutschen Ausdrücke</w:t>
      </w:r>
      <w:proofErr w:type="gramEnd"/>
      <w:r w:rsidRPr="00C84971">
        <w:t xml:space="preserve"> „billig/teuer“ entspricht der Ablativus </w:t>
      </w:r>
      <w:proofErr w:type="spellStart"/>
      <w:r w:rsidRPr="00C84971">
        <w:t>pretii</w:t>
      </w:r>
      <w:proofErr w:type="spellEnd"/>
      <w:r w:rsidRPr="00C84971">
        <w:t xml:space="preserve"> </w:t>
      </w:r>
      <w:proofErr w:type="spellStart"/>
      <w:r w:rsidRPr="00C84971">
        <w:rPr>
          <w:i/>
        </w:rPr>
        <w:t>parvo</w:t>
      </w:r>
      <w:proofErr w:type="spellEnd"/>
      <w:r w:rsidRPr="00C84971">
        <w:rPr>
          <w:i/>
        </w:rPr>
        <w:t>/</w:t>
      </w:r>
      <w:proofErr w:type="spellStart"/>
      <w:r w:rsidRPr="00C84971">
        <w:rPr>
          <w:i/>
        </w:rPr>
        <w:t>magno</w:t>
      </w:r>
      <w:proofErr w:type="spellEnd"/>
      <w:r w:rsidRPr="00C84971">
        <w:t>:</w:t>
      </w:r>
    </w:p>
    <w:p w14:paraId="37967A5E" w14:textId="77777777" w:rsidR="00C84971" w:rsidRPr="00C84971" w:rsidRDefault="00C84971" w:rsidP="00C84971">
      <w:pPr>
        <w:pStyle w:val="StandardWeb"/>
        <w:ind w:left="709"/>
        <w:rPr>
          <w:rFonts w:asciiTheme="minorHAnsi" w:hAnsiTheme="minorHAnsi" w:cstheme="minorHAnsi"/>
        </w:rPr>
      </w:pPr>
      <w:proofErr w:type="spellStart"/>
      <w:r w:rsidRPr="00C84971">
        <w:rPr>
          <w:rFonts w:asciiTheme="minorHAnsi" w:hAnsiTheme="minorHAnsi" w:cstheme="minorHAnsi"/>
        </w:rPr>
        <w:t>parvo</w:t>
      </w:r>
      <w:proofErr w:type="spellEnd"/>
      <w:r w:rsidRPr="00C84971">
        <w:rPr>
          <w:rFonts w:asciiTheme="minorHAnsi" w:hAnsiTheme="minorHAnsi" w:cstheme="minorHAnsi"/>
        </w:rPr>
        <w:t xml:space="preserve"> </w:t>
      </w:r>
      <w:proofErr w:type="spellStart"/>
      <w:r w:rsidRPr="00C84971">
        <w:rPr>
          <w:rFonts w:asciiTheme="minorHAnsi" w:hAnsiTheme="minorHAnsi" w:cstheme="minorHAnsi"/>
        </w:rPr>
        <w:t>emere</w:t>
      </w:r>
      <w:proofErr w:type="spellEnd"/>
      <w:r w:rsidRPr="00C84971">
        <w:rPr>
          <w:rFonts w:asciiTheme="minorHAnsi" w:hAnsiTheme="minorHAnsi" w:cstheme="minorHAnsi"/>
        </w:rPr>
        <w:t>: billig (günstig) einkaufen</w:t>
      </w:r>
    </w:p>
    <w:p w14:paraId="22E140CA" w14:textId="77777777" w:rsidR="00C84971" w:rsidRDefault="00C84971" w:rsidP="00EA41AF">
      <w:pPr>
        <w:pStyle w:val="berschrift2"/>
      </w:pPr>
      <w:r>
        <w:t>6.6.3. Verben des Kaufens</w:t>
      </w:r>
    </w:p>
    <w:p w14:paraId="367F5AA7" w14:textId="194A880C" w:rsidR="00C84971" w:rsidRPr="00C84971" w:rsidRDefault="00C84971" w:rsidP="00C84971">
      <w:proofErr w:type="spellStart"/>
      <w:r w:rsidRPr="00C84971">
        <w:rPr>
          <w:b/>
        </w:rPr>
        <w:t>vendere</w:t>
      </w:r>
      <w:proofErr w:type="spellEnd"/>
      <w:r w:rsidRPr="00C84971">
        <w:t xml:space="preserve">, </w:t>
      </w:r>
      <w:proofErr w:type="spellStart"/>
      <w:r w:rsidRPr="00C84971">
        <w:t>vendō</w:t>
      </w:r>
      <w:proofErr w:type="spellEnd"/>
      <w:r w:rsidRPr="00C84971">
        <w:t xml:space="preserve">, </w:t>
      </w:r>
      <w:proofErr w:type="spellStart"/>
      <w:r w:rsidRPr="00C84971">
        <w:t>vendidī</w:t>
      </w:r>
      <w:proofErr w:type="spellEnd"/>
      <w:r w:rsidRPr="00C84971">
        <w:t xml:space="preserve">, </w:t>
      </w:r>
      <w:proofErr w:type="spellStart"/>
      <w:r w:rsidRPr="00C84971">
        <w:t>venditum</w:t>
      </w:r>
      <w:proofErr w:type="spellEnd"/>
      <w:r w:rsidRPr="00C84971">
        <w:t>: verkaufen</w:t>
      </w:r>
    </w:p>
    <w:p w14:paraId="4EC58744" w14:textId="71C19CB2" w:rsidR="00C84971" w:rsidRDefault="00C84971" w:rsidP="00C84971">
      <w:proofErr w:type="spellStart"/>
      <w:r w:rsidRPr="00C84971">
        <w:rPr>
          <w:b/>
        </w:rPr>
        <w:t>emere</w:t>
      </w:r>
      <w:proofErr w:type="spellEnd"/>
      <w:r w:rsidRPr="00C84971">
        <w:t xml:space="preserve">, </w:t>
      </w:r>
      <w:proofErr w:type="spellStart"/>
      <w:r w:rsidRPr="00C84971">
        <w:t>emō</w:t>
      </w:r>
      <w:proofErr w:type="spellEnd"/>
      <w:r w:rsidRPr="00C84971">
        <w:t xml:space="preserve">, </w:t>
      </w:r>
      <w:proofErr w:type="spellStart"/>
      <w:r w:rsidRPr="00C84971">
        <w:t>ēmī</w:t>
      </w:r>
      <w:proofErr w:type="spellEnd"/>
      <w:r w:rsidRPr="00C84971">
        <w:t xml:space="preserve">, </w:t>
      </w:r>
      <w:proofErr w:type="spellStart"/>
      <w:r w:rsidRPr="00C84971">
        <w:t>ēmptum</w:t>
      </w:r>
      <w:proofErr w:type="spellEnd"/>
      <w:r w:rsidRPr="00C84971">
        <w:t>: kaufen, nehmen</w:t>
      </w:r>
    </w:p>
    <w:p w14:paraId="6504FE7E" w14:textId="77777777" w:rsidR="001A6C10" w:rsidRPr="00F11DE8" w:rsidRDefault="001A6C10" w:rsidP="00F11DE8"/>
    <w:p w14:paraId="45248062" w14:textId="0D8EBCEA" w:rsidR="009671B0" w:rsidRPr="005400F7" w:rsidRDefault="009671B0" w:rsidP="005400F7">
      <w:r>
        <w:t xml:space="preserve">URL dieser Seite: </w:t>
      </w:r>
      <w:hyperlink r:id="rId10" w:history="1">
        <w:r w:rsidR="00C84971">
          <w:rPr>
            <w:rStyle w:val="Hyperlink"/>
          </w:rPr>
          <w:t>http://www.schule-bw.de/faecher-und-schularten/sprachen-und-literatur/latein/sprache/grundwortschatz/handeln-des-menschen/handel.html</w:t>
        </w:r>
      </w:hyperlink>
      <w:r>
        <w:t xml:space="preserve"> </w:t>
      </w:r>
    </w:p>
    <w:sectPr w:rsidR="009671B0" w:rsidRPr="005400F7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C7C29" w14:textId="77777777" w:rsidR="0012497E" w:rsidRDefault="0012497E">
      <w:r>
        <w:separator/>
      </w:r>
    </w:p>
  </w:endnote>
  <w:endnote w:type="continuationSeparator" w:id="0">
    <w:p w14:paraId="7468ECB2" w14:textId="77777777" w:rsidR="0012497E" w:rsidRDefault="0012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3BDF" w14:textId="77777777" w:rsidR="00202DA3" w:rsidRDefault="0012497E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6C23E9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12AA" w14:textId="77777777" w:rsidR="0012497E" w:rsidRDefault="0012497E">
      <w:r>
        <w:rPr>
          <w:color w:val="000000"/>
        </w:rPr>
        <w:separator/>
      </w:r>
    </w:p>
  </w:footnote>
  <w:footnote w:type="continuationSeparator" w:id="0">
    <w:p w14:paraId="6D1F70F9" w14:textId="77777777" w:rsidR="0012497E" w:rsidRDefault="0012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23F4E5C9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2F2ED0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435A50" wp14:editId="57EC8ED2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238E25" w14:textId="77777777" w:rsidR="00202DA3" w:rsidRDefault="0012497E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110FE34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5400F7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05202225" w14:textId="77777777" w:rsidR="00202DA3" w:rsidRDefault="0012497E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C453D"/>
    <w:multiLevelType w:val="multilevel"/>
    <w:tmpl w:val="CC9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F7"/>
    <w:rsid w:val="000B1C26"/>
    <w:rsid w:val="000C339D"/>
    <w:rsid w:val="00106877"/>
    <w:rsid w:val="0011066F"/>
    <w:rsid w:val="0012497E"/>
    <w:rsid w:val="00137671"/>
    <w:rsid w:val="00145691"/>
    <w:rsid w:val="00166926"/>
    <w:rsid w:val="001A1D2B"/>
    <w:rsid w:val="001A6C10"/>
    <w:rsid w:val="001B5764"/>
    <w:rsid w:val="00233A5B"/>
    <w:rsid w:val="00244475"/>
    <w:rsid w:val="002D7A31"/>
    <w:rsid w:val="00337058"/>
    <w:rsid w:val="003C11DC"/>
    <w:rsid w:val="004548BE"/>
    <w:rsid w:val="00481CE7"/>
    <w:rsid w:val="00484124"/>
    <w:rsid w:val="004B7822"/>
    <w:rsid w:val="004B7CF1"/>
    <w:rsid w:val="004C2D8F"/>
    <w:rsid w:val="00506994"/>
    <w:rsid w:val="005363FB"/>
    <w:rsid w:val="005400F7"/>
    <w:rsid w:val="00593614"/>
    <w:rsid w:val="005B59AE"/>
    <w:rsid w:val="00692027"/>
    <w:rsid w:val="006C23E9"/>
    <w:rsid w:val="007405FE"/>
    <w:rsid w:val="00777322"/>
    <w:rsid w:val="00793039"/>
    <w:rsid w:val="00797493"/>
    <w:rsid w:val="007C4648"/>
    <w:rsid w:val="00885914"/>
    <w:rsid w:val="00885D32"/>
    <w:rsid w:val="008C2639"/>
    <w:rsid w:val="00913DD3"/>
    <w:rsid w:val="00933128"/>
    <w:rsid w:val="009671B0"/>
    <w:rsid w:val="00973324"/>
    <w:rsid w:val="009A6EDE"/>
    <w:rsid w:val="009E3034"/>
    <w:rsid w:val="00A2101D"/>
    <w:rsid w:val="00A525BF"/>
    <w:rsid w:val="00AB44A4"/>
    <w:rsid w:val="00B14434"/>
    <w:rsid w:val="00B205A1"/>
    <w:rsid w:val="00B30055"/>
    <w:rsid w:val="00B40DB7"/>
    <w:rsid w:val="00B447D9"/>
    <w:rsid w:val="00B87D12"/>
    <w:rsid w:val="00B92E22"/>
    <w:rsid w:val="00C135FB"/>
    <w:rsid w:val="00C84971"/>
    <w:rsid w:val="00CB6DCF"/>
    <w:rsid w:val="00CE5E58"/>
    <w:rsid w:val="00D21C79"/>
    <w:rsid w:val="00D77C35"/>
    <w:rsid w:val="00D82B69"/>
    <w:rsid w:val="00E45929"/>
    <w:rsid w:val="00EA41AF"/>
    <w:rsid w:val="00F00491"/>
    <w:rsid w:val="00F103ED"/>
    <w:rsid w:val="00F11DE8"/>
    <w:rsid w:val="00F152EB"/>
    <w:rsid w:val="00F35936"/>
    <w:rsid w:val="00F44721"/>
    <w:rsid w:val="00F526A3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4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5400F7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00F7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039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039"/>
    <w:rPr>
      <w:rFonts w:ascii="Segoe UI" w:hAnsi="Segoe UI" w:cs="Mangal"/>
      <w:sz w:val="18"/>
      <w:szCs w:val="16"/>
    </w:rPr>
  </w:style>
  <w:style w:type="paragraph" w:styleId="StandardWeb">
    <w:name w:val="Normal (Web)"/>
    <w:basedOn w:val="Standard"/>
    <w:uiPriority w:val="99"/>
    <w:semiHidden/>
    <w:unhideWhenUsed/>
    <w:rsid w:val="007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showbody">
    <w:name w:val="showbody"/>
    <w:basedOn w:val="Absatz-Standardschriftart"/>
    <w:rsid w:val="0079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e-bw.de/faecher-und-schularten/sprachen-und-literatur/latein/sprache/grundwortschatz/handeln-des-menschen/hande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one5.schule-bw.de/faecher-und-schularten/sprachen-und-literatur/latein/sprache/kasuslehre/kasuslehre-gesamt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431A-9F62-4B6D-9FFD-CBFB55A2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Landschaft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Landschaft</dc:title>
  <dc:subject>Grundwortschatz Latein Landschaft</dc:subject>
  <dc:creator/>
  <cp:lastModifiedBy/>
  <cp:revision>1</cp:revision>
  <dcterms:created xsi:type="dcterms:W3CDTF">2019-03-18T15:02:00Z</dcterms:created>
  <dcterms:modified xsi:type="dcterms:W3CDTF">2019-03-18T15:10:00Z</dcterms:modified>
</cp:coreProperties>
</file>