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17" w:rsidRDefault="00786117" w:rsidP="00786117">
      <w:pPr>
        <w:pStyle w:val="berschrift1-lbs"/>
      </w:pPr>
      <w:bookmarkStart w:id="0" w:name="oben"/>
      <w:bookmarkEnd w:id="0"/>
      <w:r>
        <w:t>Die verschiedenen Kasus und ihre Sinnrichtungen bzw. semantischen Funktionen</w:t>
      </w:r>
    </w:p>
    <w:p w:rsidR="00786117" w:rsidRDefault="00786117">
      <w:pPr>
        <w:pStyle w:val="berschrift1-lbs"/>
      </w:pPr>
      <w:r>
        <w:t>Arbeitsblatt für die Klass</w:t>
      </w:r>
      <w:bookmarkStart w:id="1" w:name="_GoBack"/>
      <w:bookmarkEnd w:id="1"/>
      <w:r>
        <w:t>e 5 und 6, erste Fremdsprache</w:t>
      </w:r>
    </w:p>
    <w:p w:rsidR="00786117" w:rsidRDefault="00786117">
      <w:pPr>
        <w:pStyle w:val="berschrift1-lbs"/>
      </w:pPr>
    </w:p>
    <w:p w:rsidR="00210D00" w:rsidRDefault="005431D2">
      <w:pPr>
        <w:pStyle w:val="berschrift1-lbs"/>
      </w:pPr>
      <w:r>
        <w:t>Hinweise zur Benutzung</w:t>
      </w:r>
    </w:p>
    <w:p w:rsidR="00210D00" w:rsidRDefault="005431D2">
      <w:pPr>
        <w:pStyle w:val="lbs-dokumente"/>
      </w:pPr>
      <w:r>
        <w:t xml:space="preserve">Dieses Arbeitsblatt stellt alle Kasusfunktionen zusammen, die im Bildungsplan 2016 für Latein als 1. Fremdsprache, Klasse 5 und 6 vorgesehen sind. Zu den </w:t>
      </w:r>
      <w:r>
        <w:t xml:space="preserve">weiteren Arbeitsblättern (für die Standardstufe 7/8 sowie für Latein als 2. Fremdsprache und für die Kursstufe), zum </w:t>
      </w:r>
      <w:r>
        <w:rPr>
          <w:b/>
        </w:rPr>
        <w:t>Bildungsplan</w:t>
      </w:r>
      <w:r>
        <w:t xml:space="preserve">bezug und zu den verwendeten </w:t>
      </w:r>
      <w:r>
        <w:rPr>
          <w:b/>
        </w:rPr>
        <w:t>Quellen</w:t>
      </w:r>
      <w:r>
        <w:t xml:space="preserve"> findet man die Links in der Einführung (siehe den Link am Ende dieses Dokuments und auch a</w:t>
      </w:r>
      <w:r>
        <w:t>m Fuß jeder Seite).</w:t>
      </w:r>
    </w:p>
    <w:p w:rsidR="00210D00" w:rsidRDefault="005431D2">
      <w:pPr>
        <w:pStyle w:val="berschrift1-lbs"/>
      </w:pPr>
      <w:r>
        <w:t>Genitiv</w:t>
      </w:r>
    </w:p>
    <w:p w:rsidR="00210D00" w:rsidRDefault="005431D2">
      <w:pPr>
        <w:pStyle w:val="lbs-dokumente"/>
        <w:numPr>
          <w:ilvl w:val="0"/>
          <w:numId w:val="1"/>
        </w:numPr>
      </w:pPr>
      <w:bookmarkStart w:id="2" w:name="genposs"/>
      <w:bookmarkEnd w:id="2"/>
      <w:r>
        <w:t xml:space="preserve">Genitivus </w:t>
      </w:r>
      <w:proofErr w:type="spellStart"/>
      <w:r>
        <w:rPr>
          <w:rStyle w:val="StrongEmphasis"/>
        </w:rPr>
        <w:t>possessivus</w:t>
      </w:r>
      <w:proofErr w:type="spellEnd"/>
      <w:r>
        <w:rPr>
          <w:rStyle w:val="StrongEmphasis"/>
        </w:rPr>
        <w:br/>
      </w:r>
      <w:r>
        <w:t xml:space="preserve">Omnia </w:t>
      </w:r>
      <w:proofErr w:type="spellStart"/>
      <w:r>
        <w:t>hostium</w:t>
      </w:r>
      <w:proofErr w:type="spellEnd"/>
      <w:r>
        <w:t xml:space="preserve"> </w:t>
      </w:r>
      <w:proofErr w:type="spellStart"/>
      <w:r>
        <w:t>erat</w:t>
      </w:r>
      <w:proofErr w:type="spellEnd"/>
      <w:r>
        <w:t>: alles gehörte den Feinden.</w:t>
      </w:r>
    </w:p>
    <w:p w:rsidR="00210D00" w:rsidRDefault="005431D2">
      <w:pPr>
        <w:pStyle w:val="lbs-dokumente"/>
        <w:numPr>
          <w:ilvl w:val="0"/>
          <w:numId w:val="1"/>
        </w:numPr>
      </w:pPr>
      <w:r>
        <w:t xml:space="preserve">Genitivus </w:t>
      </w:r>
      <w:proofErr w:type="spellStart"/>
      <w:r>
        <w:rPr>
          <w:rStyle w:val="StrongEmphasis"/>
        </w:rPr>
        <w:t>subiectivus</w:t>
      </w:r>
      <w:proofErr w:type="spellEnd"/>
      <w:r>
        <w:t xml:space="preserve"> / </w:t>
      </w:r>
      <w:proofErr w:type="spellStart"/>
      <w:r>
        <w:rPr>
          <w:rStyle w:val="StrongEmphasis"/>
        </w:rPr>
        <w:t>obiectivus</w:t>
      </w:r>
      <w:proofErr w:type="spellEnd"/>
      <w:r>
        <w:rPr>
          <w:rStyle w:val="StrongEmphasis"/>
        </w:rPr>
        <w:br/>
      </w:r>
      <w:proofErr w:type="spellStart"/>
      <w:r>
        <w:t>spes</w:t>
      </w:r>
      <w:proofErr w:type="spellEnd"/>
      <w:r>
        <w:t xml:space="preserve"> </w:t>
      </w:r>
      <w:proofErr w:type="spellStart"/>
      <w:r>
        <w:t>victoriae</w:t>
      </w:r>
      <w:proofErr w:type="spellEnd"/>
      <w:r>
        <w:t xml:space="preserve">: die Hoffnung auf Sieg/die </w:t>
      </w:r>
      <w:proofErr w:type="spellStart"/>
      <w:r>
        <w:t>Sieg</w:t>
      </w:r>
      <w:r>
        <w:t>eshoffung</w:t>
      </w:r>
      <w:proofErr w:type="spellEnd"/>
      <w:r>
        <w:t xml:space="preserve"> = Genitivus </w:t>
      </w:r>
      <w:proofErr w:type="spellStart"/>
      <w:r>
        <w:t>obiectivus</w:t>
      </w:r>
      <w:proofErr w:type="spellEnd"/>
      <w:r>
        <w:t>, da der Sieg als Objekt gesehen wird, auf das sich die Hoffnung richtet.</w:t>
      </w:r>
      <w:r>
        <w:br/>
      </w:r>
      <w:proofErr w:type="spellStart"/>
      <w:r>
        <w:t>amor</w:t>
      </w:r>
      <w:proofErr w:type="spellEnd"/>
      <w:r>
        <w:t xml:space="preserve"> </w:t>
      </w:r>
      <w:proofErr w:type="spellStart"/>
      <w:r>
        <w:t>parentum</w:t>
      </w:r>
      <w:proofErr w:type="spellEnd"/>
      <w:r>
        <w:t xml:space="preserve">: die Liebe der Eltern (zu ihren Kindern = Genitivus </w:t>
      </w:r>
      <w:proofErr w:type="spellStart"/>
      <w:r>
        <w:t>subiectivus</w:t>
      </w:r>
      <w:proofErr w:type="spellEnd"/>
      <w:r>
        <w:t>);</w:t>
      </w:r>
      <w:r>
        <w:br/>
      </w:r>
      <w:r>
        <w:t>je nach Zusammenhang auch: die Liebe (der Kinder) zu den Eltern (= Gen</w:t>
      </w:r>
      <w:r>
        <w:t xml:space="preserve">itivus </w:t>
      </w:r>
      <w:proofErr w:type="spellStart"/>
      <w:r>
        <w:t>obiectivus</w:t>
      </w:r>
      <w:proofErr w:type="spellEnd"/>
      <w:r>
        <w:t>).</w:t>
      </w:r>
    </w:p>
    <w:p w:rsidR="00210D00" w:rsidRDefault="005431D2">
      <w:pPr>
        <w:pStyle w:val="berschrift1-lbs"/>
      </w:pPr>
      <w:bookmarkStart w:id="3" w:name="dativ"/>
      <w:bookmarkEnd w:id="3"/>
      <w:r>
        <w:t>Der Dativ</w:t>
      </w:r>
    </w:p>
    <w:p w:rsidR="00210D00" w:rsidRDefault="005431D2">
      <w:pPr>
        <w:pStyle w:val="lbs-dokumente"/>
      </w:pPr>
      <w:proofErr w:type="spellStart"/>
      <w:r>
        <w:rPr>
          <w:rStyle w:val="StrongEmphasis"/>
        </w:rPr>
        <w:t>Dativus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commodi</w:t>
      </w:r>
      <w:proofErr w:type="spellEnd"/>
      <w:r>
        <w:t xml:space="preserve"> / Dativ des Vorteils</w:t>
      </w:r>
      <w:r>
        <w:br/>
      </w:r>
      <w:proofErr w:type="spellStart"/>
      <w:r>
        <w:t>praedia</w:t>
      </w:r>
      <w:proofErr w:type="spellEnd"/>
      <w:r>
        <w:t xml:space="preserve"> </w:t>
      </w:r>
      <w:proofErr w:type="spellStart"/>
      <w:r>
        <w:t>aliis</w:t>
      </w:r>
      <w:proofErr w:type="spellEnd"/>
      <w:r>
        <w:t xml:space="preserve"> </w:t>
      </w:r>
      <w:proofErr w:type="spellStart"/>
      <w:r>
        <w:t>coluit</w:t>
      </w:r>
      <w:proofErr w:type="spellEnd"/>
      <w:r>
        <w:t xml:space="preserve">, non </w:t>
      </w:r>
      <w:proofErr w:type="spellStart"/>
      <w:r>
        <w:t>sibi</w:t>
      </w:r>
      <w:proofErr w:type="spellEnd"/>
      <w:r>
        <w:t>: Er bebaute diese Landgüter für andere, nicht für sich.</w:t>
      </w:r>
    </w:p>
    <w:p w:rsidR="00210D00" w:rsidRDefault="005431D2">
      <w:pPr>
        <w:pStyle w:val="berschrift1-lbs"/>
      </w:pPr>
      <w:bookmarkStart w:id="4" w:name="akkusativ"/>
      <w:bookmarkEnd w:id="4"/>
      <w:r>
        <w:t>Akkusativ</w:t>
      </w:r>
    </w:p>
    <w:p w:rsidR="00210D00" w:rsidRDefault="005431D2">
      <w:pPr>
        <w:pStyle w:val="lbs-dokumente"/>
        <w:numPr>
          <w:ilvl w:val="0"/>
          <w:numId w:val="2"/>
        </w:numPr>
      </w:pPr>
      <w:r>
        <w:rPr>
          <w:lang/>
        </w:rPr>
        <w:t xml:space="preserve">Der Akkusativ der </w:t>
      </w:r>
      <w:r>
        <w:rPr>
          <w:rStyle w:val="StrongEmphasis"/>
          <w:lang/>
        </w:rPr>
        <w:t>räumlichen Ausdehnung</w:t>
      </w:r>
      <w:r>
        <w:rPr>
          <w:lang/>
        </w:rPr>
        <w:br/>
      </w:r>
      <w:r>
        <w:rPr>
          <w:lang/>
        </w:rPr>
        <w:t>duas fossas xv pedes latas eadem altitudine perduxi</w:t>
      </w:r>
      <w:r>
        <w:rPr>
          <w:lang/>
        </w:rPr>
        <w:t>t: Er ließ zwei Gräben von 15 Fuß Breite und ebensolcher Tiefe ausheben (Caesar, Commentarii de bello Gallico)</w:t>
      </w:r>
    </w:p>
    <w:p w:rsidR="00210D00" w:rsidRDefault="005431D2">
      <w:pPr>
        <w:pStyle w:val="lbs-dokumente"/>
        <w:numPr>
          <w:ilvl w:val="0"/>
          <w:numId w:val="2"/>
        </w:numPr>
      </w:pPr>
      <w:r>
        <w:rPr>
          <w:lang/>
        </w:rPr>
        <w:t>Der Akkusativ der</w:t>
      </w:r>
      <w:r>
        <w:rPr>
          <w:rStyle w:val="StrongEmphasis"/>
          <w:lang/>
        </w:rPr>
        <w:t xml:space="preserve"> zeitlichen Ausdehnung</w:t>
      </w:r>
      <w:r>
        <w:rPr>
          <w:lang/>
        </w:rPr>
        <w:br/>
      </w:r>
      <w:r>
        <w:rPr>
          <w:lang/>
        </w:rPr>
        <w:t>multos annos ibi manebat: Sie blieb dort viele Jahre lang.</w:t>
      </w:r>
    </w:p>
    <w:p w:rsidR="00210D00" w:rsidRDefault="005431D2">
      <w:pPr>
        <w:pStyle w:val="lbs-dokumente"/>
        <w:numPr>
          <w:ilvl w:val="0"/>
          <w:numId w:val="2"/>
        </w:numPr>
      </w:pPr>
      <w:r>
        <w:t xml:space="preserve">Der Akkusativ der </w:t>
      </w:r>
      <w:r>
        <w:rPr>
          <w:rStyle w:val="StrongEmphasis"/>
        </w:rPr>
        <w:t>Richtung</w:t>
      </w:r>
      <w:r>
        <w:rPr>
          <w:rStyle w:val="StrongEmphasis"/>
        </w:rPr>
        <w:br/>
      </w:r>
      <w:r>
        <w:t>Der Akkusativ der</w:t>
      </w:r>
      <w:r>
        <w:t xml:space="preserve"> Richtung ohne </w:t>
      </w:r>
      <w:proofErr w:type="spellStart"/>
      <w:r>
        <w:t>Präsposition</w:t>
      </w:r>
      <w:proofErr w:type="spellEnd"/>
      <w:r>
        <w:t xml:space="preserve"> wird nur bei Städten und kleinen Inseln verwendet.</w:t>
      </w:r>
      <w:r>
        <w:br/>
      </w:r>
      <w:r>
        <w:t xml:space="preserve">Athenas </w:t>
      </w:r>
      <w:proofErr w:type="spellStart"/>
      <w:r>
        <w:t>eunt</w:t>
      </w:r>
      <w:proofErr w:type="spellEnd"/>
      <w:r>
        <w:t>: Sie gehen nach Athen.</w:t>
      </w:r>
      <w:r>
        <w:br/>
      </w:r>
      <w:r>
        <w:lastRenderedPageBreak/>
        <w:t xml:space="preserve">Aber: in </w:t>
      </w:r>
      <w:proofErr w:type="spellStart"/>
      <w:r>
        <w:t>Siciliam</w:t>
      </w:r>
      <w:proofErr w:type="spellEnd"/>
      <w:r>
        <w:t xml:space="preserve"> </w:t>
      </w:r>
      <w:proofErr w:type="spellStart"/>
      <w:r>
        <w:t>veni</w:t>
      </w:r>
      <w:proofErr w:type="spellEnd"/>
      <w:r>
        <w:t>: ich kam nach Sizilien</w:t>
      </w:r>
      <w:r>
        <w:br/>
      </w:r>
      <w:r>
        <w:t>Siehe auch das Arbeitsblatt Der Kasus bei Angaben zu Ort und Richtung (Link am Ende dieses Doku</w:t>
      </w:r>
      <w:r>
        <w:t>ments).</w:t>
      </w:r>
    </w:p>
    <w:p w:rsidR="00210D00" w:rsidRDefault="005431D2">
      <w:pPr>
        <w:pStyle w:val="lbs-dokumente"/>
      </w:pPr>
      <w:r>
        <w:t>Der Akkusativ als Objekt-Kasus wird hier nicht beschrieben; vgl. das Arbeitsblatt Kasus und Objekt.</w:t>
      </w:r>
    </w:p>
    <w:p w:rsidR="00210D00" w:rsidRDefault="005431D2">
      <w:pPr>
        <w:pStyle w:val="berschrift3"/>
      </w:pPr>
      <w:bookmarkStart w:id="5" w:name="ablativ"/>
      <w:bookmarkEnd w:id="5"/>
      <w:r>
        <w:t>Ablativ</w:t>
      </w:r>
    </w:p>
    <w:p w:rsidR="00210D00" w:rsidRDefault="005431D2">
      <w:pPr>
        <w:pStyle w:val="lbs-dokumente"/>
        <w:numPr>
          <w:ilvl w:val="0"/>
          <w:numId w:val="3"/>
        </w:numPr>
      </w:pPr>
      <w:bookmarkStart w:id="6" w:name="ablativusinstrumenti"/>
      <w:bookmarkEnd w:id="6"/>
      <w:r>
        <w:t xml:space="preserve">Der </w:t>
      </w:r>
      <w:proofErr w:type="spellStart"/>
      <w:r>
        <w:t>Ablativus</w:t>
      </w:r>
      <w:proofErr w:type="spellEnd"/>
      <w:r>
        <w:t xml:space="preserve"> </w:t>
      </w:r>
      <w:proofErr w:type="spellStart"/>
      <w:r>
        <w:rPr>
          <w:rStyle w:val="StrongEmphasis"/>
        </w:rPr>
        <w:t>instumenti</w:t>
      </w:r>
      <w:proofErr w:type="spellEnd"/>
      <w:r>
        <w:t xml:space="preserve"> (Ablativ des Mittels):</w:t>
      </w:r>
      <w:r>
        <w:br/>
      </w:r>
      <w:proofErr w:type="spellStart"/>
      <w:r>
        <w:t>plebs</w:t>
      </w:r>
      <w:proofErr w:type="spellEnd"/>
      <w:r>
        <w:t xml:space="preserve"> </w:t>
      </w:r>
      <w:proofErr w:type="spellStart"/>
      <w:r>
        <w:t>muneribus</w:t>
      </w:r>
      <w:proofErr w:type="spellEnd"/>
      <w:r>
        <w:t xml:space="preserve"> </w:t>
      </w:r>
      <w:proofErr w:type="spellStart"/>
      <w:r>
        <w:t>placatur</w:t>
      </w:r>
      <w:proofErr w:type="spellEnd"/>
      <w:r>
        <w:t>: das Volk wird durch Geschenke besänftigt</w:t>
      </w:r>
      <w:r>
        <w:br/>
      </w:r>
      <w:proofErr w:type="spellStart"/>
      <w:r>
        <w:t>armis</w:t>
      </w:r>
      <w:proofErr w:type="spellEnd"/>
      <w:r>
        <w:t xml:space="preserve"> </w:t>
      </w:r>
      <w:proofErr w:type="spellStart"/>
      <w:r>
        <w:t>pugnant</w:t>
      </w:r>
      <w:proofErr w:type="spellEnd"/>
      <w:r>
        <w:t>: sie kämpf</w:t>
      </w:r>
      <w:r>
        <w:t>en mit Waffen.</w:t>
      </w:r>
    </w:p>
    <w:p w:rsidR="00210D00" w:rsidRDefault="005431D2">
      <w:pPr>
        <w:pStyle w:val="lbs-dokumente"/>
        <w:numPr>
          <w:ilvl w:val="0"/>
          <w:numId w:val="3"/>
        </w:numPr>
      </w:pPr>
      <w:bookmarkStart w:id="7" w:name="ablativusmodi"/>
      <w:bookmarkEnd w:id="7"/>
      <w:proofErr w:type="spellStart"/>
      <w:r>
        <w:rPr>
          <w:rStyle w:val="StrongEmphasis"/>
        </w:rPr>
        <w:t>Ablativus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modi</w:t>
      </w:r>
      <w:proofErr w:type="spellEnd"/>
      <w:r>
        <w:t xml:space="preserve"> (Ablativ der Art und Weise)</w:t>
      </w:r>
      <w:r>
        <w:br/>
      </w:r>
      <w:proofErr w:type="spellStart"/>
      <w:r>
        <w:t>hac</w:t>
      </w:r>
      <w:proofErr w:type="spellEnd"/>
      <w:r>
        <w:t xml:space="preserve"> </w:t>
      </w:r>
      <w:proofErr w:type="spellStart"/>
      <w:r>
        <w:t>ratione</w:t>
      </w:r>
      <w:proofErr w:type="spellEnd"/>
      <w:r>
        <w:t>: auf diese Weise</w:t>
      </w:r>
      <w:r>
        <w:br/>
      </w:r>
      <w:proofErr w:type="spellStart"/>
      <w:r>
        <w:t>nudo</w:t>
      </w:r>
      <w:proofErr w:type="spellEnd"/>
      <w:r>
        <w:t xml:space="preserve"> corpore </w:t>
      </w:r>
      <w:proofErr w:type="spellStart"/>
      <w:r>
        <w:t>pugnare</w:t>
      </w:r>
      <w:proofErr w:type="spellEnd"/>
      <w:r>
        <w:t>: mit nacktem Körper kämpfen</w:t>
      </w:r>
      <w:r>
        <w:br/>
      </w:r>
      <w:proofErr w:type="spellStart"/>
      <w:r>
        <w:t>iure</w:t>
      </w:r>
      <w:proofErr w:type="spellEnd"/>
      <w:r>
        <w:t xml:space="preserve"> hoc </w:t>
      </w:r>
      <w:proofErr w:type="spellStart"/>
      <w:r>
        <w:t>fecisti</w:t>
      </w:r>
      <w:proofErr w:type="spellEnd"/>
      <w:r>
        <w:t>: das hast du zu Recht gemacht.</w:t>
      </w:r>
    </w:p>
    <w:p w:rsidR="00210D00" w:rsidRDefault="005431D2">
      <w:pPr>
        <w:pStyle w:val="lbs-dokumente"/>
        <w:numPr>
          <w:ilvl w:val="0"/>
          <w:numId w:val="3"/>
        </w:numPr>
      </w:pPr>
      <w:bookmarkStart w:id="8" w:name="ablativusseparativus"/>
      <w:bookmarkEnd w:id="8"/>
      <w:r>
        <w:t xml:space="preserve">Der </w:t>
      </w:r>
      <w:proofErr w:type="spellStart"/>
      <w:r>
        <w:t>Ablativus</w:t>
      </w:r>
      <w:proofErr w:type="spellEnd"/>
      <w:r>
        <w:t xml:space="preserve"> </w:t>
      </w:r>
      <w:proofErr w:type="spellStart"/>
      <w:r>
        <w:rPr>
          <w:rStyle w:val="StrongEmphasis"/>
        </w:rPr>
        <w:t>separativus</w:t>
      </w:r>
      <w:proofErr w:type="spellEnd"/>
      <w:r>
        <w:t xml:space="preserve"> (Ablativ der Trennung)</w:t>
      </w:r>
      <w:r>
        <w:br/>
      </w:r>
      <w:r>
        <w:t>I. im räumlichen Sinn</w:t>
      </w:r>
      <w:r>
        <w:t>e:</w:t>
      </w:r>
      <w:r>
        <w:br/>
      </w:r>
      <w:r>
        <w:t xml:space="preserve">Roma </w:t>
      </w:r>
      <w:proofErr w:type="spellStart"/>
      <w:r>
        <w:t>veniunt</w:t>
      </w:r>
      <w:proofErr w:type="spellEnd"/>
      <w:r>
        <w:t xml:space="preserve">: sie kommen aus Rom. </w:t>
      </w:r>
      <w:r>
        <w:br/>
      </w:r>
      <w:r>
        <w:t xml:space="preserve">Multi </w:t>
      </w:r>
      <w:proofErr w:type="spellStart"/>
      <w:r>
        <w:t>homines</w:t>
      </w:r>
      <w:proofErr w:type="spellEnd"/>
      <w:r>
        <w:t xml:space="preserve"> Roma </w:t>
      </w:r>
      <w:proofErr w:type="spellStart"/>
      <w:r>
        <w:t>profugerunt</w:t>
      </w:r>
      <w:proofErr w:type="spellEnd"/>
      <w:r>
        <w:t>: Viele Menschen flohen aus Rom.</w:t>
      </w:r>
      <w:r>
        <w:br/>
      </w:r>
      <w:r>
        <w:t xml:space="preserve">Siehe auch das Arbeitsblatt Der Raum bei den verschiedenen Kasus. </w:t>
      </w:r>
      <w:r>
        <w:br/>
      </w:r>
      <w:r>
        <w:t xml:space="preserve">II. im </w:t>
      </w:r>
      <w:proofErr w:type="spellStart"/>
      <w:r>
        <w:t>übertragenenen</w:t>
      </w:r>
      <w:proofErr w:type="spellEnd"/>
      <w:r>
        <w:t xml:space="preserve"> Sinne bei Verben und Adjektiven des Beraubens und der Entbehrung (</w:t>
      </w:r>
      <w:r>
        <w:t xml:space="preserve">d.h. des </w:t>
      </w:r>
      <w:r>
        <w:rPr>
          <w:rStyle w:val="Hervorhebung"/>
        </w:rPr>
        <w:t>Nicht-Habens</w:t>
      </w:r>
      <w:r>
        <w:t>):</w:t>
      </w:r>
    </w:p>
    <w:p w:rsidR="00210D00" w:rsidRDefault="005431D2" w:rsidP="00786117">
      <w:pPr>
        <w:pStyle w:val="lbs-dokumente"/>
        <w:numPr>
          <w:ilvl w:val="1"/>
          <w:numId w:val="4"/>
        </w:numPr>
      </w:pPr>
      <w:proofErr w:type="spellStart"/>
      <w:r>
        <w:t>pecunia</w:t>
      </w:r>
      <w:proofErr w:type="spellEnd"/>
      <w:r>
        <w:t xml:space="preserve"> </w:t>
      </w:r>
      <w:proofErr w:type="spellStart"/>
      <w:r>
        <w:t>caremus</w:t>
      </w:r>
      <w:proofErr w:type="spellEnd"/>
      <w:r>
        <w:t>: wir haben kein Geld</w:t>
      </w:r>
      <w:r>
        <w:br/>
      </w:r>
      <w:proofErr w:type="spellStart"/>
      <w:r>
        <w:t>metu</w:t>
      </w:r>
      <w:proofErr w:type="spellEnd"/>
      <w:r>
        <w:t xml:space="preserve"> </w:t>
      </w:r>
      <w:proofErr w:type="spellStart"/>
      <w:r>
        <w:t>liberantur</w:t>
      </w:r>
      <w:proofErr w:type="spellEnd"/>
      <w:r>
        <w:t>: sie werden von der Furcht befreit</w:t>
      </w:r>
    </w:p>
    <w:p w:rsidR="00210D00" w:rsidRDefault="005431D2" w:rsidP="00786117">
      <w:pPr>
        <w:pStyle w:val="lbs-dokumente"/>
        <w:numPr>
          <w:ilvl w:val="1"/>
          <w:numId w:val="4"/>
        </w:numPr>
      </w:pPr>
      <w:r>
        <w:t xml:space="preserve">Adjektive mit einer vergleichbaren Bedeutung: </w:t>
      </w:r>
      <w:proofErr w:type="spellStart"/>
      <w:r>
        <w:t>liber</w:t>
      </w:r>
      <w:proofErr w:type="spellEnd"/>
      <w:r>
        <w:t xml:space="preserve"> </w:t>
      </w:r>
      <w:proofErr w:type="spellStart"/>
      <w:r>
        <w:t>metu</w:t>
      </w:r>
      <w:proofErr w:type="spellEnd"/>
      <w:r>
        <w:t>: frei von Furcht.</w:t>
      </w:r>
    </w:p>
    <w:p w:rsidR="00210D00" w:rsidRDefault="005431D2">
      <w:pPr>
        <w:pStyle w:val="lbs-dokumente"/>
        <w:numPr>
          <w:ilvl w:val="0"/>
          <w:numId w:val="3"/>
        </w:numPr>
      </w:pPr>
      <w:bookmarkStart w:id="9" w:name="ablativustemporis"/>
      <w:bookmarkEnd w:id="9"/>
      <w:r>
        <w:t xml:space="preserve">Der </w:t>
      </w:r>
      <w:proofErr w:type="spellStart"/>
      <w:r>
        <w:t>Ablativus</w:t>
      </w:r>
      <w:proofErr w:type="spellEnd"/>
      <w:r>
        <w:t xml:space="preserve"> </w:t>
      </w:r>
      <w:r>
        <w:rPr>
          <w:rStyle w:val="StrongEmphasis"/>
        </w:rPr>
        <w:t>temporis</w:t>
      </w:r>
      <w:r>
        <w:t xml:space="preserve"> (Ablativ der Zeit)</w:t>
      </w:r>
      <w:r>
        <w:br/>
      </w:r>
      <w:r>
        <w:t>hoc anno: in diesem Jahr</w:t>
      </w:r>
    </w:p>
    <w:p w:rsidR="00210D00" w:rsidRDefault="005431D2">
      <w:pPr>
        <w:pStyle w:val="lbs-dokumente"/>
        <w:numPr>
          <w:ilvl w:val="0"/>
          <w:numId w:val="3"/>
        </w:numPr>
      </w:pPr>
      <w:bookmarkStart w:id="10" w:name="ablativusloci"/>
      <w:bookmarkEnd w:id="10"/>
      <w:r>
        <w:t xml:space="preserve">Der </w:t>
      </w:r>
      <w:proofErr w:type="spellStart"/>
      <w:r>
        <w:t>Ablativus</w:t>
      </w:r>
      <w:proofErr w:type="spellEnd"/>
      <w:r>
        <w:t xml:space="preserve"> </w:t>
      </w:r>
      <w:r>
        <w:rPr>
          <w:rStyle w:val="StrongEmphasis"/>
        </w:rPr>
        <w:t>loci</w:t>
      </w:r>
      <w:r>
        <w:t xml:space="preserve"> (Ablativ des Ortes)</w:t>
      </w:r>
      <w:r>
        <w:br/>
      </w:r>
      <w:r>
        <w:t>Nur in bestimmten Fällen wird eine Ortsangabe ohne Präposition gegeben:</w:t>
      </w:r>
    </w:p>
    <w:p w:rsidR="00210D00" w:rsidRDefault="005431D2" w:rsidP="00786117">
      <w:pPr>
        <w:pStyle w:val="lbs-dokumente"/>
        <w:numPr>
          <w:ilvl w:val="1"/>
          <w:numId w:val="4"/>
        </w:numPr>
      </w:pPr>
      <w:r>
        <w:t xml:space="preserve">bei </w:t>
      </w:r>
      <w:proofErr w:type="spellStart"/>
      <w:r>
        <w:t>bei</w:t>
      </w:r>
      <w:proofErr w:type="spellEnd"/>
      <w:r>
        <w:t xml:space="preserve"> Städtenamen im Plural</w:t>
      </w:r>
      <w:r>
        <w:br/>
      </w:r>
      <w:proofErr w:type="spellStart"/>
      <w:r>
        <w:t>Athenis</w:t>
      </w:r>
      <w:proofErr w:type="spellEnd"/>
      <w:r>
        <w:t>: in Athen (</w:t>
      </w:r>
      <w:proofErr w:type="spellStart"/>
      <w:r>
        <w:t>Athenae</w:t>
      </w:r>
      <w:proofErr w:type="spellEnd"/>
      <w:r>
        <w:t xml:space="preserve">, </w:t>
      </w:r>
      <w:proofErr w:type="spellStart"/>
      <w:r>
        <w:t>Athenarum</w:t>
      </w:r>
      <w:proofErr w:type="spellEnd"/>
      <w:r>
        <w:t>, f.: Athen)</w:t>
      </w:r>
    </w:p>
    <w:p w:rsidR="00210D00" w:rsidRDefault="005431D2" w:rsidP="00786117">
      <w:pPr>
        <w:pStyle w:val="lbs-dokumente"/>
        <w:numPr>
          <w:ilvl w:val="1"/>
          <w:numId w:val="4"/>
        </w:numPr>
      </w:pPr>
      <w:r>
        <w:t>Städtenamen der 3</w:t>
      </w:r>
      <w:r>
        <w:t>. Deklination</w:t>
      </w:r>
      <w:r>
        <w:br/>
      </w:r>
      <w:proofErr w:type="spellStart"/>
      <w:r>
        <w:t>Carthagine</w:t>
      </w:r>
      <w:proofErr w:type="spellEnd"/>
      <w:r>
        <w:t>: in Karthago (</w:t>
      </w:r>
      <w:proofErr w:type="spellStart"/>
      <w:r>
        <w:t>Carthago</w:t>
      </w:r>
      <w:proofErr w:type="spellEnd"/>
      <w:r>
        <w:t xml:space="preserve">, </w:t>
      </w:r>
      <w:proofErr w:type="spellStart"/>
      <w:r>
        <w:t>Cartaginis</w:t>
      </w:r>
      <w:proofErr w:type="spellEnd"/>
      <w:r>
        <w:t>, f.: Karthago)</w:t>
      </w:r>
    </w:p>
    <w:p w:rsidR="00210D00" w:rsidRDefault="005431D2">
      <w:pPr>
        <w:pStyle w:val="lbs-dokumente"/>
      </w:pPr>
      <w:r>
        <w:lastRenderedPageBreak/>
        <w:t xml:space="preserve">Ortsangaben bei Städten der a- oder o-Deklination im Singular werden mit dem Genitiv wiedergegeben. </w:t>
      </w:r>
      <w:proofErr w:type="spellStart"/>
      <w:r>
        <w:t>Romae</w:t>
      </w:r>
      <w:proofErr w:type="spellEnd"/>
      <w:r>
        <w:t xml:space="preserve"> </w:t>
      </w:r>
      <w:proofErr w:type="spellStart"/>
      <w:r>
        <w:t>sunt</w:t>
      </w:r>
      <w:proofErr w:type="spellEnd"/>
      <w:r>
        <w:t>: sie sind in Rom. Siehe oben unter Genitiv.</w:t>
      </w:r>
    </w:p>
    <w:p w:rsidR="00210D00" w:rsidRDefault="005431D2">
      <w:pPr>
        <w:pStyle w:val="lbs-dokumente"/>
      </w:pPr>
      <w:r>
        <w:t xml:space="preserve">Der </w:t>
      </w:r>
      <w:proofErr w:type="spellStart"/>
      <w:r>
        <w:rPr>
          <w:rStyle w:val="StrongEmphasis"/>
        </w:rPr>
        <w:t>Ablativus</w:t>
      </w:r>
      <w:proofErr w:type="spellEnd"/>
      <w:r>
        <w:rPr>
          <w:rStyle w:val="StrongEmphasis"/>
        </w:rPr>
        <w:t xml:space="preserve"> loci</w:t>
      </w:r>
      <w:r>
        <w:t xml:space="preserve"> bei be</w:t>
      </w:r>
      <w:r>
        <w:t>stimmten Wörtern:</w:t>
      </w:r>
    </w:p>
    <w:p w:rsidR="00210D00" w:rsidRDefault="005431D2" w:rsidP="00786117">
      <w:pPr>
        <w:pStyle w:val="lbs-dokumente"/>
        <w:numPr>
          <w:ilvl w:val="1"/>
          <w:numId w:val="4"/>
        </w:numPr>
      </w:pPr>
      <w:proofErr w:type="spellStart"/>
      <w:r>
        <w:t>totus</w:t>
      </w:r>
      <w:proofErr w:type="spellEnd"/>
      <w:r>
        <w:t xml:space="preserve"> (ganz;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urbe</w:t>
      </w:r>
      <w:proofErr w:type="spellEnd"/>
      <w:r>
        <w:t>: in der ganzen Stadt)</w:t>
      </w:r>
    </w:p>
    <w:p w:rsidR="00210D00" w:rsidRDefault="005431D2" w:rsidP="00786117">
      <w:pPr>
        <w:pStyle w:val="lbs-dokumente"/>
        <w:numPr>
          <w:ilvl w:val="1"/>
          <w:numId w:val="4"/>
        </w:numPr>
      </w:pPr>
      <w:proofErr w:type="spellStart"/>
      <w:r>
        <w:t>terra</w:t>
      </w:r>
      <w:proofErr w:type="spellEnd"/>
      <w:r>
        <w:t xml:space="preserve"> </w:t>
      </w:r>
      <w:proofErr w:type="spellStart"/>
      <w:r>
        <w:t>marique</w:t>
      </w:r>
      <w:proofErr w:type="spellEnd"/>
      <w:r>
        <w:t xml:space="preserve"> (zu Lande und zu Wasser)</w:t>
      </w:r>
    </w:p>
    <w:p w:rsidR="00210D00" w:rsidRDefault="005431D2" w:rsidP="00786117">
      <w:pPr>
        <w:pStyle w:val="lbs-dokumente"/>
        <w:numPr>
          <w:ilvl w:val="1"/>
          <w:numId w:val="4"/>
        </w:numPr>
      </w:pPr>
      <w:proofErr w:type="spellStart"/>
      <w:r>
        <w:t>locus</w:t>
      </w:r>
      <w:proofErr w:type="spellEnd"/>
      <w:r>
        <w:t xml:space="preserve"> (der Ort; hoc loco: an diesem Ort).</w:t>
      </w:r>
    </w:p>
    <w:p w:rsidR="00210D00" w:rsidRDefault="00210D00">
      <w:pPr>
        <w:pStyle w:val="Textbody"/>
      </w:pPr>
    </w:p>
    <w:p w:rsidR="00210D00" w:rsidRDefault="005431D2">
      <w:pPr>
        <w:pStyle w:val="lbs-dokumente"/>
      </w:pPr>
      <w:r>
        <w:t xml:space="preserve">URL dieses Dokuments: </w:t>
      </w:r>
      <w:hyperlink r:id="rId7" w:history="1">
        <w:r w:rsidRPr="00786117">
          <w:rPr>
            <w:color w:val="2F5496" w:themeColor="accent1" w:themeShade="BF"/>
            <w:u w:val="single"/>
          </w:rPr>
          <w:t>http://www.schule-bw.de/faecher-und-schularten/sprachen-und-literatur/latein/sprache/kasuslehre</w:t>
        </w:r>
      </w:hyperlink>
    </w:p>
    <w:p w:rsidR="00210D00" w:rsidRDefault="005431D2">
      <w:pPr>
        <w:pStyle w:val="Textbody"/>
      </w:pPr>
      <w:r>
        <w:t>Letzte Änderung im Juni 2017</w:t>
      </w:r>
    </w:p>
    <w:p w:rsidR="00210D00" w:rsidRDefault="00210D00">
      <w:pPr>
        <w:pStyle w:val="lbs-dokumente"/>
      </w:pPr>
    </w:p>
    <w:sectPr w:rsidR="00210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D2" w:rsidRDefault="005431D2">
      <w:r>
        <w:separator/>
      </w:r>
    </w:p>
  </w:endnote>
  <w:endnote w:type="continuationSeparator" w:id="0">
    <w:p w:rsidR="005431D2" w:rsidRDefault="0054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AE0" w:rsidRDefault="00402A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0D" w:rsidRDefault="005431D2">
    <w:pPr>
      <w:pStyle w:val="Fuzeile"/>
    </w:pPr>
    <w:hyperlink r:id="rId1" w:history="1">
      <w:r>
        <w:rPr>
          <w:rFonts w:ascii="Verdana" w:hAnsi="Verdana"/>
          <w:sz w:val="20"/>
          <w:szCs w:val="20"/>
        </w:rPr>
        <w:t>www.latein-bw.de</w:t>
      </w:r>
    </w:hyperlink>
    <w:r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 xml:space="preserve"> PAGE </w:instrText>
    </w:r>
    <w:r>
      <w:rPr>
        <w:rFonts w:ascii="Verdana" w:hAnsi="Verdana"/>
        <w:sz w:val="20"/>
        <w:szCs w:val="20"/>
      </w:rPr>
      <w:fldChar w:fldCharType="separate"/>
    </w:r>
    <w:r w:rsidR="00402AE0">
      <w:rPr>
        <w:rFonts w:ascii="Verdana" w:hAnsi="Verdana"/>
        <w:noProof/>
        <w:sz w:val="20"/>
        <w:szCs w:val="20"/>
      </w:rPr>
      <w:t>3</w:t>
    </w:r>
    <w:r>
      <w:rPr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AE0" w:rsidRDefault="00402A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D2" w:rsidRDefault="005431D2">
      <w:r>
        <w:rPr>
          <w:color w:val="000000"/>
        </w:rPr>
        <w:separator/>
      </w:r>
    </w:p>
  </w:footnote>
  <w:footnote w:type="continuationSeparator" w:id="0">
    <w:p w:rsidR="005431D2" w:rsidRDefault="0054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AE0" w:rsidRDefault="00402A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E15B0D">
      <w:tblPrEx>
        <w:tblCellMar>
          <w:top w:w="0" w:type="dxa"/>
          <w:bottom w:w="0" w:type="dxa"/>
        </w:tblCellMar>
      </w:tblPrEx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15B0D" w:rsidRDefault="005431D2">
          <w:pPr>
            <w:pStyle w:val="TableContents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15B0D" w:rsidRDefault="005431D2">
          <w:pPr>
            <w:pStyle w:val="TableContents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15B0D" w:rsidRDefault="005431D2">
          <w:pPr>
            <w:pStyle w:val="TableContents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Lateinportal: Kasuslehre</w:t>
          </w:r>
        </w:p>
      </w:tc>
    </w:tr>
  </w:tbl>
  <w:p w:rsidR="00E15B0D" w:rsidRDefault="005431D2">
    <w:pPr>
      <w:pStyle w:val="Kopfzeil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AE0" w:rsidRDefault="00402A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A98"/>
    <w:multiLevelType w:val="multilevel"/>
    <w:tmpl w:val="8DB0FC2A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C9B4778"/>
    <w:multiLevelType w:val="multilevel"/>
    <w:tmpl w:val="269487D8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2" w15:restartNumberingAfterBreak="0">
    <w:nsid w:val="23D72AB2"/>
    <w:multiLevelType w:val="multilevel"/>
    <w:tmpl w:val="4660313C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CB36C98"/>
    <w:multiLevelType w:val="multilevel"/>
    <w:tmpl w:val="95FA1CE6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10D00"/>
    <w:rsid w:val="00210D00"/>
    <w:rsid w:val="003E7742"/>
    <w:rsid w:val="00402AE0"/>
    <w:rsid w:val="005431D2"/>
    <w:rsid w:val="007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40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widowControl/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Hervorhebung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chule-bw.de/faecher-und-schularten/sprachen-und-literatur/latein/sprache/kasuslehr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2017-06-09T12:18:00Z</dcterms:created>
  <dcterms:modified xsi:type="dcterms:W3CDTF">2017-06-09T12:18:00Z</dcterms:modified>
</cp:coreProperties>
</file>