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E5" w:rsidRDefault="00CA7642">
      <w:pPr>
        <w:pStyle w:val="berschrift1-lbs"/>
      </w:pPr>
      <w:r>
        <w:t>Die Kasusfunktionen für den Bildungsplan der 1. Fremdsprache</w:t>
      </w:r>
    </w:p>
    <w:p w:rsidR="00C044E5" w:rsidRDefault="00CA7642">
      <w:pPr>
        <w:pStyle w:val="lbs-dokumente"/>
      </w:pPr>
      <w:r>
        <w:t>Aufstellung aller Kasusfunktionen, die in den Bi</w:t>
      </w:r>
      <w:r w:rsidR="00290980">
        <w:t>ldungsstandards für Latein als 1</w:t>
      </w:r>
      <w:bookmarkStart w:id="0" w:name="_GoBack"/>
      <w:bookmarkEnd w:id="0"/>
      <w:r>
        <w:t xml:space="preserve">. Fremdsprache von Klasse 5 bis Klasse 10 </w:t>
      </w:r>
      <w:r>
        <w:t>vorgesehen sind.</w:t>
      </w:r>
    </w:p>
    <w:p w:rsidR="00C044E5" w:rsidRDefault="00CA7642">
      <w:pPr>
        <w:pStyle w:val="berschrift1-lbs"/>
      </w:pPr>
      <w:bookmarkStart w:id="1" w:name="oben1"/>
      <w:bookmarkEnd w:id="1"/>
      <w:r>
        <w:t>Hinweise zur Benutzung</w:t>
      </w:r>
    </w:p>
    <w:p w:rsidR="00C044E5" w:rsidRDefault="00CA7642">
      <w:pPr>
        <w:pStyle w:val="lbs-dokumente"/>
        <w:spacing w:after="57"/>
      </w:pPr>
      <w:r>
        <w:t>Dieses Arbeitsblatt stellt alle Kasusfunktionen zusammen, die im Bildungsplan 2016 für Latein als 1. Fremdsprache, Standardstufen 5 bis 10 vorgesehen sind.</w:t>
      </w:r>
    </w:p>
    <w:p w:rsidR="00C044E5" w:rsidRDefault="00CA7642">
      <w:pPr>
        <w:pStyle w:val="lbs-dokumente"/>
        <w:spacing w:after="57"/>
      </w:pPr>
      <w:r>
        <w:t> Die Kasusfunktionen, die erst für die Bildungsstandards der</w:t>
      </w:r>
      <w:r>
        <w:t xml:space="preserve"> Klasse 9 und 10 (1. Fremdsprache) vorgesehen sind, sind mit zwei Sternen (**) gekennzeichnet.</w:t>
      </w:r>
    </w:p>
    <w:p w:rsidR="00C044E5" w:rsidRDefault="00CA7642">
      <w:pPr>
        <w:pStyle w:val="lbs-dokumente"/>
        <w:spacing w:after="57"/>
      </w:pPr>
      <w:r>
        <w:t>Für den Unterricht in den Klassen 5 und 6 gibt es ein eigenes Arbeitsblatt, das nur die  entsprechenden Kasusfunktionen auflistet. Zu diesem und den weiteren Arb</w:t>
      </w:r>
      <w:r>
        <w:t xml:space="preserve">eitsblättern (für Latein als 2. Fremdsprache und für die Kursstufe), zum </w:t>
      </w:r>
      <w:r>
        <w:rPr>
          <w:b/>
        </w:rPr>
        <w:t>Bildungsplan</w:t>
      </w:r>
      <w:r>
        <w:t xml:space="preserve">bezug und zu den verwendeten </w:t>
      </w:r>
      <w:r>
        <w:rPr>
          <w:b/>
        </w:rPr>
        <w:t>Quellen</w:t>
      </w:r>
      <w:r>
        <w:t xml:space="preserve"> finden Sie die Links in der </w:t>
      </w:r>
      <w:r>
        <w:rPr>
          <w:b/>
          <w:bCs/>
          <w:i/>
          <w:iCs/>
        </w:rPr>
        <w:t>Einführung</w:t>
      </w:r>
      <w:r>
        <w:t>. Die URL dieser Einführung steht am Ende des Dokuments und am Fuß jeder Seite.</w:t>
      </w:r>
    </w:p>
    <w:p w:rsidR="00C044E5" w:rsidRDefault="00CA7642">
      <w:pPr>
        <w:pStyle w:val="berschrift1-lbs"/>
      </w:pPr>
      <w:r>
        <w:t>Die verschiedene</w:t>
      </w:r>
      <w:r>
        <w:t>n Kasus und ihre Sinnrichtungen bzw. semantischen Funktionen</w:t>
      </w:r>
    </w:p>
    <w:p w:rsidR="00C044E5" w:rsidRDefault="00CA7642">
      <w:pPr>
        <w:pStyle w:val="berschrift1-lbs"/>
      </w:pPr>
      <w:r>
        <w:t>Genitiv</w:t>
      </w:r>
    </w:p>
    <w:p w:rsidR="00C044E5" w:rsidRDefault="00CA7642">
      <w:pPr>
        <w:pStyle w:val="lbs-dokumente"/>
        <w:numPr>
          <w:ilvl w:val="0"/>
          <w:numId w:val="1"/>
        </w:numPr>
      </w:pPr>
      <w:bookmarkStart w:id="2" w:name="genposs"/>
      <w:bookmarkEnd w:id="2"/>
      <w:r>
        <w:t xml:space="preserve">Genitivus </w:t>
      </w:r>
      <w:r>
        <w:rPr>
          <w:rStyle w:val="StrongEmphasis"/>
        </w:rPr>
        <w:t>possessivus</w:t>
      </w:r>
      <w:r>
        <w:rPr>
          <w:rStyle w:val="StrongEmphasis"/>
        </w:rPr>
        <w:br/>
      </w:r>
      <w:r>
        <w:t>Omnia hostium erat: alles gehörte den Feinden.</w:t>
      </w:r>
    </w:p>
    <w:p w:rsidR="00C044E5" w:rsidRDefault="00CA7642">
      <w:pPr>
        <w:pStyle w:val="lbs-dokumente"/>
        <w:numPr>
          <w:ilvl w:val="0"/>
          <w:numId w:val="1"/>
        </w:numPr>
      </w:pPr>
      <w:r>
        <w:t xml:space="preserve">Genitivus </w:t>
      </w:r>
      <w:r>
        <w:rPr>
          <w:rStyle w:val="StrongEmphasis"/>
        </w:rPr>
        <w:t>subiectivus</w:t>
      </w:r>
      <w:r>
        <w:t xml:space="preserve"> / </w:t>
      </w:r>
      <w:r>
        <w:rPr>
          <w:rStyle w:val="StrongEmphasis"/>
        </w:rPr>
        <w:t>obiectivus</w:t>
      </w:r>
      <w:r>
        <w:rPr>
          <w:rStyle w:val="StrongEmphasis"/>
        </w:rPr>
        <w:br/>
      </w:r>
      <w:r>
        <w:t>spes victoriae: die Hoffnung auf Sieg/die Siegeshoffung = Genitivus obiectivus, da</w:t>
      </w:r>
      <w:r>
        <w:t xml:space="preserve"> der Sieg als Objekt gesehen wird, auf den sich die Hoffnung richtet.</w:t>
      </w:r>
      <w:r>
        <w:br/>
      </w:r>
      <w:r>
        <w:t>amor parentum: die Liebe der Eltern (zu ihren Kindern = Genitivus subiectivus);</w:t>
      </w:r>
      <w:r>
        <w:br/>
      </w:r>
      <w:r>
        <w:t>je nach Zusammenhang auch: die Liebe (der Kinder) zu den Eltern (= Genitivus obiectivus).</w:t>
      </w:r>
    </w:p>
    <w:p w:rsidR="00C044E5" w:rsidRDefault="00CA7642">
      <w:pPr>
        <w:pStyle w:val="lbs-dokumente"/>
        <w:numPr>
          <w:ilvl w:val="0"/>
          <w:numId w:val="1"/>
        </w:numPr>
      </w:pPr>
      <w:bookmarkStart w:id="3" w:name="part"/>
      <w:bookmarkEnd w:id="3"/>
      <w:r>
        <w:t xml:space="preserve">Genitivus </w:t>
      </w:r>
      <w:r>
        <w:rPr>
          <w:rStyle w:val="StrongEmphasis"/>
        </w:rPr>
        <w:t>parti</w:t>
      </w:r>
      <w:r>
        <w:rPr>
          <w:rStyle w:val="StrongEmphasis"/>
        </w:rPr>
        <w:t>tivus/totius:</w:t>
      </w:r>
      <w:r>
        <w:t xml:space="preserve"> Genitiv des Teiles und des Ganzen</w:t>
      </w:r>
      <w:r>
        <w:br/>
      </w:r>
      <w:r>
        <w:t>pars hominum: ein Teil der Menschen</w:t>
      </w:r>
      <w:r>
        <w:br/>
      </w:r>
      <w:r>
        <w:t>magna copia frumenti: eine große Menge Getreide</w:t>
      </w:r>
      <w:r>
        <w:br/>
      </w:r>
      <w:r>
        <w:t>tantum ingenii: so viel Geist.</w:t>
      </w:r>
    </w:p>
    <w:p w:rsidR="00C044E5" w:rsidRDefault="00CA7642">
      <w:pPr>
        <w:pStyle w:val="lbs-dokumente"/>
        <w:numPr>
          <w:ilvl w:val="0"/>
          <w:numId w:val="1"/>
        </w:numPr>
      </w:pPr>
      <w:bookmarkStart w:id="4" w:name="genitivusqualitatis"/>
      <w:bookmarkEnd w:id="4"/>
      <w:r>
        <w:t xml:space="preserve">Genitivus </w:t>
      </w:r>
      <w:r>
        <w:rPr>
          <w:rStyle w:val="StrongEmphasis"/>
        </w:rPr>
        <w:t>qualitatis</w:t>
      </w:r>
      <w:r>
        <w:t xml:space="preserve"> / Genitiv der Eigenschaft</w:t>
      </w:r>
      <w:r>
        <w:br/>
      </w:r>
      <w:r>
        <w:t>res eius modi: eine derartige Sache (fast völ</w:t>
      </w:r>
      <w:r>
        <w:t>lig sinngleich mit dem Ablativus qualitatis, siehe unten auf S. 4: Ablativus qualitatis.)</w:t>
      </w:r>
    </w:p>
    <w:p w:rsidR="00C044E5" w:rsidRDefault="00CA7642">
      <w:pPr>
        <w:pStyle w:val="lbs-dokumente"/>
        <w:numPr>
          <w:ilvl w:val="0"/>
          <w:numId w:val="1"/>
        </w:numPr>
      </w:pPr>
      <w:bookmarkStart w:id="5" w:name="genitivusproprietatis"/>
      <w:bookmarkEnd w:id="5"/>
      <w:r>
        <w:t xml:space="preserve">** Genitivus </w:t>
      </w:r>
      <w:r>
        <w:rPr>
          <w:rStyle w:val="StrongEmphasis"/>
        </w:rPr>
        <w:t>proprietatis</w:t>
      </w:r>
      <w:r>
        <w:t xml:space="preserve"> (Genitiv der </w:t>
      </w:r>
      <w:r>
        <w:rPr>
          <w:rStyle w:val="StrongEmphasis"/>
        </w:rPr>
        <w:t>Eigentümlichkeit</w:t>
      </w:r>
      <w:r>
        <w:t>)</w:t>
      </w:r>
      <w:r>
        <w:br/>
      </w:r>
      <w:r>
        <w:t>Dieser Genitiv wird auch als Unterart des Genitivus possessivus bezeichnet.</w:t>
      </w:r>
      <w:r>
        <w:br/>
      </w:r>
      <w:r>
        <w:lastRenderedPageBreak/>
        <w:t>sapientis est multa ferre: Es is</w:t>
      </w:r>
      <w:r>
        <w:t>t Aufgabe des Weisen, vieles zu ertragen; oder: Es ist Zeichen für einen Weisen, dass er viel erträgt.</w:t>
      </w:r>
    </w:p>
    <w:p w:rsidR="00C044E5" w:rsidRDefault="00CA7642">
      <w:pPr>
        <w:pStyle w:val="lbs-dokumente"/>
      </w:pPr>
      <w:r>
        <w:t xml:space="preserve">Zum Genitiv als Objektskasus siehe das Arbeitsblatt </w:t>
      </w:r>
      <w:r>
        <w:rPr>
          <w:i/>
          <w:iCs/>
        </w:rPr>
        <w:t>Kasus und Objekt</w:t>
      </w:r>
      <w:r>
        <w:t xml:space="preserve"> (Link siehe am Ende des Dokuments oder am Fuß jeder Seite).</w:t>
      </w:r>
    </w:p>
    <w:p w:rsidR="00C044E5" w:rsidRDefault="00CA7642">
      <w:pPr>
        <w:pStyle w:val="berschrift1-lbs"/>
      </w:pPr>
      <w:bookmarkStart w:id="6" w:name="dativ"/>
      <w:bookmarkEnd w:id="6"/>
      <w:r>
        <w:t>Der Dativ</w:t>
      </w:r>
    </w:p>
    <w:p w:rsidR="00C044E5" w:rsidRDefault="00CA7642">
      <w:pPr>
        <w:pStyle w:val="lbs-dokumente"/>
        <w:numPr>
          <w:ilvl w:val="0"/>
          <w:numId w:val="2"/>
        </w:numPr>
      </w:pPr>
      <w:bookmarkStart w:id="7" w:name="commodi"/>
      <w:bookmarkEnd w:id="7"/>
      <w:r>
        <w:rPr>
          <w:rStyle w:val="StrongEmphasis"/>
        </w:rPr>
        <w:t>Dativus commo</w:t>
      </w:r>
      <w:r>
        <w:rPr>
          <w:rStyle w:val="StrongEmphasis"/>
        </w:rPr>
        <w:t>di</w:t>
      </w:r>
      <w:r>
        <w:t xml:space="preserve"> / Dativ des Vorteils</w:t>
      </w:r>
      <w:r>
        <w:br/>
      </w:r>
      <w:r>
        <w:t>praedia aliis coluit, non sibi: Er bebaute diese Landgüter für andere, nicht für sich.</w:t>
      </w:r>
    </w:p>
    <w:p w:rsidR="00C044E5" w:rsidRDefault="00CA7642">
      <w:pPr>
        <w:pStyle w:val="lbs-dokumente"/>
        <w:numPr>
          <w:ilvl w:val="0"/>
          <w:numId w:val="2"/>
        </w:numPr>
      </w:pPr>
      <w:bookmarkStart w:id="8" w:name="finalis"/>
      <w:bookmarkEnd w:id="8"/>
      <w:r>
        <w:t xml:space="preserve">Der Dativus </w:t>
      </w:r>
      <w:r>
        <w:rPr>
          <w:rStyle w:val="StrongEmphasis"/>
        </w:rPr>
        <w:t>finalis</w:t>
      </w:r>
      <w:r>
        <w:t xml:space="preserve"> / Dativ des Zwecks</w:t>
      </w:r>
      <w:r>
        <w:br/>
      </w:r>
      <w:r>
        <w:t>haec res mihi cordi est: diese Sache liegt mir am Herzen.</w:t>
      </w:r>
      <w:r>
        <w:br/>
      </w:r>
      <w:r>
        <w:t>haec res mihi curae ist: Diese Sache ist mir wi</w:t>
      </w:r>
      <w:r>
        <w:t>chtig.</w:t>
      </w:r>
      <w:r>
        <w:br/>
      </w:r>
      <w:r>
        <w:t xml:space="preserve">In dieser Konstruktion kommen immer zwei Dativformen vor, eine Person im Dativ (der etwas wichtig ist oder am Herzen liegt) und der eigentliche Dativ des Zwecks (in den Beispielen </w:t>
      </w:r>
      <w:r>
        <w:rPr>
          <w:rStyle w:val="Hervorhebung"/>
        </w:rPr>
        <w:t>cordi</w:t>
      </w:r>
      <w:r>
        <w:t xml:space="preserve"> und </w:t>
      </w:r>
      <w:r>
        <w:rPr>
          <w:rStyle w:val="Hervorhebung"/>
        </w:rPr>
        <w:t>curae</w:t>
      </w:r>
      <w:r>
        <w:t>).</w:t>
      </w:r>
    </w:p>
    <w:p w:rsidR="00C044E5" w:rsidRDefault="00CA7642">
      <w:pPr>
        <w:pStyle w:val="lbs-dokumente"/>
        <w:numPr>
          <w:ilvl w:val="0"/>
          <w:numId w:val="2"/>
        </w:numPr>
      </w:pPr>
      <w:bookmarkStart w:id="9" w:name="dativuspossessivus"/>
      <w:bookmarkEnd w:id="9"/>
      <w:r>
        <w:t xml:space="preserve">Dativus </w:t>
      </w:r>
      <w:r>
        <w:rPr>
          <w:rStyle w:val="StrongEmphasis"/>
        </w:rPr>
        <w:t>possessivus</w:t>
      </w:r>
      <w:r>
        <w:t xml:space="preserve"> bzw. Dativ des Besitzes</w:t>
      </w:r>
      <w:r>
        <w:br/>
      </w:r>
      <w:r>
        <w:t>haec d</w:t>
      </w:r>
      <w:r>
        <w:t>omus mihi est: dieses Haus gehört mir.</w:t>
      </w:r>
    </w:p>
    <w:p w:rsidR="00C044E5" w:rsidRDefault="00CA7642">
      <w:pPr>
        <w:pStyle w:val="lbs-dokumente"/>
        <w:numPr>
          <w:ilvl w:val="0"/>
          <w:numId w:val="2"/>
        </w:numPr>
      </w:pPr>
      <w:bookmarkStart w:id="10" w:name="dativusauctoris"/>
      <w:bookmarkEnd w:id="10"/>
      <w:r>
        <w:t>** Der Dativus auctoris bzw. Dativ der handelnden Person</w:t>
      </w:r>
      <w:r>
        <w:br/>
      </w:r>
      <w:r>
        <w:t>Der Dativus auctoris kommt beim Gerundivum vor.</w:t>
      </w:r>
      <w:r>
        <w:br/>
      </w:r>
      <w:r>
        <w:t>nobis interdum tacendum est: wir müssen bisweilen schweigen</w:t>
      </w:r>
      <w:r>
        <w:br/>
      </w:r>
    </w:p>
    <w:p w:rsidR="00C044E5" w:rsidRDefault="00CA7642">
      <w:pPr>
        <w:pStyle w:val="lbs-dokumente"/>
      </w:pPr>
      <w:r>
        <w:t xml:space="preserve">Zum Dativ als Objektskasus siehe das Arbeitsblatt </w:t>
      </w:r>
      <w:r>
        <w:rPr>
          <w:i/>
          <w:iCs/>
        </w:rPr>
        <w:t>Kasus und Objekt</w:t>
      </w:r>
      <w:r>
        <w:t xml:space="preserve"> (Link siehe am Ende des Dokuments oder am Fuß jeder Seite).</w:t>
      </w:r>
    </w:p>
    <w:p w:rsidR="00C044E5" w:rsidRDefault="00CA7642">
      <w:pPr>
        <w:pStyle w:val="berschrift1-lbs"/>
      </w:pPr>
      <w:bookmarkStart w:id="11" w:name="akkusativ"/>
      <w:bookmarkEnd w:id="11"/>
      <w:r>
        <w:t>Akkusativ</w:t>
      </w:r>
    </w:p>
    <w:p w:rsidR="00C044E5" w:rsidRDefault="00CA7642">
      <w:pPr>
        <w:pStyle w:val="lbs-dokumente"/>
        <w:numPr>
          <w:ilvl w:val="0"/>
          <w:numId w:val="3"/>
        </w:numPr>
      </w:pPr>
      <w:r>
        <w:t xml:space="preserve">Der Akkusativ der </w:t>
      </w:r>
      <w:r>
        <w:rPr>
          <w:rStyle w:val="StrongEmphasis"/>
        </w:rPr>
        <w:t>räumlichen Ausdehnung</w:t>
      </w:r>
      <w:r>
        <w:br/>
      </w:r>
      <w:r>
        <w:t>duas fossas xv pedes latas eadem altitudine perduxit: Er ließ zwei Gräben von 15 Fuß Breite und ebensolcher Tiefe ausheben (Caesa</w:t>
      </w:r>
      <w:r>
        <w:t>r, Commentarii de bello Gallico)</w:t>
      </w:r>
    </w:p>
    <w:p w:rsidR="00C044E5" w:rsidRDefault="00CA7642">
      <w:pPr>
        <w:pStyle w:val="lbs-dokumente"/>
        <w:numPr>
          <w:ilvl w:val="0"/>
          <w:numId w:val="3"/>
        </w:numPr>
      </w:pPr>
      <w:r>
        <w:t>Der Akkusativ der</w:t>
      </w:r>
      <w:r>
        <w:rPr>
          <w:rStyle w:val="StrongEmphasis"/>
        </w:rPr>
        <w:t xml:space="preserve"> zeitlichen Ausdehnung</w:t>
      </w:r>
      <w:r>
        <w:br/>
      </w:r>
      <w:r>
        <w:t>multos annos ibi manebat: Sie blieb dort viele Jahre lang.</w:t>
      </w:r>
    </w:p>
    <w:p w:rsidR="00C044E5" w:rsidRDefault="00CA7642">
      <w:pPr>
        <w:pStyle w:val="lbs-dokumente"/>
        <w:numPr>
          <w:ilvl w:val="0"/>
          <w:numId w:val="3"/>
        </w:numPr>
      </w:pPr>
      <w:r>
        <w:t xml:space="preserve">Der Akkusativ der </w:t>
      </w:r>
      <w:r>
        <w:rPr>
          <w:rStyle w:val="StrongEmphasis"/>
        </w:rPr>
        <w:t>Richtung</w:t>
      </w:r>
      <w:r>
        <w:rPr>
          <w:rStyle w:val="StrongEmphasis"/>
        </w:rPr>
        <w:br/>
      </w:r>
      <w:r>
        <w:t>Der Akkusativ der Richtung ohne Präsposition wird nur bei Städten und kleinen Inseln verwendet.</w:t>
      </w:r>
      <w:r>
        <w:br/>
      </w:r>
      <w:r>
        <w:t>Athenas eunt: Sie gehen nach Athen.</w:t>
      </w:r>
      <w:r>
        <w:br/>
      </w:r>
      <w:r>
        <w:lastRenderedPageBreak/>
        <w:t>Aber: in Siciliam veni: ich kam nach Sizilien</w:t>
      </w:r>
      <w:r>
        <w:br/>
      </w:r>
      <w:r>
        <w:t xml:space="preserve">Siehe auch das Arbeitsblatt </w:t>
      </w:r>
      <w:r>
        <w:rPr>
          <w:i/>
          <w:iCs/>
        </w:rPr>
        <w:t xml:space="preserve">Der Raum bei den verschiedenen Kasus </w:t>
      </w:r>
      <w:r>
        <w:t>(Link am Ende des Dokuments)</w:t>
      </w:r>
      <w:r>
        <w:t>.</w:t>
      </w:r>
    </w:p>
    <w:p w:rsidR="00C044E5" w:rsidRDefault="00CA7642">
      <w:pPr>
        <w:pStyle w:val="lbs-dokumente"/>
        <w:numPr>
          <w:ilvl w:val="0"/>
          <w:numId w:val="3"/>
        </w:numPr>
      </w:pPr>
      <w:r>
        <w:t xml:space="preserve">** Der </w:t>
      </w:r>
      <w:r>
        <w:rPr>
          <w:rStyle w:val="StrongEmphasis"/>
        </w:rPr>
        <w:t>Akkusativ des Ausrufs</w:t>
      </w:r>
      <w:r>
        <w:br/>
      </w:r>
      <w:r>
        <w:t>O me miserum! O ich Armer!</w:t>
      </w:r>
    </w:p>
    <w:p w:rsidR="00C044E5" w:rsidRDefault="00CA7642">
      <w:pPr>
        <w:pStyle w:val="berschrift1-lbs"/>
      </w:pPr>
      <w:bookmarkStart w:id="12" w:name="ablativ"/>
      <w:bookmarkEnd w:id="12"/>
      <w:r>
        <w:t>Ablativ</w:t>
      </w:r>
    </w:p>
    <w:p w:rsidR="00C044E5" w:rsidRDefault="00CA7642">
      <w:pPr>
        <w:pStyle w:val="lbs-dokumente"/>
        <w:numPr>
          <w:ilvl w:val="0"/>
          <w:numId w:val="4"/>
        </w:numPr>
      </w:pPr>
      <w:bookmarkStart w:id="13" w:name="ablativusinstrumenti"/>
      <w:bookmarkEnd w:id="13"/>
      <w:r>
        <w:t>Der Ablativu</w:t>
      </w:r>
      <w:r>
        <w:t xml:space="preserve">s </w:t>
      </w:r>
      <w:r>
        <w:rPr>
          <w:rStyle w:val="StrongEmphasis"/>
        </w:rPr>
        <w:t>instumenti</w:t>
      </w:r>
      <w:r>
        <w:t xml:space="preserve"> (Ablativ des Mittels):</w:t>
      </w:r>
      <w:r>
        <w:br/>
      </w:r>
      <w:r>
        <w:t>plebs muneribus placatur: das Volk wird durch Geschenke besänftigt</w:t>
      </w:r>
      <w:r>
        <w:br/>
      </w:r>
      <w:r>
        <w:t>armis pugnant: sie kämpfen mit Waffen.</w:t>
      </w:r>
    </w:p>
    <w:p w:rsidR="00C044E5" w:rsidRDefault="00CA7642">
      <w:pPr>
        <w:pStyle w:val="lbs-dokumente"/>
        <w:numPr>
          <w:ilvl w:val="0"/>
          <w:numId w:val="4"/>
        </w:numPr>
      </w:pPr>
      <w:bookmarkStart w:id="14" w:name="ablativusmodi"/>
      <w:bookmarkEnd w:id="14"/>
      <w:r>
        <w:rPr>
          <w:rStyle w:val="StrongEmphasis"/>
        </w:rPr>
        <w:t>Ablativus modi</w:t>
      </w:r>
      <w:r>
        <w:t xml:space="preserve"> (Ablativ der Art und Weise)</w:t>
      </w:r>
      <w:r>
        <w:br/>
      </w:r>
      <w:r>
        <w:t>hac ratione: auf diese Weise</w:t>
      </w:r>
      <w:r>
        <w:br/>
      </w:r>
      <w:r>
        <w:t xml:space="preserve">nudo corpore pugnare: mit nacktem Körper </w:t>
      </w:r>
      <w:r>
        <w:t>kämpfen</w:t>
      </w:r>
      <w:r>
        <w:br/>
      </w:r>
      <w:r>
        <w:t>iure hoc fecisti: das hast du zu Recht gemacht.</w:t>
      </w:r>
    </w:p>
    <w:p w:rsidR="00C044E5" w:rsidRDefault="00CA7642">
      <w:pPr>
        <w:pStyle w:val="lbs-dokumente"/>
        <w:numPr>
          <w:ilvl w:val="0"/>
          <w:numId w:val="4"/>
        </w:numPr>
      </w:pPr>
      <w:bookmarkStart w:id="15" w:name="ablativusseparativus"/>
      <w:bookmarkEnd w:id="15"/>
      <w:r>
        <w:t xml:space="preserve">Der Ablativus </w:t>
      </w:r>
      <w:r>
        <w:rPr>
          <w:rStyle w:val="StrongEmphasis"/>
        </w:rPr>
        <w:t>separativus</w:t>
      </w:r>
      <w:r>
        <w:t xml:space="preserve"> (Ablativ der Trennung)</w:t>
      </w:r>
      <w:r>
        <w:br/>
      </w:r>
      <w:r>
        <w:t>I. im räumlichen Sinne:</w:t>
      </w:r>
      <w:r>
        <w:br/>
      </w:r>
      <w:r>
        <w:t xml:space="preserve">Roma veniunt: sie kommen aus Rom. </w:t>
      </w:r>
      <w:r>
        <w:br/>
      </w:r>
      <w:r>
        <w:t>Multi homines Roma profugerunt: Viele Menschen flohen aus Rom.</w:t>
      </w:r>
      <w:r>
        <w:br/>
      </w:r>
      <w:r>
        <w:t xml:space="preserve">Siehe auch das Arbeitsblatt </w:t>
      </w:r>
      <w:r>
        <w:rPr>
          <w:i/>
          <w:iCs/>
        </w:rPr>
        <w:t xml:space="preserve">Der Raum bei den verschiedenen Kasus </w:t>
      </w:r>
      <w:r>
        <w:t>(Link am Ende des Dokuments)</w:t>
      </w:r>
      <w:r>
        <w:t xml:space="preserve">. </w:t>
      </w:r>
      <w:r>
        <w:br/>
      </w:r>
      <w:r>
        <w:t xml:space="preserve">II. im übertragenenen Sinne bei Verben und Adjektiven des Beraubens und der Entbehrung (d.h. des </w:t>
      </w:r>
      <w:r>
        <w:rPr>
          <w:rStyle w:val="Hervorhebung"/>
        </w:rPr>
        <w:t>Nicht-Habens</w:t>
      </w:r>
      <w:r>
        <w:t>):</w:t>
      </w:r>
    </w:p>
    <w:p w:rsidR="00C044E5" w:rsidRDefault="00CA7642" w:rsidP="00290980">
      <w:pPr>
        <w:pStyle w:val="lbs-dokumente"/>
        <w:numPr>
          <w:ilvl w:val="1"/>
          <w:numId w:val="7"/>
        </w:numPr>
      </w:pPr>
      <w:r>
        <w:t>pecunia caremus: wir haben kein Geld</w:t>
      </w:r>
      <w:r>
        <w:br/>
      </w:r>
      <w:r>
        <w:t>metu liberantur: sie werden von der Fu</w:t>
      </w:r>
      <w:r>
        <w:t>rcht befreit</w:t>
      </w:r>
    </w:p>
    <w:p w:rsidR="00C044E5" w:rsidRDefault="00CA7642" w:rsidP="00290980">
      <w:pPr>
        <w:pStyle w:val="lbs-dokumente"/>
        <w:numPr>
          <w:ilvl w:val="1"/>
          <w:numId w:val="7"/>
        </w:numPr>
      </w:pPr>
      <w:r>
        <w:t>Adjektive mit einer vergleichbaren Bedeutung: liber metu: frei von Furcht.</w:t>
      </w:r>
    </w:p>
    <w:p w:rsidR="00C044E5" w:rsidRDefault="00CA7642">
      <w:pPr>
        <w:pStyle w:val="lbs-dokumente"/>
        <w:numPr>
          <w:ilvl w:val="0"/>
          <w:numId w:val="4"/>
        </w:numPr>
      </w:pPr>
      <w:bookmarkStart w:id="16" w:name="ablativustemporis"/>
      <w:bookmarkEnd w:id="16"/>
      <w:r>
        <w:t xml:space="preserve">Der Ablativus </w:t>
      </w:r>
      <w:r>
        <w:rPr>
          <w:rStyle w:val="StrongEmphasis"/>
        </w:rPr>
        <w:t>temporis</w:t>
      </w:r>
      <w:r>
        <w:t xml:space="preserve"> (Ablativ der Zeit)</w:t>
      </w:r>
      <w:r>
        <w:br/>
      </w:r>
      <w:r>
        <w:t>hoc anno: in diesem Jahr</w:t>
      </w:r>
    </w:p>
    <w:p w:rsidR="00C044E5" w:rsidRDefault="00CA7642">
      <w:pPr>
        <w:pStyle w:val="lbs-dokumente"/>
        <w:numPr>
          <w:ilvl w:val="0"/>
          <w:numId w:val="4"/>
        </w:numPr>
      </w:pPr>
      <w:bookmarkStart w:id="17" w:name="ablativusloci"/>
      <w:bookmarkEnd w:id="17"/>
      <w:r>
        <w:t xml:space="preserve">Der Ablativus </w:t>
      </w:r>
      <w:r>
        <w:rPr>
          <w:rStyle w:val="StrongEmphasis"/>
        </w:rPr>
        <w:t>loci</w:t>
      </w:r>
      <w:r>
        <w:t xml:space="preserve"> (Ablativ des Ortes)</w:t>
      </w:r>
      <w:r>
        <w:br/>
      </w:r>
      <w:r>
        <w:t>Nur in bestimmten Fällen wird eine Ortsangabe ohne Präpositi</w:t>
      </w:r>
      <w:r>
        <w:t>on gegeben:</w:t>
      </w:r>
    </w:p>
    <w:p w:rsidR="00C044E5" w:rsidRDefault="00CA7642" w:rsidP="00290980">
      <w:pPr>
        <w:pStyle w:val="lbs-dokumente"/>
        <w:numPr>
          <w:ilvl w:val="1"/>
          <w:numId w:val="6"/>
        </w:numPr>
      </w:pPr>
      <w:r>
        <w:t>bei bei Städtenamen im Plural</w:t>
      </w:r>
      <w:r>
        <w:br/>
      </w:r>
      <w:r>
        <w:t>Athenis: in Athen (Athenae, Athenarum, f.: Athen)</w:t>
      </w:r>
    </w:p>
    <w:p w:rsidR="00C044E5" w:rsidRDefault="00CA7642" w:rsidP="00290980">
      <w:pPr>
        <w:pStyle w:val="lbs-dokumente"/>
        <w:numPr>
          <w:ilvl w:val="1"/>
          <w:numId w:val="6"/>
        </w:numPr>
      </w:pPr>
      <w:r>
        <w:lastRenderedPageBreak/>
        <w:t>Städtenamen der 3. Deklination</w:t>
      </w:r>
      <w:r>
        <w:br/>
      </w:r>
      <w:r>
        <w:t>Carthagine: in Karthago (Carthago, Cartaginis, f.: Karthago)</w:t>
      </w:r>
    </w:p>
    <w:p w:rsidR="00C044E5" w:rsidRDefault="00CA7642">
      <w:pPr>
        <w:pStyle w:val="lbs-dokumente"/>
      </w:pPr>
      <w:r>
        <w:t xml:space="preserve">Ortsangaben bei Städten der a- oder o-Deklination im Singular werden </w:t>
      </w:r>
      <w:r>
        <w:t>mit dem Genitiv wiedergegeben. Romae sunt: sie sind in Rom. Siehe oben unter Genitiv.</w:t>
      </w:r>
    </w:p>
    <w:p w:rsidR="00C044E5" w:rsidRDefault="00CA7642">
      <w:pPr>
        <w:pStyle w:val="lbs-dokumente"/>
      </w:pPr>
      <w:r>
        <w:t xml:space="preserve">Der </w:t>
      </w:r>
      <w:r>
        <w:rPr>
          <w:rStyle w:val="StrongEmphasis"/>
        </w:rPr>
        <w:t>Ablativus loci</w:t>
      </w:r>
      <w:r>
        <w:t xml:space="preserve"> bei bestimmten Wörtern:</w:t>
      </w:r>
    </w:p>
    <w:p w:rsidR="00C044E5" w:rsidRDefault="00CA7642" w:rsidP="00290980">
      <w:pPr>
        <w:pStyle w:val="lbs-dokumente"/>
        <w:numPr>
          <w:ilvl w:val="1"/>
          <w:numId w:val="5"/>
        </w:numPr>
      </w:pPr>
      <w:r>
        <w:t>totus (ganz; tota urbe: in der ganzen Stadt)</w:t>
      </w:r>
    </w:p>
    <w:p w:rsidR="00C044E5" w:rsidRDefault="00CA7642" w:rsidP="00290980">
      <w:pPr>
        <w:pStyle w:val="lbs-dokumente"/>
        <w:numPr>
          <w:ilvl w:val="1"/>
          <w:numId w:val="5"/>
        </w:numPr>
      </w:pPr>
      <w:r>
        <w:t>terra marique (zu Lande und zu Wasser)</w:t>
      </w:r>
    </w:p>
    <w:p w:rsidR="00C044E5" w:rsidRDefault="00CA7642" w:rsidP="00290980">
      <w:pPr>
        <w:pStyle w:val="lbs-dokumente"/>
        <w:numPr>
          <w:ilvl w:val="1"/>
          <w:numId w:val="5"/>
        </w:numPr>
      </w:pPr>
      <w:r>
        <w:t>locus (der Ort; hoc loco: an diesem Ort).</w:t>
      </w:r>
    </w:p>
    <w:p w:rsidR="00C044E5" w:rsidRDefault="00CA7642">
      <w:pPr>
        <w:pStyle w:val="lbs-dokumente"/>
      </w:pPr>
      <w:r>
        <w:t xml:space="preserve">Siehe auch das Arbeitsblatt </w:t>
      </w:r>
      <w:hyperlink r:id="rId7" w:history="1">
        <w:r>
          <w:t>Der Raum bei den verschiedenen Kasus</w:t>
        </w:r>
      </w:hyperlink>
      <w:r>
        <w:t>.</w:t>
      </w:r>
    </w:p>
    <w:p w:rsidR="00C044E5" w:rsidRDefault="00CA7642">
      <w:pPr>
        <w:pStyle w:val="lbs-dokumente"/>
        <w:numPr>
          <w:ilvl w:val="0"/>
          <w:numId w:val="4"/>
        </w:numPr>
      </w:pPr>
      <w:bookmarkStart w:id="18" w:name="ablativusqualitatis"/>
      <w:bookmarkEnd w:id="18"/>
      <w:r>
        <w:t xml:space="preserve">Ablativus </w:t>
      </w:r>
      <w:r>
        <w:rPr>
          <w:rStyle w:val="StrongEmphasis"/>
        </w:rPr>
        <w:t>qualitatis</w:t>
      </w:r>
      <w:r>
        <w:t xml:space="preserve"> (Ablativ der Eigenschaft)</w:t>
      </w:r>
      <w:r>
        <w:br/>
      </w:r>
      <w:r>
        <w:t xml:space="preserve">vir magno ingenio: ein Mann von großer Begabung (Siehe oben </w:t>
      </w:r>
      <w:hyperlink r:id="rId8" w:history="1">
        <w:r>
          <w:t>Genitivus qualitatis</w:t>
        </w:r>
      </w:hyperlink>
      <w:r>
        <w:t>.)</w:t>
      </w:r>
    </w:p>
    <w:p w:rsidR="00C044E5" w:rsidRDefault="00CA7642">
      <w:pPr>
        <w:pStyle w:val="lbs-dokumente"/>
        <w:numPr>
          <w:ilvl w:val="0"/>
          <w:numId w:val="4"/>
        </w:numPr>
      </w:pPr>
      <w:bookmarkStart w:id="19" w:name="ablativuscomparationis"/>
      <w:bookmarkEnd w:id="19"/>
      <w:r>
        <w:t xml:space="preserve">Der </w:t>
      </w:r>
      <w:r>
        <w:rPr>
          <w:rStyle w:val="StrongEmphasis"/>
        </w:rPr>
        <w:t>Ablativus comparationis</w:t>
      </w:r>
      <w:r>
        <w:t xml:space="preserve"> (Ablativ des Vergleichs)</w:t>
      </w:r>
      <w:r>
        <w:br/>
      </w:r>
      <w:r>
        <w:t>haec urbs maior est illis oppidis: Diese Stadt ist größer als jene Landstädte.</w:t>
      </w:r>
      <w:r>
        <w:br/>
      </w:r>
      <w:r>
        <w:t>Dass ein Ablativus comparationis vorliegt, kann ma</w:t>
      </w:r>
      <w:r>
        <w:t>n daran erkennen, dass im betreffenden Satz ein Adjektiv im Komparativ steht.</w:t>
      </w:r>
    </w:p>
    <w:p w:rsidR="00C044E5" w:rsidRDefault="00CA7642">
      <w:pPr>
        <w:pStyle w:val="lbs-dokumente"/>
      </w:pPr>
      <w:r>
        <w:t xml:space="preserve">Zum Ablativ als Objektskasus bei bestimmten Deponentien siehe das Arbeitsblatt </w:t>
      </w:r>
      <w:r>
        <w:rPr>
          <w:i/>
          <w:iCs/>
        </w:rPr>
        <w:t xml:space="preserve">Kasus und Objekt </w:t>
      </w:r>
      <w:r>
        <w:t>(Link hierzu siehe unten).</w:t>
      </w:r>
    </w:p>
    <w:p w:rsidR="00C044E5" w:rsidRDefault="00C044E5">
      <w:pPr>
        <w:pStyle w:val="lbs-dokumente"/>
      </w:pPr>
    </w:p>
    <w:p w:rsidR="00C044E5" w:rsidRDefault="00C044E5">
      <w:pPr>
        <w:pStyle w:val="lbs-dokumente"/>
      </w:pPr>
    </w:p>
    <w:p w:rsidR="00C044E5" w:rsidRDefault="00CA7642">
      <w:pPr>
        <w:pStyle w:val="lbs-dokumente"/>
      </w:pPr>
      <w:r>
        <w:t xml:space="preserve">URL dieses Dokuments: </w:t>
      </w:r>
      <w:hyperlink r:id="rId9" w:history="1">
        <w:r w:rsidRPr="00290980">
          <w:rPr>
            <w:color w:val="2F5496" w:themeColor="accent1" w:themeShade="BF"/>
            <w:u w:val="single"/>
          </w:rPr>
          <w:t>http://www.schule-bw.de/faecher-und-schularten/sprachen-und-literatur/latein/sprache/kasuslehre</w:t>
        </w:r>
      </w:hyperlink>
    </w:p>
    <w:p w:rsidR="00C044E5" w:rsidRDefault="00CA7642">
      <w:pPr>
        <w:pStyle w:val="Textbody"/>
      </w:pPr>
      <w:r>
        <w:t>Letzte Änderung im Juni 2017</w:t>
      </w:r>
    </w:p>
    <w:sectPr w:rsidR="00C044E5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42" w:rsidRDefault="00CA7642">
      <w:r>
        <w:separator/>
      </w:r>
    </w:p>
  </w:endnote>
  <w:endnote w:type="continuationSeparator" w:id="0">
    <w:p w:rsidR="00CA7642" w:rsidRDefault="00CA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06" w:rsidRDefault="00CA7642">
    <w:pPr>
      <w:pStyle w:val="Fuzeile"/>
    </w:pPr>
    <w:hyperlink r:id="rId1" w:history="1">
      <w:r w:rsidRPr="00290980">
        <w:rPr>
          <w:rFonts w:ascii="Verdana" w:hAnsi="Verdana"/>
          <w:sz w:val="20"/>
          <w:szCs w:val="20"/>
          <w:u w:val="single"/>
        </w:rPr>
        <w:t>www.latein-bw.de</w:t>
      </w:r>
    </w:hyperlink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 w:rsidR="00290980">
      <w:rPr>
        <w:rFonts w:ascii="Verdana" w:hAnsi="Verdana"/>
        <w:noProof/>
        <w:sz w:val="20"/>
        <w:szCs w:val="20"/>
      </w:rPr>
      <w:t>1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42" w:rsidRDefault="00CA7642">
      <w:r>
        <w:rPr>
          <w:color w:val="000000"/>
        </w:rPr>
        <w:separator/>
      </w:r>
    </w:p>
  </w:footnote>
  <w:footnote w:type="continuationSeparator" w:id="0">
    <w:p w:rsidR="00CA7642" w:rsidRDefault="00CA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3B2006">
      <w:tblPrEx>
        <w:tblCellMar>
          <w:top w:w="0" w:type="dxa"/>
          <w:bottom w:w="0" w:type="dxa"/>
        </w:tblCellMar>
      </w:tblPrEx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B2006" w:rsidRDefault="00CA7642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B2006" w:rsidRDefault="00CA7642">
          <w:pPr>
            <w:pStyle w:val="TableContents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B2006" w:rsidRDefault="00CA7642">
          <w:pPr>
            <w:pStyle w:val="TableContents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Lateinportal: Kasuslehre</w:t>
          </w:r>
        </w:p>
      </w:tc>
    </w:tr>
  </w:tbl>
  <w:p w:rsidR="003B2006" w:rsidRDefault="00CA7642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740"/>
    <w:multiLevelType w:val="multilevel"/>
    <w:tmpl w:val="C71E5EA0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32774FAF"/>
    <w:multiLevelType w:val="multilevel"/>
    <w:tmpl w:val="75DCD346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3602785"/>
    <w:multiLevelType w:val="multilevel"/>
    <w:tmpl w:val="9F5C3CD8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3" w15:restartNumberingAfterBreak="0">
    <w:nsid w:val="46D17355"/>
    <w:multiLevelType w:val="multilevel"/>
    <w:tmpl w:val="8AF2D630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49AF091D"/>
    <w:multiLevelType w:val="multilevel"/>
    <w:tmpl w:val="9DD0C574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5" w15:restartNumberingAfterBreak="0">
    <w:nsid w:val="4BC754D3"/>
    <w:multiLevelType w:val="multilevel"/>
    <w:tmpl w:val="B8C83FBC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6" w15:restartNumberingAfterBreak="0">
    <w:nsid w:val="7A7F2AAC"/>
    <w:multiLevelType w:val="multilevel"/>
    <w:tmpl w:val="8AF2D630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44E5"/>
    <w:rsid w:val="00290980"/>
    <w:rsid w:val="004C4046"/>
    <w:rsid w:val="00C044E5"/>
    <w:rsid w:val="00CA7642"/>
    <w:rsid w:val="00D0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widowControl/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User\Documents\landesbildungsserver-2014b\lbs-dateien%20neu\sprache\kasuslehre\kasuslehre-1-fs-klasse-7-bis-1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User\Documents\landesbildungsserver-2014b\lbs-dateien%20neu\sprache\kasuslehre\kasuslehre-ort-und-richtung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ule-bw.de/faecher-und-schularten/sprachen-und-literatur/latein/sprache/kasusleh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2017-06-09T13:02:00Z</dcterms:created>
  <dcterms:modified xsi:type="dcterms:W3CDTF">2017-06-09T13:04:00Z</dcterms:modified>
</cp:coreProperties>
</file>