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82781" w14:textId="77777777" w:rsidR="00692445" w:rsidRDefault="00F274C4">
      <w:pPr>
        <w:pStyle w:val="berschrift1-lbs"/>
      </w:pPr>
      <w:r>
        <w:t>Übung zur Kasuslehre</w:t>
      </w:r>
    </w:p>
    <w:p w14:paraId="2B5077C0" w14:textId="77777777" w:rsidR="00692445" w:rsidRDefault="00F274C4">
      <w:pPr>
        <w:pStyle w:val="lbs-dokumente"/>
        <w:spacing w:after="57"/>
      </w:pPr>
      <w:r>
        <w:t>Bestimme den Kasus der unterstrichenen Wörter und ihre Sinnrichtungen!</w:t>
      </w:r>
    </w:p>
    <w:tbl>
      <w:tblPr>
        <w:tblW w:w="9804" w:type="dxa"/>
        <w:tblInd w:w="-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9"/>
        <w:gridCol w:w="2833"/>
        <w:gridCol w:w="4031"/>
        <w:gridCol w:w="963"/>
        <w:gridCol w:w="1468"/>
      </w:tblGrid>
      <w:tr w:rsidR="00692445" w14:paraId="74C3F355" w14:textId="77777777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ECC34" w14:textId="77777777" w:rsidR="00692445" w:rsidRDefault="00692445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BCBD5B" w14:textId="77777777" w:rsidR="00692445" w:rsidRDefault="0069244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B93D6C" w14:textId="77777777" w:rsidR="00692445" w:rsidRDefault="00F274C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Übersetzung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76519F" w14:textId="77777777" w:rsidR="00692445" w:rsidRDefault="00F274C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Kasus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25FE22" w14:textId="12072706" w:rsidR="00692445" w:rsidRDefault="00F274C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Sinn</w:t>
            </w:r>
            <w:r>
              <w:rPr>
                <w:rFonts w:ascii="Arial" w:hAnsi="Arial"/>
                <w:sz w:val="20"/>
                <w:szCs w:val="20"/>
              </w:rPr>
              <w:t>richtung/</w:t>
            </w:r>
          </w:p>
          <w:p w14:paraId="059308C4" w14:textId="77777777" w:rsidR="00692445" w:rsidRDefault="00F274C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Funktion</w:t>
            </w:r>
          </w:p>
        </w:tc>
      </w:tr>
      <w:tr w:rsidR="00692445" w14:paraId="1518541B" w14:textId="77777777">
        <w:trPr>
          <w:trHeight w:val="628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B038F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A44C34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humilibus parentibus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natus 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0C5D21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5D8697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013343" w14:textId="77777777" w:rsidR="00692445" w:rsidRDefault="0069244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92445" w14:paraId="5439B050" w14:textId="77777777">
        <w:trPr>
          <w:trHeight w:val="676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5F3D37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C43AB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Cs w:val="22"/>
                <w:lang/>
              </w:rPr>
              <w:t xml:space="preserve">Multum </w:t>
            </w:r>
            <w:r>
              <w:rPr>
                <w:rFonts w:ascii="Arial" w:hAnsi="Arial"/>
                <w:szCs w:val="22"/>
                <w:u w:val="single"/>
                <w:lang/>
              </w:rPr>
              <w:t>temporis</w:t>
            </w:r>
            <w:r>
              <w:rPr>
                <w:rFonts w:ascii="Arial" w:hAnsi="Arial"/>
                <w:szCs w:val="22"/>
                <w:lang/>
              </w:rPr>
              <w:t xml:space="preserve"> consumpsi.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CC50C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03399" w14:textId="77777777" w:rsidR="00692445" w:rsidRDefault="00692445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87768" w14:textId="77777777" w:rsidR="00692445" w:rsidRDefault="00692445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692445" w14:paraId="22D9ED84" w14:textId="77777777">
        <w:trPr>
          <w:trHeight w:val="592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DDD9B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9B5668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Prima luce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profecti sunt.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E981E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2E838D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98B19" w14:textId="77777777" w:rsidR="00692445" w:rsidRDefault="0069244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92445" w14:paraId="244A46DF" w14:textId="77777777">
        <w:trPr>
          <w:trHeight w:val="397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9939B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20730E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/>
              </w:rPr>
              <w:t xml:space="preserve">Hoc </w:t>
            </w: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multo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melius est.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EAC071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59F85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257D71" w14:textId="77777777" w:rsidR="00692445" w:rsidRDefault="0069244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92445" w14:paraId="39C432A1" w14:textId="77777777">
        <w:trPr>
          <w:trHeight w:val="744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DA54A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ADE46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/>
              </w:rPr>
              <w:t xml:space="preserve">Epistulas spem </w:t>
            </w: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victoriae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declarantes in manu teneo.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FE0DD3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655528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80C2F5" w14:textId="77777777" w:rsidR="00692445" w:rsidRDefault="0069244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92445" w14:paraId="261D1910" w14:textId="77777777">
        <w:trPr>
          <w:trHeight w:val="735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D72D9F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FDEC26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/>
              </w:rPr>
              <w:t>Caesar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 xml:space="preserve">cunctis copiis </w:t>
            </w:r>
            <w:r>
              <w:rPr>
                <w:rFonts w:ascii="Arial" w:hAnsi="Arial"/>
                <w:sz w:val="22"/>
                <w:szCs w:val="22"/>
                <w:lang/>
              </w:rPr>
              <w:t>moenia circumvenit.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596144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F56A75" w14:textId="77777777" w:rsidR="00692445" w:rsidRDefault="00692445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01F4E7" w14:textId="77777777" w:rsidR="00692445" w:rsidRDefault="00692445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692445" w14:paraId="401758A1" w14:textId="77777777">
        <w:trPr>
          <w:trHeight w:val="694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5737CE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04AE21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Hoc loco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omnia invenies.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990F17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4BCCD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2BB6F9" w14:textId="77777777" w:rsidR="00692445" w:rsidRDefault="0069244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92445" w14:paraId="1064BC40" w14:textId="77777777">
        <w:trPr>
          <w:trHeight w:val="531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B00129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297895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Maximo mihi honori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hoc est.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03BB2E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309F63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F8456" w14:textId="77777777" w:rsidR="00692445" w:rsidRDefault="0069244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92445" w14:paraId="74863A4F" w14:textId="77777777">
        <w:trPr>
          <w:trHeight w:val="397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969109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6B912" w14:textId="77777777" w:rsidR="00692445" w:rsidRDefault="00F274C4">
            <w:pPr>
              <w:rPr>
                <w:rFonts w:ascii="Arial" w:hAnsi="Arial"/>
                <w:sz w:val="22"/>
                <w:szCs w:val="22"/>
                <w:u w:val="single"/>
                <w:lang/>
              </w:rPr>
            </w:pP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quinto p.Chr.n. saeculo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36C739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85ADD4" w14:textId="77777777" w:rsidR="00692445" w:rsidRDefault="00692445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6A4281" w14:textId="77777777" w:rsidR="00692445" w:rsidRDefault="00692445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692445" w14:paraId="26335D5D" w14:textId="77777777">
        <w:trPr>
          <w:trHeight w:val="64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7D4AB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269A94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/>
              </w:rPr>
              <w:t xml:space="preserve">Romani servos </w:t>
            </w: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parvi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et nobiles </w:t>
            </w: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magni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aestimabant.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0526A2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81342" w14:textId="77777777" w:rsidR="00692445" w:rsidRDefault="00692445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78EF0" w14:textId="77777777" w:rsidR="00692445" w:rsidRDefault="00692445">
            <w:pPr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692445" w14:paraId="3FBBF401" w14:textId="77777777">
        <w:trPr>
          <w:trHeight w:val="397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179E7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FE407A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Pecunia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caremus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FC4C94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2B5D0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5C38E" w14:textId="77777777" w:rsidR="00692445" w:rsidRDefault="0069244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92445" w14:paraId="2DDF91C7" w14:textId="77777777">
        <w:trPr>
          <w:trHeight w:val="397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CA6E7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EBABE8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/>
              </w:rPr>
              <w:t xml:space="preserve">Hoc </w:t>
            </w: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iure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fecisti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2EC1C5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CC57EA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5926F" w14:textId="77777777" w:rsidR="00692445" w:rsidRDefault="0069244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92445" w14:paraId="750B9A49" w14:textId="77777777">
        <w:trPr>
          <w:trHeight w:val="682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856E2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A02E8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/>
              </w:rPr>
              <w:t xml:space="preserve">Hic liber </w:t>
            </w: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omnibus discipulis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legendus est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E39D9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6E232E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88463" w14:textId="77777777" w:rsidR="00692445" w:rsidRDefault="0069244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92445" w14:paraId="4868EB1E" w14:textId="77777777">
        <w:trPr>
          <w:trHeight w:val="397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AD7EE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AAB793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/>
              </w:rPr>
              <w:t xml:space="preserve">vir </w:t>
            </w: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virtutis divinae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5174BE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F87DE8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301CE" w14:textId="77777777" w:rsidR="00692445" w:rsidRDefault="0069244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92445" w14:paraId="1B6BA4B1" w14:textId="77777777">
        <w:trPr>
          <w:trHeight w:val="397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10A8FA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2F6FD0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dolore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motus</w:t>
            </w:r>
            <w:r>
              <w:rPr>
                <w:rFonts w:ascii="Arial" w:hAnsi="Arial"/>
                <w:szCs w:val="22"/>
                <w:lang/>
              </w:rPr>
              <w:t xml:space="preserve"> 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1551C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ABEC7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C5CD8F" w14:textId="77777777" w:rsidR="00692445" w:rsidRDefault="0069244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92445" w14:paraId="3B89820D" w14:textId="77777777">
        <w:trPr>
          <w:trHeight w:val="6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99E78E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54F07A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/>
              </w:rPr>
              <w:t xml:space="preserve">Heri amici </w:t>
            </w: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Roma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profecti sunt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9A5383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27E3E" w14:textId="77777777" w:rsidR="00692445" w:rsidRDefault="00692445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31C619" w14:textId="77777777" w:rsidR="00692445" w:rsidRDefault="00692445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692445" w14:paraId="22382B41" w14:textId="77777777" w:rsidTr="008D6CE5">
        <w:trPr>
          <w:trHeight w:val="672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F05D0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ED547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Sapientis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est causas rerum intellegere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8E107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8DBA62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343092" w14:textId="77777777" w:rsidR="00692445" w:rsidRDefault="0069244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92445" w14:paraId="2072C8FE" w14:textId="77777777">
        <w:trPr>
          <w:trHeight w:val="725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02AC3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D565FD" w14:textId="77777777" w:rsidR="00692445" w:rsidRDefault="00F274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/>
              </w:rPr>
              <w:t xml:space="preserve">Divitiae </w:t>
            </w: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sapienti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non sunt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B66B02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40C3C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C631D6" w14:textId="77777777" w:rsidR="00692445" w:rsidRDefault="0069244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92445" w14:paraId="7ED510BA" w14:textId="77777777" w:rsidTr="008D6CE5">
        <w:trPr>
          <w:trHeight w:val="481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9581A0" w14:textId="77777777" w:rsidR="00692445" w:rsidRDefault="00692445">
            <w:pPr>
              <w:numPr>
                <w:ilvl w:val="0"/>
                <w:numId w:val="2"/>
              </w:numPr>
              <w:ind w:left="0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AD0A8" w14:textId="77777777" w:rsidR="00692445" w:rsidRDefault="00F274C4">
            <w:r>
              <w:rPr>
                <w:rFonts w:ascii="Arial" w:hAnsi="Arial"/>
                <w:sz w:val="22"/>
                <w:szCs w:val="22"/>
                <w:lang/>
              </w:rPr>
              <w:t xml:space="preserve">Caesar </w:t>
            </w:r>
            <w:r>
              <w:rPr>
                <w:rFonts w:ascii="Arial" w:hAnsi="Arial"/>
                <w:sz w:val="22"/>
                <w:szCs w:val="22"/>
                <w:u w:val="single"/>
                <w:lang/>
              </w:rPr>
              <w:t>Romae</w:t>
            </w:r>
            <w:r>
              <w:rPr>
                <w:rFonts w:ascii="Arial" w:hAnsi="Arial"/>
                <w:sz w:val="22"/>
                <w:szCs w:val="22"/>
                <w:lang/>
              </w:rPr>
              <w:t xml:space="preserve"> vult princeps esse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3AED8" w14:textId="77777777" w:rsidR="00692445" w:rsidRDefault="0069244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79160" w14:textId="77777777" w:rsidR="00692445" w:rsidRDefault="00692445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B0E1D9" w14:textId="77777777" w:rsidR="00692445" w:rsidRDefault="00692445">
            <w:pPr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</w:tbl>
    <w:p w14:paraId="5DC0DEE2" w14:textId="77777777" w:rsidR="00692445" w:rsidRDefault="00F274C4" w:rsidP="008D6CE5">
      <w:pPr>
        <w:spacing w:before="120"/>
      </w:pPr>
      <w:bookmarkStart w:id="0" w:name="__DdeLink__442_1251129500"/>
      <w:r>
        <w:rPr>
          <w:rFonts w:ascii="Arial" w:hAnsi="Arial"/>
          <w:sz w:val="18"/>
          <w:szCs w:val="18"/>
        </w:rPr>
        <w:t xml:space="preserve">URL: </w:t>
      </w:r>
      <w:hyperlink r:id="rId7">
        <w:r>
          <w:rPr>
            <w:rStyle w:val="Internetverknpfung"/>
            <w:rFonts w:ascii="Arial" w:hAnsi="Arial"/>
            <w:sz w:val="18"/>
            <w:szCs w:val="18"/>
          </w:rPr>
          <w:t>https://www.schule-bw.de/faecher-und-schularten/sprachen-und-literatur/latein/sprache/kasuslehre</w:t>
        </w:r>
      </w:hyperlink>
      <w:bookmarkEnd w:id="0"/>
      <w:r>
        <w:rPr>
          <w:rFonts w:ascii="Arial" w:hAnsi="Arial"/>
          <w:sz w:val="18"/>
          <w:szCs w:val="18"/>
        </w:rPr>
        <w:t xml:space="preserve"> </w:t>
      </w:r>
    </w:p>
    <w:sectPr w:rsidR="00692445">
      <w:headerReference w:type="default" r:id="rId8"/>
      <w:footerReference w:type="default" r:id="rId9"/>
      <w:pgSz w:w="11906" w:h="16838"/>
      <w:pgMar w:top="2257" w:right="1134" w:bottom="1660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9F999" w14:textId="77777777" w:rsidR="00F274C4" w:rsidRDefault="00F274C4">
      <w:r>
        <w:separator/>
      </w:r>
    </w:p>
  </w:endnote>
  <w:endnote w:type="continuationSeparator" w:id="0">
    <w:p w14:paraId="14C17809" w14:textId="77777777" w:rsidR="00F274C4" w:rsidRDefault="00F2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0150" w14:textId="77777777" w:rsidR="00692445" w:rsidRDefault="00F274C4">
    <w:pPr>
      <w:pStyle w:val="Fuzeile"/>
      <w:jc w:val="center"/>
    </w:pPr>
    <w:hyperlink r:id="rId1">
      <w:r>
        <w:rPr>
          <w:rStyle w:val="Internetverknpfung"/>
          <w:rFonts w:ascii="Verdana" w:hAnsi="Verdana"/>
          <w:sz w:val="20"/>
          <w:szCs w:val="20"/>
        </w:rPr>
        <w:t>www.latein-bw.de</w:t>
      </w:r>
    </w:hyperlink>
    <w:r>
      <w:rPr>
        <w:rFonts w:ascii="Verdana" w:hAnsi="Verdan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320A0" w14:textId="77777777" w:rsidR="00F274C4" w:rsidRDefault="00F274C4">
      <w:r>
        <w:separator/>
      </w:r>
    </w:p>
  </w:footnote>
  <w:footnote w:type="continuationSeparator" w:id="0">
    <w:p w14:paraId="1F2B1ADA" w14:textId="77777777" w:rsidR="00F274C4" w:rsidRDefault="00F2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2"/>
      <w:gridCol w:w="3213"/>
      <w:gridCol w:w="3330"/>
    </w:tblGrid>
    <w:tr w:rsidR="00692445" w14:paraId="02058E5D" w14:textId="77777777">
      <w:trPr>
        <w:trHeight w:val="794"/>
      </w:trPr>
      <w:tc>
        <w:tcPr>
          <w:tcW w:w="3212" w:type="dxa"/>
          <w:shd w:val="clear" w:color="auto" w:fill="auto"/>
          <w:vAlign w:val="center"/>
        </w:tcPr>
        <w:p w14:paraId="2CC31E76" w14:textId="77777777" w:rsidR="00692445" w:rsidRDefault="00F274C4">
          <w:pPr>
            <w:pStyle w:val="Tabelleninhalt"/>
          </w:pPr>
          <w:r>
            <w:rPr>
              <w:noProof/>
            </w:rPr>
            <w:drawing>
              <wp:anchor distT="0" distB="0" distL="0" distR="0" simplePos="0" relativeHeight="2" behindDoc="0" locked="0" layoutInCell="1" allowOverlap="1" wp14:anchorId="569A6297" wp14:editId="7BC52E51">
                <wp:simplePos x="0" y="0"/>
                <wp:positionH relativeFrom="column">
                  <wp:posOffset>69850</wp:posOffset>
                </wp:positionH>
                <wp:positionV relativeFrom="paragraph">
                  <wp:posOffset>10795</wp:posOffset>
                </wp:positionV>
                <wp:extent cx="1522730" cy="485775"/>
                <wp:effectExtent l="0" t="0" r="0" b="0"/>
                <wp:wrapTopAndBottom/>
                <wp:docPr id="1" name="HTTP://WWW.SCHULE-BW.DE/FAECHER-UND-SCHULARTEN/SPRACHEN-UND-LITERATUR/LATEIN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TTP://WWW.SCHULE-BW.DE/FAECHER-UND-SCHULARTEN/SPRACHEN-UND-LITERATUR/LATEIN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shd w:val="clear" w:color="auto" w:fill="auto"/>
          <w:vAlign w:val="center"/>
        </w:tcPr>
        <w:p w14:paraId="54746BB5" w14:textId="77777777" w:rsidR="00692445" w:rsidRDefault="00692445">
          <w:pPr>
            <w:pStyle w:val="Tabelleninhalt"/>
          </w:pPr>
        </w:p>
      </w:tc>
      <w:tc>
        <w:tcPr>
          <w:tcW w:w="3330" w:type="dxa"/>
          <w:shd w:val="clear" w:color="auto" w:fill="auto"/>
          <w:vAlign w:val="center"/>
        </w:tcPr>
        <w:p w14:paraId="1154EC9A" w14:textId="77777777" w:rsidR="00692445" w:rsidRDefault="00F274C4">
          <w:pPr>
            <w:pStyle w:val="Tabelleninhalt"/>
            <w:jc w:val="right"/>
            <w:rPr>
              <w:rFonts w:ascii="Arial Rounded MT Bold" w:hAnsi="Arial Rounded MT Bold" w:hint="eastAsia"/>
            </w:rPr>
          </w:pPr>
          <w:r>
            <w:rPr>
              <w:rFonts w:ascii="Arial Rounded MT Bold" w:hAnsi="Arial Rounded MT Bold"/>
            </w:rPr>
            <w:t>Lateinportal: Kasuslehre</w:t>
          </w:r>
        </w:p>
      </w:tc>
    </w:tr>
  </w:tbl>
  <w:p w14:paraId="2A334507" w14:textId="77777777" w:rsidR="00692445" w:rsidRDefault="00692445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53AB"/>
    <w:multiLevelType w:val="multilevel"/>
    <w:tmpl w:val="27D21818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429543A"/>
    <w:multiLevelType w:val="multilevel"/>
    <w:tmpl w:val="117A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445"/>
    <w:rsid w:val="00692445"/>
    <w:rsid w:val="008D6CE5"/>
    <w:rsid w:val="00C16384"/>
    <w:rsid w:val="00F2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AD3D"/>
  <w15:docId w15:val="{BB067CE4-DCC6-4953-9735-8E732476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berschrift"/>
    <w:next w:val="Textkrper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berschrift3">
    <w:name w:val="heading 3"/>
    <w:basedOn w:val="berschrift"/>
    <w:next w:val="Textkrper"/>
    <w:uiPriority w:val="9"/>
    <w:semiHidden/>
    <w:unhideWhenUsed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  <w:lang/>
    </w:rPr>
  </w:style>
  <w:style w:type="character" w:customStyle="1" w:styleId="Starkbetont">
    <w:name w:val="Stark betont"/>
    <w:qFormat/>
    <w:rPr>
      <w:b/>
      <w:bCs/>
    </w:rPr>
  </w:style>
  <w:style w:type="character" w:customStyle="1" w:styleId="Betont">
    <w:name w:val="Betont"/>
    <w:qFormat/>
    <w:rPr>
      <w:i/>
      <w:iCs/>
    </w:rPr>
  </w:style>
  <w:style w:type="character" w:styleId="Funotenzeichen">
    <w:name w:val="footnote reference"/>
    <w:qFormat/>
  </w:style>
  <w:style w:type="character" w:customStyle="1" w:styleId="Funotenanker">
    <w:name w:val="Fußnotenanker"/>
    <w:rPr>
      <w:vertAlign w:val="superscript"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qFormat/>
    <w:pPr>
      <w:keepNext/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qFormat/>
    <w:pPr>
      <w:widowControl w:val="0"/>
      <w:spacing w:after="170"/>
      <w:ind w:right="-62"/>
    </w:pPr>
    <w:rPr>
      <w:rFonts w:ascii="Arial" w:hAnsi="Arial"/>
      <w:b/>
      <w:sz w:val="30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latein/sprache/kasusleh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chule-bw.de/faecher-und-schularten/sprachen-und-literatur/latei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zur Kasuslehre</dc:title>
  <dc:subject/>
  <dc:creator/>
  <dc:description/>
  <cp:lastModifiedBy>Tilman Bechthold-Hengelhaupt</cp:lastModifiedBy>
  <cp:revision>4</cp:revision>
  <dcterms:created xsi:type="dcterms:W3CDTF">2020-04-20T18:08:00Z</dcterms:created>
  <dcterms:modified xsi:type="dcterms:W3CDTF">2020-04-20T16:14:00Z</dcterms:modified>
  <dc:language>de-DE</dc:language>
</cp:coreProperties>
</file>