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E70A" w14:textId="4019BF29" w:rsidR="001C255C" w:rsidRPr="00F1025E" w:rsidRDefault="001C255C" w:rsidP="001C255C">
      <w:pPr>
        <w:pStyle w:val="lbs-dokumente"/>
        <w:rPr>
          <w:rFonts w:asciiTheme="minorHAnsi" w:hAnsiTheme="minorHAnsi" w:cstheme="minorHAnsi"/>
          <w:b/>
          <w:bCs/>
          <w:color w:val="000000" w:themeColor="text1"/>
        </w:rPr>
      </w:pPr>
      <w:r w:rsidRPr="00F1025E">
        <w:rPr>
          <w:rFonts w:asciiTheme="minorHAnsi" w:hAnsiTheme="minorHAnsi" w:cstheme="minorHAnsi"/>
          <w:b/>
          <w:bCs/>
          <w:color w:val="000000" w:themeColor="text1"/>
        </w:rPr>
        <w:t>Cicero, De officiis 1, 18</w:t>
      </w:r>
      <w:r w:rsidR="00F129E3" w:rsidRPr="00F1025E">
        <w:rPr>
          <w:rFonts w:asciiTheme="minorHAnsi" w:hAnsiTheme="minorHAnsi" w:cstheme="minorHAnsi"/>
          <w:b/>
          <w:bCs/>
          <w:color w:val="000000" w:themeColor="text1"/>
        </w:rPr>
        <w:t xml:space="preserve"> – 19 </w:t>
      </w:r>
    </w:p>
    <w:p w14:paraId="1CE24F30" w14:textId="77777777" w:rsidR="001C255C" w:rsidRPr="00F1025E" w:rsidRDefault="001C255C" w:rsidP="001C255C">
      <w:pPr>
        <w:pStyle w:val="lbs-dokumente"/>
        <w:rPr>
          <w:rFonts w:asciiTheme="minorHAnsi" w:hAnsiTheme="minorHAnsi" w:cstheme="minorHAnsi"/>
          <w:b/>
          <w:bCs/>
          <w:color w:val="000000" w:themeColor="text1"/>
        </w:rPr>
      </w:pPr>
      <w:r w:rsidRPr="00F1025E">
        <w:rPr>
          <w:rFonts w:asciiTheme="minorHAnsi" w:hAnsiTheme="minorHAnsi" w:cstheme="minorHAnsi"/>
          <w:b/>
          <w:bCs/>
          <w:color w:val="000000" w:themeColor="text1"/>
        </w:rPr>
        <w:t>Die Weisheit (</w:t>
      </w:r>
      <w:proofErr w:type="spellStart"/>
      <w:r w:rsidRPr="00F1025E">
        <w:rPr>
          <w:rFonts w:asciiTheme="minorHAnsi" w:hAnsiTheme="minorHAnsi" w:cstheme="minorHAnsi"/>
          <w:b/>
          <w:bCs/>
          <w:color w:val="000000" w:themeColor="text1"/>
        </w:rPr>
        <w:t>sapientia</w:t>
      </w:r>
      <w:proofErr w:type="spellEnd"/>
      <w:r w:rsidRPr="00F1025E">
        <w:rPr>
          <w:rFonts w:asciiTheme="minorHAnsi" w:hAnsiTheme="minorHAnsi" w:cstheme="minorHAnsi"/>
          <w:b/>
          <w:bCs/>
          <w:color w:val="000000" w:themeColor="text1"/>
        </w:rPr>
        <w:t>) als eine der vier Kardinaltugenden</w:t>
      </w:r>
    </w:p>
    <w:p w14:paraId="3104B523" w14:textId="77777777" w:rsidR="001C255C" w:rsidRPr="00F1025E" w:rsidRDefault="001C255C" w:rsidP="00952F83">
      <w:pPr>
        <w:pStyle w:val="lbs-dokumente"/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F1025E">
        <w:rPr>
          <w:rFonts w:asciiTheme="minorHAnsi" w:hAnsiTheme="minorHAnsi" w:cstheme="minorHAnsi"/>
          <w:b/>
          <w:bCs/>
          <w:color w:val="000000" w:themeColor="text1"/>
        </w:rPr>
        <w:t>Zum Inhalt</w:t>
      </w:r>
      <w:r w:rsidRPr="00F1025E">
        <w:rPr>
          <w:rFonts w:asciiTheme="minorHAnsi" w:hAnsiTheme="minorHAnsi" w:cstheme="minorHAnsi"/>
          <w:color w:val="000000" w:themeColor="text1"/>
        </w:rPr>
        <w:t>: Als erste der vier Kardinaltugenden beschreibt Cicero die Weisheit (</w:t>
      </w:r>
      <w:proofErr w:type="spellStart"/>
      <w:r w:rsidRPr="00F1025E">
        <w:rPr>
          <w:rFonts w:asciiTheme="minorHAnsi" w:hAnsiTheme="minorHAnsi" w:cstheme="minorHAnsi"/>
          <w:color w:val="000000" w:themeColor="text1"/>
        </w:rPr>
        <w:t>sapientia</w:t>
      </w:r>
      <w:proofErr w:type="spellEnd"/>
      <w:r w:rsidRPr="00F1025E">
        <w:rPr>
          <w:rFonts w:asciiTheme="minorHAnsi" w:hAnsiTheme="minorHAnsi" w:cstheme="minorHAnsi"/>
          <w:color w:val="000000" w:themeColor="text1"/>
        </w:rPr>
        <w:t>). Für ihn ist die Suche nach Wahrheit nicht an sich der höchste Wert, weil auch die Tätigkeit für das Gemeinwesen ein wesentlicher Aspekt menschlichen Selbstverständnisses ist.</w:t>
      </w:r>
    </w:p>
    <w:p w14:paraId="1CA5CB3F" w14:textId="77777777" w:rsidR="001C255C" w:rsidRPr="00F1025E" w:rsidRDefault="001C255C" w:rsidP="00952F83">
      <w:pPr>
        <w:pStyle w:val="lbs-dokumente"/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F1025E">
        <w:rPr>
          <w:rFonts w:asciiTheme="minorHAnsi" w:hAnsiTheme="minorHAnsi" w:cstheme="minorHAnsi"/>
          <w:color w:val="000000" w:themeColor="text1"/>
        </w:rPr>
        <w:t xml:space="preserve">Für diesen Text benötigt man die Vokabeln aus dem </w:t>
      </w:r>
      <w:hyperlink r:id="rId8" w:tgtFrame="_blank" w:history="1">
        <w:r w:rsidRPr="00F1025E">
          <w:rPr>
            <w:rStyle w:val="Hyperlink"/>
            <w:rFonts w:asciiTheme="minorHAnsi" w:hAnsiTheme="minorHAnsi" w:cstheme="minorHAnsi"/>
            <w:color w:val="000000" w:themeColor="text1"/>
          </w:rPr>
          <w:t>Sachfeld Tugenden und Werte</w:t>
        </w:r>
      </w:hyperlink>
      <w:r w:rsidRPr="00F1025E">
        <w:rPr>
          <w:rFonts w:asciiTheme="minorHAnsi" w:hAnsiTheme="minorHAnsi" w:cstheme="minorHAnsi"/>
          <w:color w:val="000000" w:themeColor="text1"/>
        </w:rPr>
        <w:t xml:space="preserve"> im Grundwortschatz des Lateinportals. Für die Grammatik ist das </w:t>
      </w:r>
      <w:hyperlink r:id="rId9" w:tgtFrame="_blank" w:history="1">
        <w:r w:rsidRPr="00F1025E">
          <w:rPr>
            <w:rStyle w:val="Hyperlink"/>
            <w:rFonts w:asciiTheme="minorHAnsi" w:hAnsiTheme="minorHAnsi" w:cstheme="minorHAnsi"/>
            <w:color w:val="000000" w:themeColor="text1"/>
          </w:rPr>
          <w:t>Kapitel Relativsätze im Verzeichnis Satzbau</w:t>
        </w:r>
      </w:hyperlink>
      <w:r w:rsidRPr="00F1025E">
        <w:rPr>
          <w:rFonts w:asciiTheme="minorHAnsi" w:hAnsiTheme="minorHAnsi" w:cstheme="minorHAnsi"/>
          <w:color w:val="000000" w:themeColor="text1"/>
        </w:rPr>
        <w:t xml:space="preserve"> besonders relevant.</w:t>
      </w:r>
    </w:p>
    <w:p w14:paraId="1F72E6F6" w14:textId="77777777" w:rsidR="001C255C" w:rsidRPr="00F1025E" w:rsidRDefault="001C255C" w:rsidP="00952F83">
      <w:pPr>
        <w:pStyle w:val="lbs-dokumente"/>
        <w:spacing w:line="288" w:lineRule="auto"/>
        <w:rPr>
          <w:rFonts w:asciiTheme="minorHAnsi" w:hAnsiTheme="minorHAnsi" w:cstheme="minorHAnsi"/>
          <w:color w:val="000000" w:themeColor="text1"/>
        </w:rPr>
      </w:pPr>
      <w:r w:rsidRPr="00F1025E">
        <w:rPr>
          <w:rStyle w:val="showbody"/>
          <w:rFonts w:asciiTheme="minorHAnsi" w:hAnsiTheme="minorHAnsi" w:cstheme="minorHAnsi"/>
          <w:color w:val="000000" w:themeColor="text1"/>
        </w:rPr>
        <w:t>Der Text wurde vereinfacht. Den Originaltext findet man z. B. in der</w:t>
      </w:r>
      <w:hyperlink r:id="rId10" w:anchor="4" w:tgtFrame="_blank" w:tooltip="De officiis in der PHI Bibliothek" w:history="1">
        <w:r w:rsidRPr="00F1025E">
          <w:rPr>
            <w:rStyle w:val="Hyperlink"/>
            <w:rFonts w:asciiTheme="minorHAnsi" w:hAnsiTheme="minorHAnsi" w:cstheme="minorHAnsi"/>
            <w:color w:val="000000" w:themeColor="text1"/>
          </w:rPr>
          <w:t xml:space="preserve"> PHI Bibliothek</w:t>
        </w:r>
      </w:hyperlink>
      <w:r w:rsidRPr="00F1025E">
        <w:rPr>
          <w:rStyle w:val="showbody"/>
          <w:rFonts w:asciiTheme="minorHAnsi" w:hAnsiTheme="minorHAnsi" w:cstheme="minorHAnsi"/>
          <w:color w:val="000000" w:themeColor="text1"/>
        </w:rPr>
        <w:t>.</w:t>
      </w:r>
    </w:p>
    <w:p w14:paraId="1313499D" w14:textId="3F007932" w:rsidR="001C255C" w:rsidRPr="00F1025E" w:rsidRDefault="00F1025E" w:rsidP="001C255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</w:pPr>
      <w:r w:rsidRPr="00F1025E"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  <w:t xml:space="preserve"> </w:t>
      </w:r>
      <w:r w:rsidR="001C255C" w:rsidRPr="00F1025E"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  <w:t>[1, 18]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F1025E" w:rsidRPr="00F1025E" w14:paraId="6130A3D6" w14:textId="77777777" w:rsidTr="00F1025E">
        <w:tc>
          <w:tcPr>
            <w:tcW w:w="4814" w:type="dxa"/>
          </w:tcPr>
          <w:p w14:paraId="220A2CC6" w14:textId="02EDE97A" w:rsidR="00F129E3" w:rsidRPr="00F1025E" w:rsidRDefault="00F129E3" w:rsidP="00F1025E">
            <w:pPr>
              <w:spacing w:before="120" w:after="120" w:line="288" w:lineRule="auto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Ex quattuor autem locis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,</w:t>
            </w:r>
          </w:p>
          <w:p w14:paraId="7B646E36" w14:textId="7C22A18B" w:rsidR="00F129E3" w:rsidRPr="00F1025E" w:rsidRDefault="00F129E3" w:rsidP="00F1025E">
            <w:pPr>
              <w:spacing w:before="120" w:after="120" w:line="288" w:lineRule="auto"/>
              <w:ind w:left="450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in quos honesti naturam vimque divisimus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,</w:t>
            </w:r>
          </w:p>
          <w:p w14:paraId="56E4F5FE" w14:textId="77777777" w:rsidR="00F129E3" w:rsidRPr="00F1025E" w:rsidRDefault="00F129E3" w:rsidP="00F1025E">
            <w:pPr>
              <w:spacing w:before="120" w:after="120" w:line="288" w:lineRule="auto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primus ille,</w:t>
            </w:r>
          </w:p>
          <w:p w14:paraId="28BDEC2A" w14:textId="579C427D" w:rsidR="00F129E3" w:rsidRPr="00F1025E" w:rsidRDefault="00F129E3" w:rsidP="00F1025E">
            <w:pPr>
              <w:spacing w:before="120" w:after="120" w:line="288" w:lineRule="auto"/>
              <w:ind w:left="450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qui in veri cognitione consistit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,</w:t>
            </w:r>
          </w:p>
          <w:p w14:paraId="0BD76FAD" w14:textId="20AFA308" w:rsidR="00F129E3" w:rsidRPr="00F1025E" w:rsidRDefault="00F129E3" w:rsidP="00F1025E">
            <w:pPr>
              <w:spacing w:before="0"/>
              <w:contextualSpacing/>
              <w:rPr>
                <w:rFonts w:eastAsia="Times New Roman" w:cstheme="minorHAnsi"/>
                <w:color w:val="000000" w:themeColor="text1"/>
                <w:lang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maxime naturam attingit humanam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.</w:t>
            </w:r>
          </w:p>
        </w:tc>
        <w:tc>
          <w:tcPr>
            <w:tcW w:w="4814" w:type="dxa"/>
          </w:tcPr>
          <w:p w14:paraId="729A103D" w14:textId="77777777" w:rsidR="00F129E3" w:rsidRPr="00F1025E" w:rsidRDefault="00F129E3" w:rsidP="00F129E3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locus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: hier: der Bereich</w:t>
            </w:r>
          </w:p>
          <w:p w14:paraId="1B6DDEB6" w14:textId="77777777" w:rsidR="00F129E3" w:rsidRPr="00F1025E" w:rsidRDefault="00F129E3" w:rsidP="00F129E3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dīvidere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dīvidō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dīvīsī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dīvīsum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: teilen. Cicero bezieht sich hier auf die Einteilung, die er in </w:t>
            </w:r>
            <w:hyperlink r:id="rId11" w:anchor="oben" w:history="1">
              <w:r w:rsidRPr="00F1025E">
                <w:rPr>
                  <w:rFonts w:eastAsia="Times New Roman"/>
                  <w:color w:val="000000" w:themeColor="text1"/>
                  <w:u w:val="single"/>
                  <w:lang w:eastAsia="de-DE" w:bidi="ar-SA"/>
                </w:rPr>
                <w:t>Abschnitt 1, 15</w:t>
              </w:r>
            </w:hyperlink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vorgenommen hat.</w:t>
            </w:r>
          </w:p>
          <w:p w14:paraId="62E408C0" w14:textId="6105AAFB" w:rsidR="00F129E3" w:rsidRPr="00F1025E" w:rsidRDefault="00F129E3" w:rsidP="00F129E3">
            <w:pPr>
              <w:pStyle w:val="vokangabe2"/>
              <w:framePr w:hSpace="0" w:wrap="auto" w:vAnchor="margin" w:hAnchor="text" w:xAlign="left" w:yAlign="inline"/>
              <w:spacing w:before="120" w:after="120" w:line="288" w:lineRule="auto"/>
              <w:rPr>
                <w:color w:val="000000" w:themeColor="text1"/>
                <w:lang w:val="la-Latn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consistere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in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aliqua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re: in einer Sache bestehen</w:t>
            </w:r>
          </w:p>
        </w:tc>
      </w:tr>
      <w:tr w:rsidR="00F1025E" w:rsidRPr="00F1025E" w14:paraId="148164E9" w14:textId="77777777" w:rsidTr="00F1025E">
        <w:tc>
          <w:tcPr>
            <w:tcW w:w="4814" w:type="dxa"/>
          </w:tcPr>
          <w:p w14:paraId="4A5ED64D" w14:textId="33502483" w:rsidR="00F1025E" w:rsidRPr="00F1025E" w:rsidRDefault="00F129E3" w:rsidP="00F1025E">
            <w:pPr>
              <w:spacing w:before="0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Omnes enim trahimur et ducimur ad cognitionis et scientiae cupiditatem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.</w:t>
            </w:r>
          </w:p>
          <w:p w14:paraId="7FD3A0D3" w14:textId="1A06CA46" w:rsidR="00F129E3" w:rsidRPr="00F1025E" w:rsidRDefault="00F129E3" w:rsidP="00F1025E">
            <w:pPr>
              <w:spacing w:before="240"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In qua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excellere</w:t>
            </w:r>
            <w:r w:rsidR="0017647C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pulchrum putamus, labi</w:t>
            </w:r>
            <w:r w:rsidR="0017647C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autem, errare, nescire, decipi et malum et turpe dicimus.</w:t>
            </w:r>
          </w:p>
        </w:tc>
        <w:tc>
          <w:tcPr>
            <w:tcW w:w="4814" w:type="dxa"/>
          </w:tcPr>
          <w:p w14:paraId="28C664D2" w14:textId="77777777" w:rsidR="00F129E3" w:rsidRPr="00F1025E" w:rsidRDefault="00F129E3" w:rsidP="00F1025E">
            <w:pPr>
              <w:pStyle w:val="vokangabe2"/>
              <w:framePr w:hSpace="0" w:wrap="auto" w:vAnchor="margin" w:hAnchor="text" w:xAlign="left" w:yAlign="inline"/>
              <w:spacing w:before="120" w:after="120" w:line="288" w:lineRule="auto"/>
              <w:contextualSpacing/>
              <w:rPr>
                <w:color w:val="000000" w:themeColor="text1"/>
                <w:lang w:val="la-Latn" w:bidi="ar-SA"/>
              </w:rPr>
            </w:pPr>
            <w:r w:rsidRPr="00F1025E">
              <w:rPr>
                <w:color w:val="000000" w:themeColor="text1"/>
                <w:lang w:val="la-Latn" w:bidi="ar-SA"/>
              </w:rPr>
              <w:t xml:space="preserve">cupiditatem: die Genitive, die von cupiditatem abhängen, sind als </w:t>
            </w:r>
            <w:r w:rsidRPr="00F1025E">
              <w:rPr>
                <w:color w:val="000000" w:themeColor="text1"/>
                <w:lang w:val="la-Latn"/>
              </w:rPr>
              <w:fldChar w:fldCharType="begin"/>
            </w:r>
            <w:r w:rsidRPr="00F1025E">
              <w:rPr>
                <w:color w:val="000000" w:themeColor="text1"/>
                <w:lang w:val="la-Latn"/>
              </w:rPr>
              <w:instrText xml:space="preserve"> HYPERLINK "http://www.schule-bw.de/faecher-und-schularten/sprachen-und-literatur/latein/sprache/kasuslehre/kasuslehre-gesamt.html" \l "genitivusobiectsubiect" \t "_blank" \o "Grammatische Erläuterungen zum Genitivis obiectivus" </w:instrText>
            </w:r>
            <w:r w:rsidRPr="00F1025E">
              <w:rPr>
                <w:color w:val="000000" w:themeColor="text1"/>
                <w:lang w:val="la-Latn"/>
              </w:rPr>
              <w:fldChar w:fldCharType="separate"/>
            </w:r>
            <w:r w:rsidRPr="00F1025E">
              <w:rPr>
                <w:color w:val="000000" w:themeColor="text1"/>
                <w:lang w:val="la-Latn" w:bidi="ar-SA"/>
              </w:rPr>
              <w:t>Genitivi obiectivi</w:t>
            </w:r>
            <w:r w:rsidRPr="00F1025E">
              <w:rPr>
                <w:color w:val="000000" w:themeColor="text1"/>
                <w:lang w:val="la-Latn" w:bidi="ar-SA"/>
              </w:rPr>
              <w:fldChar w:fldCharType="end"/>
            </w:r>
            <w:r w:rsidRPr="00F1025E">
              <w:rPr>
                <w:color w:val="000000" w:themeColor="text1"/>
                <w:lang w:val="la-Latn" w:bidi="ar-SA"/>
              </w:rPr>
              <w:t xml:space="preserve"> aufzufassen.</w:t>
            </w:r>
          </w:p>
          <w:p w14:paraId="5E16865B" w14:textId="77777777" w:rsidR="00F129E3" w:rsidRPr="00F1025E" w:rsidRDefault="00F129E3" w:rsidP="00F1025E">
            <w:pPr>
              <w:pStyle w:val="vokangabe2"/>
              <w:framePr w:hSpace="0" w:wrap="auto" w:vAnchor="margin" w:hAnchor="text" w:xAlign="left" w:yAlign="inline"/>
              <w:spacing w:before="120" w:after="120" w:line="288" w:lineRule="auto"/>
              <w:contextualSpacing/>
              <w:rPr>
                <w:color w:val="000000" w:themeColor="text1"/>
                <w:lang w:val="la-Latn" w:bidi="ar-SA"/>
              </w:rPr>
            </w:pPr>
            <w:r w:rsidRPr="00F1025E">
              <w:rPr>
                <w:color w:val="000000" w:themeColor="text1"/>
                <w:lang w:val="la-Latn" w:bidi="ar-SA"/>
              </w:rPr>
              <w:t>in qua: relativischer Satzanschluss</w:t>
            </w:r>
          </w:p>
          <w:p w14:paraId="212D487F" w14:textId="77777777" w:rsidR="00F129E3" w:rsidRPr="00F1025E" w:rsidRDefault="00F129E3" w:rsidP="00F1025E">
            <w:pPr>
              <w:pStyle w:val="vokangabe2"/>
              <w:framePr w:hSpace="0" w:wrap="auto" w:vAnchor="margin" w:hAnchor="text" w:xAlign="left" w:yAlign="inline"/>
              <w:spacing w:before="120" w:after="120" w:line="288" w:lineRule="auto"/>
              <w:contextualSpacing/>
              <w:rPr>
                <w:color w:val="000000" w:themeColor="text1"/>
                <w:lang w:val="la-Latn" w:bidi="ar-SA"/>
              </w:rPr>
            </w:pPr>
            <w:r w:rsidRPr="00F1025E">
              <w:rPr>
                <w:color w:val="000000" w:themeColor="text1"/>
                <w:lang w:val="la-Latn" w:bidi="ar-SA"/>
              </w:rPr>
              <w:t>excellere, excellō (keine Perfektformen): hervorragen, Besonderes leisten, sich auszeichnen</w:t>
            </w:r>
          </w:p>
          <w:p w14:paraId="74CDC166" w14:textId="6142F824" w:rsidR="00F129E3" w:rsidRPr="00F1025E" w:rsidRDefault="00F129E3" w:rsidP="00F1025E">
            <w:pPr>
              <w:pStyle w:val="vokangabe2"/>
              <w:framePr w:hSpace="0" w:wrap="auto" w:vAnchor="margin" w:hAnchor="text" w:xAlign="left" w:yAlign="inline"/>
              <w:spacing w:after="0" w:line="312" w:lineRule="auto"/>
              <w:contextualSpacing/>
              <w:rPr>
                <w:rFonts w:eastAsia="Times New Roman"/>
                <w:color w:val="000000" w:themeColor="text1"/>
                <w:lang w:val="la-Latn" w:eastAsia="de-DE" w:bidi="ar-SA"/>
              </w:rPr>
            </w:pPr>
            <w:r w:rsidRPr="00F1025E">
              <w:rPr>
                <w:color w:val="000000" w:themeColor="text1"/>
                <w:lang w:val="la-Latn" w:bidi="ar-SA"/>
              </w:rPr>
              <w:t>labī, labor, lapsus/lapsa sum: wanken, ausgleiten</w:t>
            </w:r>
          </w:p>
        </w:tc>
      </w:tr>
      <w:tr w:rsidR="00F1025E" w:rsidRPr="00F1025E" w14:paraId="5DB9472A" w14:textId="77777777" w:rsidTr="00F1025E">
        <w:tc>
          <w:tcPr>
            <w:tcW w:w="4814" w:type="dxa"/>
          </w:tcPr>
          <w:p w14:paraId="026C82D7" w14:textId="118A8C17" w:rsidR="00F129E3" w:rsidRPr="00F1025E" w:rsidRDefault="00F129E3" w:rsidP="00F1025E">
            <w:pPr>
              <w:spacing w:before="0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In hoc genere et naturali et honesto duo vitia vitanda</w:t>
            </w:r>
            <w:r w:rsidR="0017647C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sunt, unum,</w:t>
            </w:r>
          </w:p>
          <w:p w14:paraId="17E423A3" w14:textId="0B2D0BBA" w:rsidR="00F129E3" w:rsidRPr="00F1025E" w:rsidRDefault="00F129E3" w:rsidP="00F1025E">
            <w:pPr>
              <w:spacing w:before="0"/>
              <w:ind w:left="709"/>
              <w:contextualSpacing/>
              <w:rPr>
                <w:rFonts w:eastAsia="Times New Roman" w:cstheme="minorHAnsi"/>
                <w:color w:val="000000" w:themeColor="text1"/>
                <w:lang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ne incognita pro cognitis habeamus hisque temere</w:t>
            </w:r>
            <w:r w:rsidR="0017647C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assentiamur.</w:t>
            </w:r>
          </w:p>
          <w:p w14:paraId="53065DA7" w14:textId="77777777" w:rsidR="00F129E3" w:rsidRPr="00F1025E" w:rsidRDefault="00F129E3" w:rsidP="00F1025E">
            <w:pPr>
              <w:ind w:left="709"/>
              <w:contextualSpacing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</w:p>
        </w:tc>
        <w:tc>
          <w:tcPr>
            <w:tcW w:w="4814" w:type="dxa"/>
          </w:tcPr>
          <w:p w14:paraId="2E7FB289" w14:textId="77777777" w:rsidR="00F129E3" w:rsidRPr="00F1025E" w:rsidRDefault="00F129E3" w:rsidP="00F129E3">
            <w:pPr>
              <w:pStyle w:val="vokangabe2"/>
              <w:framePr w:hSpace="0" w:wrap="auto" w:vAnchor="margin" w:hAnchor="text" w:xAlign="left" w:yAlign="inline"/>
              <w:spacing w:after="0" w:line="312" w:lineRule="auto"/>
              <w:rPr>
                <w:rFonts w:eastAsia="Times New Roman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/>
                <w:color w:val="000000" w:themeColor="text1"/>
                <w:lang w:val="la-Latn" w:eastAsia="de-DE" w:bidi="ar-SA"/>
              </w:rPr>
              <w:t>vitāre: vermeiden</w:t>
            </w:r>
          </w:p>
          <w:p w14:paraId="3643AFBA" w14:textId="01938EA2" w:rsidR="00F129E3" w:rsidRPr="00F1025E" w:rsidRDefault="00F129E3" w:rsidP="00F129E3">
            <w:pPr>
              <w:pStyle w:val="vokangabe2"/>
              <w:framePr w:hSpace="0" w:wrap="auto" w:vAnchor="margin" w:hAnchor="text" w:xAlign="left" w:yAlign="inline"/>
              <w:spacing w:after="0" w:line="312" w:lineRule="auto"/>
              <w:rPr>
                <w:rFonts w:eastAsia="Times New Roman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/>
                <w:color w:val="000000" w:themeColor="text1"/>
                <w:lang w:val="la-Latn" w:eastAsia="de-DE" w:bidi="ar-SA"/>
              </w:rPr>
              <w:t>temere (Adverb): blindlings</w:t>
            </w:r>
          </w:p>
        </w:tc>
      </w:tr>
      <w:tr w:rsidR="00F1025E" w:rsidRPr="00F1025E" w14:paraId="40274FDD" w14:textId="77777777" w:rsidTr="00F1025E">
        <w:tc>
          <w:tcPr>
            <w:tcW w:w="4814" w:type="dxa"/>
          </w:tcPr>
          <w:p w14:paraId="67152011" w14:textId="5A2788FA" w:rsidR="00A34404" w:rsidRPr="0017647C" w:rsidRDefault="00A34404" w:rsidP="00F1025E">
            <w:pPr>
              <w:ind w:left="709"/>
              <w:contextualSpacing/>
              <w:rPr>
                <w:rFonts w:eastAsia="Times New Roman" w:cstheme="minorHAnsi"/>
                <w:color w:val="000000" w:themeColor="text1"/>
                <w:lang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Quod vitium effugere qui volet</w:t>
            </w:r>
            <w:r w:rsidR="0017647C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bookmarkStart w:id="0" w:name="_GoBack"/>
            <w:bookmarkEnd w:id="0"/>
          </w:p>
          <w:p w14:paraId="2472116D" w14:textId="3850AB2D" w:rsidR="00A34404" w:rsidRPr="00F1025E" w:rsidRDefault="00A34404" w:rsidP="00F1025E">
            <w:pPr>
              <w:ind w:left="709"/>
              <w:contextualSpacing/>
              <w:rPr>
                <w:rFonts w:eastAsia="Times New Roman" w:cstheme="minorHAnsi"/>
                <w:color w:val="000000" w:themeColor="text1"/>
                <w:lang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– omnes autem velle debent – 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,</w:t>
            </w:r>
          </w:p>
          <w:p w14:paraId="4FE648DC" w14:textId="307C1D05" w:rsidR="00A34404" w:rsidRPr="00F1025E" w:rsidRDefault="00A34404" w:rsidP="00F1025E">
            <w:pPr>
              <w:contextualSpacing/>
              <w:rPr>
                <w:rFonts w:eastAsia="Times New Roman"/>
                <w:color w:val="000000" w:themeColor="text1"/>
                <w:lang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adhibebit ad considerandas res et tempus et diligentiam.</w:t>
            </w:r>
          </w:p>
        </w:tc>
        <w:tc>
          <w:tcPr>
            <w:tcW w:w="4814" w:type="dxa"/>
          </w:tcPr>
          <w:p w14:paraId="508602D4" w14:textId="3F2FAAC0" w:rsidR="00A34404" w:rsidRPr="00F1025E" w:rsidRDefault="00A34404" w:rsidP="00F1025E">
            <w:pPr>
              <w:pStyle w:val="vokangabe2"/>
              <w:framePr w:wrap="around"/>
              <w:rPr>
                <w:rFonts w:eastAsia="Times New Roman"/>
                <w:lang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 xml:space="preserve">Quod officium effugere qui volet: Quod ist relativischer Satzanschluss und ist mit „dieser“ zu übersetzen. Mit </w:t>
            </w:r>
            <w:r w:rsidRPr="00F1025E">
              <w:rPr>
                <w:rFonts w:eastAsia="Times New Roman"/>
                <w:i/>
                <w:iCs/>
                <w:lang w:val="la-Latn" w:eastAsia="de-DE" w:bidi="ar-SA"/>
              </w:rPr>
              <w:t>quod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ist </w:t>
            </w:r>
            <w:r w:rsidRPr="00F1025E">
              <w:rPr>
                <w:rFonts w:eastAsia="Times New Roman"/>
                <w:i/>
                <w:iCs/>
                <w:lang w:val="la-Latn" w:eastAsia="de-DE" w:bidi="ar-SA"/>
              </w:rPr>
              <w:t>vitium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kongruent. Man muss beim Übersetzen mit qui („wer“) beginnen; dieses Relativpronomen hat kein Bezugswort. So sollte der Satz beginnen: Wer diesen Fehler ...</w:t>
            </w:r>
          </w:p>
        </w:tc>
      </w:tr>
    </w:tbl>
    <w:p w14:paraId="2A779F95" w14:textId="77777777" w:rsidR="00F6674D" w:rsidRPr="00F1025E" w:rsidRDefault="00F6674D" w:rsidP="00F6674D">
      <w:pPr>
        <w:pStyle w:val="lbs-dokumente"/>
        <w:jc w:val="center"/>
        <w:rPr>
          <w:rFonts w:asciiTheme="minorHAnsi" w:hAnsiTheme="minorHAnsi" w:cstheme="minorHAnsi"/>
          <w:noProof/>
          <w:color w:val="000000" w:themeColor="text1"/>
        </w:rPr>
      </w:pPr>
      <w:r w:rsidRPr="00F1025E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42FBADD7" wp14:editId="3C991A30">
                <wp:extent cx="304800" cy="304800"/>
                <wp:effectExtent l="0" t="0" r="0" b="0"/>
                <wp:docPr id="3" name="Rechteck 3" descr="Prudentia (Klughei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E3660" id="Rechteck 3" o:spid="_x0000_s1026" alt="Prudentia (Klugheit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CFukssCAADT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49E8FA53" w14:textId="18F28226" w:rsidR="00F6674D" w:rsidRPr="00F1025E" w:rsidRDefault="00F6674D" w:rsidP="00F6674D">
      <w:pPr>
        <w:pStyle w:val="lbs-dokumente"/>
        <w:jc w:val="center"/>
        <w:rPr>
          <w:rFonts w:asciiTheme="minorHAnsi" w:hAnsiTheme="minorHAnsi" w:cstheme="minorHAnsi"/>
          <w:color w:val="000000" w:themeColor="text1"/>
        </w:rPr>
      </w:pPr>
      <w:r w:rsidRPr="00F1025E"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26C5BC6E" wp14:editId="0ADA8BED">
            <wp:extent cx="2877820" cy="3978586"/>
            <wp:effectExtent l="0" t="0" r="0" b="3175"/>
            <wp:docPr id="4" name="Grafik 4" descr="Ein Bild, das drinnen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er-petrusbrunnen-prudent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09" cy="39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A98A" w14:textId="77777777" w:rsidR="00F1025E" w:rsidRPr="00F1025E" w:rsidRDefault="00F6674D" w:rsidP="00F1025E">
      <w:pPr>
        <w:pStyle w:val="lbs-dokumente"/>
        <w:spacing w:line="288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025E">
        <w:rPr>
          <w:rFonts w:cstheme="minorHAnsi"/>
          <w:color w:val="000000" w:themeColor="text1"/>
          <w:sz w:val="20"/>
          <w:szCs w:val="20"/>
        </w:rPr>
        <w:t>Die Figur der Prudentia (Klugheit) am Petrusbrunnen in Trier. Die Klugheit wird durch die Symbole eines Spiegels und einer Schlange charakterisiert. Weitere Bilder und Informationen</w:t>
      </w:r>
      <w:r w:rsidR="00F1025E" w:rsidRPr="00F1025E">
        <w:rPr>
          <w:rFonts w:cstheme="minorHAnsi"/>
          <w:color w:val="000000" w:themeColor="text1"/>
          <w:sz w:val="20"/>
          <w:szCs w:val="20"/>
        </w:rPr>
        <w:t xml:space="preserve"> </w:t>
      </w:r>
      <w:r w:rsidR="00F1025E"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zu diesen Brunnenfiguren im Verzeichnis </w:t>
      </w:r>
      <w:hyperlink r:id="rId13" w:tgtFrame="_blank" w:history="1">
        <w:r w:rsidR="00F1025E" w:rsidRPr="00F1025E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Bilder für den Lateinunterricht</w:t>
        </w:r>
      </w:hyperlink>
      <w:r w:rsidR="00F1025E"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E5C635E" w14:textId="4A31DE4F" w:rsidR="001C255C" w:rsidRPr="00F1025E" w:rsidRDefault="001C255C" w:rsidP="001C255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</w:pPr>
      <w:r w:rsidRPr="00F1025E"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  <w:t>Im folgenden Abschnitt (De officiis 1, 19) benennt Cicero die Grenzen, die man der Suche nach der Wahrheit setzen sollte.</w:t>
      </w:r>
    </w:p>
    <w:p w14:paraId="795CEAF5" w14:textId="74DFD8A4" w:rsidR="001C255C" w:rsidRDefault="00A34404" w:rsidP="001C255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</w:pPr>
      <w:r w:rsidRPr="00F1025E"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  <w:t xml:space="preserve"> </w:t>
      </w:r>
      <w:r w:rsidR="001C255C" w:rsidRPr="00F1025E">
        <w:rPr>
          <w:rFonts w:eastAsia="Times New Roman" w:cstheme="minorHAnsi"/>
          <w:color w:val="000000" w:themeColor="text1"/>
          <w:sz w:val="24"/>
          <w:szCs w:val="24"/>
          <w:lang w:eastAsia="de-DE" w:bidi="ar-SA"/>
        </w:rPr>
        <w:t>[1, 19]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025E" w14:paraId="1D5DC499" w14:textId="77777777" w:rsidTr="00F1025E">
        <w:tc>
          <w:tcPr>
            <w:tcW w:w="4814" w:type="dxa"/>
          </w:tcPr>
          <w:p w14:paraId="18CF8B12" w14:textId="77777777" w:rsidR="00F1025E" w:rsidRPr="00F1025E" w:rsidRDefault="00F1025E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Alterum est vitium,</w:t>
            </w:r>
          </w:p>
          <w:p w14:paraId="6EE87AC9" w14:textId="2577E08B" w:rsidR="00F1025E" w:rsidRDefault="00F1025E" w:rsidP="00F1025E">
            <w:pPr>
              <w:ind w:left="709"/>
              <w:contextualSpacing/>
              <w:rPr>
                <w:rFonts w:eastAsia="Times New Roman"/>
                <w:lang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quod</w:t>
            </w:r>
            <w:r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quidam nimis magnum studium</w:t>
            </w:r>
            <w:r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multamque operam in res obscuras atque difficiles conferunt easdemque</w:t>
            </w:r>
            <w:r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non necessarias.</w:t>
            </w:r>
          </w:p>
        </w:tc>
        <w:tc>
          <w:tcPr>
            <w:tcW w:w="4814" w:type="dxa"/>
          </w:tcPr>
          <w:p w14:paraId="1D6C34C9" w14:textId="77777777" w:rsidR="00F1025E" w:rsidRPr="00F1025E" w:rsidRDefault="00F1025E" w:rsidP="00F1025E">
            <w:pPr>
              <w:pStyle w:val="vokangabe2"/>
              <w:framePr w:wrap="around"/>
              <w:rPr>
                <w:rFonts w:eastAsia="Times New Roman"/>
                <w:lang w:eastAsia="de-DE" w:bidi="ar-SA"/>
              </w:rPr>
            </w:pPr>
            <w:r w:rsidRPr="00F1025E">
              <w:rPr>
                <w:rFonts w:eastAsia="Times New Roman"/>
                <w:lang w:eastAsia="de-DE" w:bidi="ar-SA"/>
              </w:rPr>
              <w:t xml:space="preserve">quod: faktisches </w:t>
            </w:r>
            <w:r w:rsidRPr="00F1025E">
              <w:rPr>
                <w:rFonts w:eastAsia="Times New Roman"/>
                <w:i/>
                <w:iCs/>
                <w:lang w:eastAsia="de-DE" w:bidi="ar-SA"/>
              </w:rPr>
              <w:t>quod</w:t>
            </w:r>
            <w:r w:rsidRPr="00F1025E">
              <w:rPr>
                <w:rFonts w:eastAsia="Times New Roman"/>
                <w:lang w:eastAsia="de-DE" w:bidi="ar-SA"/>
              </w:rPr>
              <w:t xml:space="preserve">, zu übersetzen mit </w:t>
            </w:r>
            <w:proofErr w:type="gramStart"/>
            <w:r w:rsidRPr="00F1025E">
              <w:rPr>
                <w:rFonts w:eastAsia="Times New Roman"/>
                <w:lang w:eastAsia="de-DE" w:bidi="ar-SA"/>
              </w:rPr>
              <w:t>„</w:t>
            </w:r>
            <w:proofErr w:type="gramEnd"/>
            <w:r w:rsidRPr="00F1025E">
              <w:rPr>
                <w:rFonts w:eastAsia="Times New Roman"/>
                <w:lang w:eastAsia="de-DE" w:bidi="ar-SA"/>
              </w:rPr>
              <w:t>dass“.</w:t>
            </w:r>
          </w:p>
          <w:p w14:paraId="5B31C448" w14:textId="77777777" w:rsidR="00F1025E" w:rsidRPr="00F1025E" w:rsidRDefault="00F1025E" w:rsidP="00F1025E">
            <w:pPr>
              <w:pStyle w:val="vokangabe2"/>
              <w:framePr w:wrap="around"/>
              <w:rPr>
                <w:rFonts w:eastAsia="Times New Roman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lang w:eastAsia="de-DE" w:bidi="ar-SA"/>
              </w:rPr>
              <w:t>studium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lang w:eastAsia="de-DE" w:bidi="ar-SA"/>
              </w:rPr>
              <w:t>conferre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>: Eifer aufwenden</w:t>
            </w:r>
          </w:p>
          <w:p w14:paraId="67BB73FE" w14:textId="1F43E004" w:rsidR="00F1025E" w:rsidRDefault="00F1025E" w:rsidP="00F1025E">
            <w:pPr>
              <w:pStyle w:val="vokangabe2"/>
              <w:framePr w:wrap="around"/>
              <w:rPr>
                <w:rFonts w:eastAsia="Times New Roman" w:cstheme="minorHAnsi"/>
                <w:sz w:val="24"/>
                <w:szCs w:val="24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lang w:eastAsia="de-DE" w:bidi="ar-SA"/>
              </w:rPr>
              <w:t>easdemque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 xml:space="preserve">: </w:t>
            </w:r>
            <w:proofErr w:type="spellStart"/>
            <w:r w:rsidRPr="00F1025E">
              <w:rPr>
                <w:rFonts w:eastAsia="Times New Roman"/>
                <w:i/>
                <w:iCs/>
                <w:lang w:eastAsia="de-DE" w:bidi="ar-SA"/>
              </w:rPr>
              <w:t>necessarias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 xml:space="preserve"> ist ein weiteres Attribut zu </w:t>
            </w:r>
            <w:proofErr w:type="spellStart"/>
            <w:r w:rsidRPr="00F1025E">
              <w:rPr>
                <w:rFonts w:eastAsia="Times New Roman"/>
                <w:i/>
                <w:iCs/>
                <w:lang w:eastAsia="de-DE" w:bidi="ar-SA"/>
              </w:rPr>
              <w:t>res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>. Sie können hier einen Relativsatz bilden: „... und die zudem nicht nötig sind.“</w:t>
            </w:r>
          </w:p>
        </w:tc>
      </w:tr>
    </w:tbl>
    <w:p w14:paraId="7F02C996" w14:textId="01DFF2E9" w:rsidR="00A34404" w:rsidRPr="00F1025E" w:rsidRDefault="00A34404" w:rsidP="00F1025E">
      <w:pPr>
        <w:rPr>
          <w:rFonts w:eastAsia="Times New Roman"/>
          <w:lang w:eastAsia="de-DE" w:bidi="ar-SA"/>
        </w:rPr>
      </w:pPr>
      <w:r w:rsidRPr="00F1025E">
        <w:rPr>
          <w:rFonts w:eastAsia="Times New Roman"/>
          <w:lang w:eastAsia="de-DE" w:bidi="ar-SA"/>
        </w:rPr>
        <w:t xml:space="preserve">Cicero bezieht sich im folgenden Abschnitt auf C. Sulpicius, der im Jahr 168 vor dem Krieg gegen Perseus eine Mondfinsternis vorhersagte. Also ist mit </w:t>
      </w:r>
      <w:proofErr w:type="spellStart"/>
      <w:r w:rsidRPr="00F1025E">
        <w:rPr>
          <w:rFonts w:eastAsia="Times New Roman"/>
          <w:i/>
          <w:iCs/>
          <w:lang w:eastAsia="de-DE" w:bidi="ar-SA"/>
        </w:rPr>
        <w:t>astrologia</w:t>
      </w:r>
      <w:proofErr w:type="spellEnd"/>
      <w:r w:rsidRPr="00F1025E">
        <w:rPr>
          <w:rFonts w:eastAsia="Times New Roman"/>
          <w:lang w:eastAsia="de-DE" w:bidi="ar-SA"/>
        </w:rPr>
        <w:t xml:space="preserve"> die wissenschaftliche Erforschung der Bewegungen der Himmelskörper gemeint, die man heute als Astro</w:t>
      </w:r>
      <w:r w:rsidRPr="00F1025E">
        <w:rPr>
          <w:rFonts w:eastAsia="Times New Roman"/>
          <w:b/>
          <w:bCs/>
          <w:lang w:eastAsia="de-DE" w:bidi="ar-SA"/>
        </w:rPr>
        <w:t>nomie</w:t>
      </w:r>
      <w:r w:rsidRPr="00F1025E">
        <w:rPr>
          <w:rFonts w:eastAsia="Times New Roman"/>
          <w:lang w:eastAsia="de-DE" w:bidi="ar-SA"/>
        </w:rPr>
        <w:t xml:space="preserve"> bezeichnet, während mit Astro</w:t>
      </w:r>
      <w:r w:rsidRPr="00F1025E">
        <w:rPr>
          <w:rFonts w:eastAsia="Times New Roman"/>
          <w:b/>
          <w:bCs/>
          <w:lang w:eastAsia="de-DE" w:bidi="ar-SA"/>
        </w:rPr>
        <w:t>logie</w:t>
      </w:r>
      <w:r w:rsidRPr="00F1025E">
        <w:rPr>
          <w:rFonts w:eastAsia="Times New Roman"/>
          <w:lang w:eastAsia="de-DE" w:bidi="ar-SA"/>
        </w:rPr>
        <w:t xml:space="preserve"> die (unwissenschaftliche) Weissagung gemeint ist.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F1025E" w:rsidRPr="00F1025E" w14:paraId="58AF3F61" w14:textId="77777777" w:rsidTr="00A34404">
        <w:trPr>
          <w:cantSplit/>
        </w:trPr>
        <w:tc>
          <w:tcPr>
            <w:tcW w:w="4814" w:type="dxa"/>
          </w:tcPr>
          <w:p w14:paraId="1BC67EB2" w14:textId="74EBC29A" w:rsidR="00A34404" w:rsidRPr="00F1025E" w:rsidRDefault="00A34404" w:rsidP="00A34404">
            <w:pPr>
              <w:spacing w:before="0"/>
              <w:ind w:left="450"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lastRenderedPageBreak/>
              <w:t>Quibus vitiis declinatis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quod in rebus honestis et cognitione dignis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operae curaeque ponetur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,</w:t>
            </w:r>
          </w:p>
          <w:p w14:paraId="28F73B32" w14:textId="77777777" w:rsidR="00A34404" w:rsidRPr="00F1025E" w:rsidRDefault="00A34404" w:rsidP="00A34404">
            <w:pPr>
              <w:spacing w:before="0"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id iure laudabitur,</w:t>
            </w:r>
          </w:p>
          <w:p w14:paraId="2FA6C069" w14:textId="139574D3" w:rsidR="00A34404" w:rsidRPr="00F1025E" w:rsidRDefault="00A34404" w:rsidP="00A34404">
            <w:pPr>
              <w:spacing w:before="0"/>
              <w:ind w:left="450"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ut in astrologia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C. Sulpicium audimus,</w:t>
            </w:r>
          </w:p>
          <w:p w14:paraId="2B304E6B" w14:textId="53984789" w:rsidR="00A34404" w:rsidRPr="00F1025E" w:rsidRDefault="00A34404" w:rsidP="00A34404">
            <w:pPr>
              <w:spacing w:before="0"/>
              <w:ind w:left="450"/>
              <w:rPr>
                <w:rFonts w:eastAsia="Times New Roman" w:cstheme="minorHAnsi"/>
                <w:color w:val="000000" w:themeColor="text1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in geometria Sex. Pompeium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ipsi cognovimus, multos in dialecticis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, plures in iure civili,</w:t>
            </w:r>
          </w:p>
          <w:p w14:paraId="79C02EBB" w14:textId="744E9B33" w:rsidR="00A34404" w:rsidRPr="00F1025E" w:rsidRDefault="00A34404" w:rsidP="00A34404">
            <w:pPr>
              <w:spacing w:before="0"/>
              <w:rPr>
                <w:rFonts w:eastAsia="Times New Roman" w:cstheme="minorHAnsi"/>
                <w:color w:val="000000" w:themeColor="text1"/>
                <w:sz w:val="24"/>
                <w:szCs w:val="24"/>
                <w:lang w:val="la-Latn" w:eastAsia="de-DE" w:bidi="ar-SA"/>
              </w:rPr>
            </w:pP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>quae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omnes artes in veri investigatione</w:t>
            </w:r>
            <w:r w:rsidR="00F1025E">
              <w:rPr>
                <w:rFonts w:eastAsia="Times New Roman" w:cstheme="minorHAnsi"/>
                <w:color w:val="000000" w:themeColor="text1"/>
                <w:lang w:eastAsia="de-DE" w:bidi="ar-SA"/>
              </w:rPr>
              <w:t>*</w:t>
            </w:r>
            <w:r w:rsidRPr="00F1025E">
              <w:rPr>
                <w:rFonts w:eastAsia="Times New Roman" w:cstheme="minorHAnsi"/>
                <w:color w:val="000000" w:themeColor="text1"/>
                <w:lang w:val="la-Latn" w:eastAsia="de-DE" w:bidi="ar-SA"/>
              </w:rPr>
              <w:t xml:space="preserve"> versantur.</w:t>
            </w:r>
          </w:p>
        </w:tc>
        <w:tc>
          <w:tcPr>
            <w:tcW w:w="4814" w:type="dxa"/>
          </w:tcPr>
          <w:p w14:paraId="5247A659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Quibus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vitiis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declinatis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: </w:t>
            </w:r>
            <w:hyperlink r:id="rId14" w:anchor="relativischersatzanschluss" w:tgtFrame="_blank" w:history="1">
              <w:r w:rsidRPr="00F1025E">
                <w:rPr>
                  <w:rFonts w:eastAsia="Times New Roman"/>
                  <w:color w:val="000000" w:themeColor="text1"/>
                  <w:u w:val="single"/>
                  <w:lang w:eastAsia="de-DE" w:bidi="ar-SA"/>
                </w:rPr>
                <w:t>relativischer Satzanschluss</w:t>
              </w:r>
            </w:hyperlink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und </w:t>
            </w:r>
            <w:hyperlink r:id="rId15" w:tgtFrame="_blank" w:history="1">
              <w:r w:rsidRPr="00F1025E">
                <w:rPr>
                  <w:rFonts w:eastAsia="Times New Roman"/>
                  <w:color w:val="000000" w:themeColor="text1"/>
                  <w:u w:val="single"/>
                  <w:lang w:eastAsia="de-DE" w:bidi="ar-SA"/>
                </w:rPr>
                <w:t xml:space="preserve">Ablativus </w:t>
              </w:r>
              <w:proofErr w:type="spellStart"/>
              <w:r w:rsidRPr="00F1025E">
                <w:rPr>
                  <w:rFonts w:eastAsia="Times New Roman"/>
                  <w:color w:val="000000" w:themeColor="text1"/>
                  <w:u w:val="single"/>
                  <w:lang w:eastAsia="de-DE" w:bidi="ar-SA"/>
                </w:rPr>
                <w:t>absolutus</w:t>
              </w:r>
              <w:proofErr w:type="spellEnd"/>
            </w:hyperlink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. Das Bezugswort für das Relativpronomen </w:t>
            </w:r>
            <w:r w:rsidRPr="00F1025E">
              <w:rPr>
                <w:rFonts w:eastAsia="Times New Roman"/>
                <w:i/>
                <w:iCs/>
                <w:color w:val="000000" w:themeColor="text1"/>
                <w:lang w:eastAsia="de-DE" w:bidi="ar-SA"/>
              </w:rPr>
              <w:t>quod</w:t>
            </w:r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ist </w:t>
            </w:r>
            <w:r w:rsidRPr="00F1025E">
              <w:rPr>
                <w:rFonts w:eastAsia="Times New Roman"/>
                <w:i/>
                <w:iCs/>
                <w:color w:val="000000" w:themeColor="text1"/>
                <w:lang w:eastAsia="de-DE" w:bidi="ar-SA"/>
              </w:rPr>
              <w:t>id</w:t>
            </w:r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.</w:t>
            </w:r>
          </w:p>
          <w:p w14:paraId="21C58451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dēclīnāre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dēclīnō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dēclīnāvī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proofErr w:type="gram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dēclīnātum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:</w:t>
            </w:r>
            <w:proofErr w:type="gram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abwenden</w:t>
            </w:r>
          </w:p>
          <w:p w14:paraId="3171E50D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dignus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(mit Ablativ der Menge): einer Sache würdig. Der abhängige Ablativ ist das Wort </w:t>
            </w:r>
            <w:proofErr w:type="spellStart"/>
            <w:r w:rsidRPr="00F1025E">
              <w:rPr>
                <w:rFonts w:eastAsia="Times New Roman"/>
                <w:i/>
                <w:iCs/>
                <w:color w:val="000000" w:themeColor="text1"/>
                <w:lang w:eastAsia="de-DE" w:bidi="ar-SA"/>
              </w:rPr>
              <w:t>cognitione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.</w:t>
            </w:r>
          </w:p>
          <w:p w14:paraId="796D0474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operae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curaeque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ponetur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: </w:t>
            </w:r>
            <w:hyperlink r:id="rId16" w:anchor="finalis" w:tgtFrame="_blank" w:history="1">
              <w:r w:rsidRPr="00F1025E">
                <w:rPr>
                  <w:rFonts w:eastAsia="Times New Roman"/>
                  <w:color w:val="000000" w:themeColor="text1"/>
                  <w:u w:val="single"/>
                  <w:lang w:eastAsia="de-DE" w:bidi="ar-SA"/>
                </w:rPr>
                <w:t xml:space="preserve">Dativ des Zwecks/Dativus </w:t>
              </w:r>
              <w:proofErr w:type="spellStart"/>
              <w:r w:rsidRPr="00F1025E">
                <w:rPr>
                  <w:rFonts w:eastAsia="Times New Roman"/>
                  <w:color w:val="000000" w:themeColor="text1"/>
                  <w:u w:val="single"/>
                  <w:lang w:eastAsia="de-DE" w:bidi="ar-SA"/>
                </w:rPr>
                <w:t>finalis</w:t>
              </w:r>
              <w:proofErr w:type="spellEnd"/>
            </w:hyperlink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. Übersetzung: ... auf etwas Mühe und Sorgfalt verwenden.</w:t>
            </w:r>
          </w:p>
          <w:p w14:paraId="6650C316" w14:textId="768627AB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astrologia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... C.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Sulpicium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: siehe die Erläuterung vor diesem Absatz.</w:t>
            </w:r>
          </w:p>
          <w:p w14:paraId="43590107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S. Pompeius: ein Onkel des Politikers und Feldherrn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Cn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. Pompeius.</w:t>
            </w:r>
          </w:p>
          <w:p w14:paraId="488941CF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dialecticae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(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artes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): die Logik</w:t>
            </w:r>
          </w:p>
          <w:p w14:paraId="54AE7AFD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quae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omnes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artes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: Bezugswort im Relativsatz; Übersetzung: ...lauter Künste, die ...</w:t>
            </w:r>
          </w:p>
          <w:p w14:paraId="5CCDA7E7" w14:textId="44B11F1E" w:rsidR="00A34404" w:rsidRPr="00F1025E" w:rsidRDefault="00A34404" w:rsidP="00F1025E">
            <w:pPr>
              <w:pStyle w:val="vokangabe2"/>
              <w:framePr w:wrap="around"/>
              <w:rPr>
                <w:rFonts w:eastAsia="Times New Roman" w:cstheme="minorHAnsi"/>
                <w:sz w:val="24"/>
                <w:szCs w:val="24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lang w:eastAsia="de-DE" w:bidi="ar-SA"/>
              </w:rPr>
              <w:t>investigātiō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lang w:eastAsia="de-DE" w:bidi="ar-SA"/>
              </w:rPr>
              <w:t>investigātiōnis</w:t>
            </w:r>
            <w:proofErr w:type="spellEnd"/>
            <w:r w:rsidRPr="00F1025E">
              <w:rPr>
                <w:rFonts w:eastAsia="Times New Roman"/>
                <w:lang w:eastAsia="de-DE" w:bidi="ar-SA"/>
              </w:rPr>
              <w:t>, f.: die Erforschung</w:t>
            </w:r>
            <w:r w:rsidRPr="00F1025E">
              <w:rPr>
                <w:rFonts w:eastAsia="Times New Roman" w:cstheme="minorHAnsi"/>
                <w:sz w:val="24"/>
                <w:szCs w:val="24"/>
                <w:lang w:eastAsia="de-DE" w:bidi="ar-SA"/>
              </w:rPr>
              <w:t> </w:t>
            </w:r>
          </w:p>
        </w:tc>
      </w:tr>
      <w:tr w:rsidR="00F1025E" w:rsidRPr="00F1025E" w14:paraId="0E8626D9" w14:textId="77777777" w:rsidTr="00A34404">
        <w:trPr>
          <w:cantSplit/>
        </w:trPr>
        <w:tc>
          <w:tcPr>
            <w:tcW w:w="4814" w:type="dxa"/>
          </w:tcPr>
          <w:p w14:paraId="561F4CBF" w14:textId="4BDCA846" w:rsidR="00A34404" w:rsidRPr="00F1025E" w:rsidRDefault="00A34404" w:rsidP="00F1025E">
            <w:pPr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Studio harum artium a rebus gerendis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abduci contra officium est.</w:t>
            </w:r>
          </w:p>
        </w:tc>
        <w:tc>
          <w:tcPr>
            <w:tcW w:w="4814" w:type="dxa"/>
          </w:tcPr>
          <w:p w14:paraId="09D0136E" w14:textId="40DFA6E7" w:rsidR="00A34404" w:rsidRPr="00F1025E" w:rsidRDefault="00A34404" w:rsidP="00A34404">
            <w:pPr>
              <w:pStyle w:val="vokangabe2"/>
              <w:framePr w:wrap="around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rēs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gerendae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rērum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gerendārum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 (Pluralwort): das Handeln, die Tätigkeit</w:t>
            </w:r>
          </w:p>
        </w:tc>
      </w:tr>
      <w:tr w:rsidR="00F1025E" w:rsidRPr="00F1025E" w14:paraId="660F65BB" w14:textId="77777777" w:rsidTr="00A34404">
        <w:trPr>
          <w:cantSplit/>
        </w:trPr>
        <w:tc>
          <w:tcPr>
            <w:tcW w:w="4814" w:type="dxa"/>
          </w:tcPr>
          <w:p w14:paraId="1FE4A897" w14:textId="6B305DB1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Virtutis enim laus omnis in actione consistit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>,</w:t>
            </w:r>
          </w:p>
          <w:p w14:paraId="22245D28" w14:textId="39874E74" w:rsidR="00A34404" w:rsidRPr="00F1025E" w:rsidRDefault="00A34404" w:rsidP="00F1025E">
            <w:pPr>
              <w:ind w:left="709"/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a qua tamen fit intermissio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saepe multique dantur ad studia reditūs;</w:t>
            </w:r>
          </w:p>
          <w:p w14:paraId="68169920" w14:textId="16D99B6C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tum agitatio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mentis,</w:t>
            </w:r>
          </w:p>
          <w:p w14:paraId="45FD5969" w14:textId="77777777" w:rsidR="00A34404" w:rsidRPr="00F1025E" w:rsidRDefault="00A34404" w:rsidP="00F1025E">
            <w:pPr>
              <w:ind w:left="709"/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quae numquam adquiescit,</w:t>
            </w:r>
          </w:p>
          <w:p w14:paraId="314CD94D" w14:textId="352C4B90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potest nos in studiis cognitionis etiam sine opera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nostra continere.</w:t>
            </w:r>
          </w:p>
        </w:tc>
        <w:tc>
          <w:tcPr>
            <w:tcW w:w="4814" w:type="dxa"/>
          </w:tcPr>
          <w:p w14:paraId="6A706920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consistere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: in etwas bestehen</w:t>
            </w:r>
          </w:p>
          <w:p w14:paraId="757DD22E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intermissiō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intermissiōnis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, f.: die Unterbrechung</w:t>
            </w:r>
          </w:p>
          <w:p w14:paraId="76F51B94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agitātiō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agitātiōnis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, f.: das Tätigsein, die Aktivität</w:t>
            </w:r>
          </w:p>
          <w:p w14:paraId="6C391CB6" w14:textId="2F9B4CC2" w:rsidR="00A34404" w:rsidRPr="00F1025E" w:rsidRDefault="00A34404" w:rsidP="00A34404">
            <w:pPr>
              <w:pStyle w:val="vokangabe2"/>
              <w:framePr w:wrap="around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opera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operae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, f.: die Mühe</w:t>
            </w:r>
          </w:p>
        </w:tc>
      </w:tr>
      <w:tr w:rsidR="00F1025E" w:rsidRPr="00F1025E" w14:paraId="34FDDAB4" w14:textId="77777777" w:rsidTr="00A34404">
        <w:trPr>
          <w:cantSplit/>
        </w:trPr>
        <w:tc>
          <w:tcPr>
            <w:tcW w:w="4814" w:type="dxa"/>
          </w:tcPr>
          <w:p w14:paraId="2D340AD3" w14:textId="77777777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Omnis autem cogitatio motusque animi</w:t>
            </w:r>
          </w:p>
          <w:p w14:paraId="40900E21" w14:textId="7F5B982B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aut in deliberatione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de vita beata</w:t>
            </w:r>
          </w:p>
          <w:p w14:paraId="717ADAC8" w14:textId="77E9A70C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aut in studiis scientiae cognitionisque versabitur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>.</w:t>
            </w:r>
          </w:p>
          <w:p w14:paraId="1E2237DB" w14:textId="59BA7A42" w:rsidR="00A34404" w:rsidRPr="00F1025E" w:rsidRDefault="00A34404" w:rsidP="00F1025E">
            <w:pPr>
              <w:contextualSpacing/>
              <w:rPr>
                <w:rFonts w:eastAsia="Times New Roman"/>
                <w:lang w:val="la-Latn" w:eastAsia="de-DE" w:bidi="ar-SA"/>
              </w:rPr>
            </w:pPr>
            <w:r w:rsidRPr="00F1025E">
              <w:rPr>
                <w:rFonts w:eastAsia="Times New Roman"/>
                <w:lang w:val="la-Latn" w:eastAsia="de-DE" w:bidi="ar-SA"/>
              </w:rPr>
              <w:t>Ac de primo quidem officii fonte</w:t>
            </w:r>
            <w:r w:rsidR="00F1025E">
              <w:rPr>
                <w:rFonts w:eastAsia="Times New Roman"/>
                <w:lang w:eastAsia="de-DE" w:bidi="ar-SA"/>
              </w:rPr>
              <w:t>*</w:t>
            </w:r>
            <w:r w:rsidRPr="00F1025E">
              <w:rPr>
                <w:rFonts w:eastAsia="Times New Roman"/>
                <w:lang w:val="la-Latn" w:eastAsia="de-DE" w:bidi="ar-SA"/>
              </w:rPr>
              <w:t xml:space="preserve"> diximus.</w:t>
            </w:r>
          </w:p>
        </w:tc>
        <w:tc>
          <w:tcPr>
            <w:tcW w:w="4814" w:type="dxa"/>
          </w:tcPr>
          <w:p w14:paraId="29D4C76E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dēlīberātiō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dēlīberātiōnis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, f.: das Nachdenken, die Beratung</w:t>
            </w:r>
          </w:p>
          <w:p w14:paraId="62F3A106" w14:textId="77777777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versari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: in etwas bestehen</w:t>
            </w:r>
          </w:p>
          <w:p w14:paraId="21C59BFC" w14:textId="377549C2" w:rsidR="00A34404" w:rsidRPr="00F1025E" w:rsidRDefault="00A34404" w:rsidP="00A34404">
            <w:pPr>
              <w:pStyle w:val="vokangabe2"/>
              <w:framePr w:hSpace="0" w:wrap="auto" w:vAnchor="margin" w:hAnchor="text" w:xAlign="left" w:yAlign="inline"/>
              <w:rPr>
                <w:rFonts w:eastAsia="Times New Roman"/>
                <w:color w:val="000000" w:themeColor="text1"/>
                <w:lang w:eastAsia="de-DE" w:bidi="ar-SA"/>
              </w:rPr>
            </w:pP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fōns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 xml:space="preserve">, </w:t>
            </w:r>
            <w:proofErr w:type="spellStart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fontis</w:t>
            </w:r>
            <w:proofErr w:type="spellEnd"/>
            <w:r w:rsidRPr="00F1025E">
              <w:rPr>
                <w:rFonts w:eastAsia="Times New Roman"/>
                <w:color w:val="000000" w:themeColor="text1"/>
                <w:lang w:eastAsia="de-DE" w:bidi="ar-SA"/>
              </w:rPr>
              <w:t>, m.: die Quelle</w:t>
            </w:r>
          </w:p>
        </w:tc>
      </w:tr>
    </w:tbl>
    <w:p w14:paraId="0227415C" w14:textId="77777777" w:rsidR="001C255C" w:rsidRPr="00F1025E" w:rsidRDefault="001C255C" w:rsidP="00F1025E">
      <w:pPr>
        <w:pStyle w:val="lbs-dokumente"/>
        <w:spacing w:before="240" w:line="240" w:lineRule="auto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URL dieses Textes: </w:t>
      </w:r>
      <w:hyperlink r:id="rId17" w:history="1">
        <w:r w:rsidRPr="00F1025E">
          <w:rPr>
            <w:rStyle w:val="Hyperlink"/>
            <w:rFonts w:asciiTheme="minorHAnsi" w:hAnsiTheme="minorHAnsi" w:cstheme="minorHAnsi"/>
            <w:color w:val="0E57C4" w:themeColor="background2" w:themeShade="80"/>
            <w:sz w:val="20"/>
            <w:szCs w:val="20"/>
          </w:rPr>
          <w:t>http://www.schule-bw.de/faecher-und-schularten/sprachen-und-literatur/latein/texte-und-medien/cicero-philosophie/de-officiis/1/de-officiis-1-18-sapientia-weisheit.html</w:t>
        </w:r>
      </w:hyperlink>
      <w:r w:rsidRPr="00F1025E">
        <w:rPr>
          <w:rStyle w:val="Hyperlink"/>
          <w:rFonts w:asciiTheme="minorHAnsi" w:hAnsiTheme="minorHAnsi" w:cstheme="minorHAnsi"/>
          <w:color w:val="0E57C4" w:themeColor="background2" w:themeShade="80"/>
          <w:sz w:val="20"/>
          <w:szCs w:val="20"/>
        </w:rPr>
        <w:t xml:space="preserve"> </w:t>
      </w:r>
    </w:p>
    <w:p w14:paraId="37030DFC" w14:textId="1D4A36B2" w:rsidR="001C255C" w:rsidRPr="00F1025E" w:rsidRDefault="00F1025E" w:rsidP="00F1025E">
      <w:pPr>
        <w:pStyle w:val="lbs-dokumente"/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>Die HTML-Version enthält mehr Hilfen zu Grammatik und Wortschatz als dieses Dokument.</w:t>
      </w:r>
    </w:p>
    <w:p w14:paraId="0B3C52CC" w14:textId="5B195B07" w:rsidR="001C255C" w:rsidRPr="00F1025E" w:rsidRDefault="001C255C" w:rsidP="00F1025E">
      <w:pPr>
        <w:pStyle w:val="lbs-dokumente"/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Letzte Revision </w:t>
      </w:r>
      <w:r w:rsidR="00146A66"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>Mai</w:t>
      </w:r>
      <w:r w:rsidRPr="00F102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2019</w:t>
      </w:r>
    </w:p>
    <w:sectPr w:rsidR="001C255C" w:rsidRPr="00F1025E">
      <w:headerReference w:type="default" r:id="rId18"/>
      <w:footerReference w:type="default" r:id="rId1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2486" w14:textId="77777777" w:rsidR="00B02DF0" w:rsidRDefault="00B02DF0">
      <w:r>
        <w:separator/>
      </w:r>
    </w:p>
  </w:endnote>
  <w:endnote w:type="continuationSeparator" w:id="0">
    <w:p w14:paraId="527873C8" w14:textId="77777777" w:rsidR="00B02DF0" w:rsidRDefault="00B0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C085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174E5B93" w14:textId="77777777" w:rsidR="00202DA3" w:rsidRDefault="00B02DF0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312E" w14:textId="77777777" w:rsidR="00B02DF0" w:rsidRDefault="00B02DF0">
      <w:r>
        <w:rPr>
          <w:color w:val="000000"/>
        </w:rPr>
        <w:separator/>
      </w:r>
    </w:p>
  </w:footnote>
  <w:footnote w:type="continuationSeparator" w:id="0">
    <w:p w14:paraId="6A3454C1" w14:textId="77777777" w:rsidR="00B02DF0" w:rsidRDefault="00B0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1922143F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A9C2E2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AEBBBD" wp14:editId="3164FECE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A61BE9" w14:textId="77777777" w:rsidR="00202DA3" w:rsidRDefault="00B02DF0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89A23E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A613B7">
            <w:rPr>
              <w:rFonts w:ascii="Arial Rounded MT Bold" w:hAnsi="Arial Rounded MT Bold"/>
            </w:rPr>
            <w:t>Cicero, De officiis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4B6F61C5" w14:textId="77777777" w:rsidR="00202DA3" w:rsidRDefault="00B02DF0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5C"/>
    <w:rsid w:val="000A6100"/>
    <w:rsid w:val="000B1C26"/>
    <w:rsid w:val="000C339D"/>
    <w:rsid w:val="00106877"/>
    <w:rsid w:val="0011066F"/>
    <w:rsid w:val="00126522"/>
    <w:rsid w:val="00145691"/>
    <w:rsid w:val="00146A66"/>
    <w:rsid w:val="00166926"/>
    <w:rsid w:val="0017647C"/>
    <w:rsid w:val="00183C37"/>
    <w:rsid w:val="001A1D2B"/>
    <w:rsid w:val="001C255C"/>
    <w:rsid w:val="00233A5B"/>
    <w:rsid w:val="00244475"/>
    <w:rsid w:val="00253FEF"/>
    <w:rsid w:val="00307B4B"/>
    <w:rsid w:val="00337058"/>
    <w:rsid w:val="00351F90"/>
    <w:rsid w:val="003A7DEC"/>
    <w:rsid w:val="003C11DC"/>
    <w:rsid w:val="003F4688"/>
    <w:rsid w:val="004548BE"/>
    <w:rsid w:val="0047788A"/>
    <w:rsid w:val="004B7822"/>
    <w:rsid w:val="005363FB"/>
    <w:rsid w:val="005B0B99"/>
    <w:rsid w:val="005B59AE"/>
    <w:rsid w:val="005D310F"/>
    <w:rsid w:val="0064466F"/>
    <w:rsid w:val="006636B4"/>
    <w:rsid w:val="00703501"/>
    <w:rsid w:val="00713F75"/>
    <w:rsid w:val="00715A15"/>
    <w:rsid w:val="00725323"/>
    <w:rsid w:val="007378B4"/>
    <w:rsid w:val="007405FE"/>
    <w:rsid w:val="007706D1"/>
    <w:rsid w:val="00777322"/>
    <w:rsid w:val="007B0B47"/>
    <w:rsid w:val="007C4648"/>
    <w:rsid w:val="00844928"/>
    <w:rsid w:val="0087372C"/>
    <w:rsid w:val="0087587A"/>
    <w:rsid w:val="00885D32"/>
    <w:rsid w:val="008867CF"/>
    <w:rsid w:val="008C2639"/>
    <w:rsid w:val="00913DD3"/>
    <w:rsid w:val="00933128"/>
    <w:rsid w:val="009423E5"/>
    <w:rsid w:val="00952F83"/>
    <w:rsid w:val="009E3034"/>
    <w:rsid w:val="00A34404"/>
    <w:rsid w:val="00A613B7"/>
    <w:rsid w:val="00A731B3"/>
    <w:rsid w:val="00B02DF0"/>
    <w:rsid w:val="00B14434"/>
    <w:rsid w:val="00B30055"/>
    <w:rsid w:val="00B447D9"/>
    <w:rsid w:val="00B87D12"/>
    <w:rsid w:val="00BA1A03"/>
    <w:rsid w:val="00C603A7"/>
    <w:rsid w:val="00D06645"/>
    <w:rsid w:val="00D5601F"/>
    <w:rsid w:val="00DF1DE7"/>
    <w:rsid w:val="00DF3B9F"/>
    <w:rsid w:val="00EB58F4"/>
    <w:rsid w:val="00F1025E"/>
    <w:rsid w:val="00F103ED"/>
    <w:rsid w:val="00F129E3"/>
    <w:rsid w:val="00F152EB"/>
    <w:rsid w:val="00F35936"/>
    <w:rsid w:val="00F44721"/>
    <w:rsid w:val="00F63340"/>
    <w:rsid w:val="00F64624"/>
    <w:rsid w:val="00F6674D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55C"/>
    <w:pPr>
      <w:spacing w:before="200" w:line="31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 w:line="259" w:lineRule="auto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 w:line="259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before="0"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  <w:spacing w:before="0" w:line="259" w:lineRule="auto"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before="0" w:line="259" w:lineRule="auto"/>
    </w:pPr>
  </w:style>
  <w:style w:type="paragraph" w:customStyle="1" w:styleId="TableContents">
    <w:name w:val="Table Contents"/>
    <w:basedOn w:val="Standard"/>
    <w:pPr>
      <w:suppressLineNumbers/>
      <w:spacing w:before="0" w:line="259" w:lineRule="auto"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before="0" w:line="259" w:lineRule="auto"/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  <w:spacing w:before="0" w:line="259" w:lineRule="auto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line="259" w:lineRule="auto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spacing w:before="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customStyle="1" w:styleId="vokangabe2">
    <w:name w:val="vokangabe2"/>
    <w:basedOn w:val="Standard"/>
    <w:link w:val="vokangabe2Zchn"/>
    <w:autoRedefine/>
    <w:qFormat/>
    <w:rsid w:val="00952F83"/>
    <w:pPr>
      <w:framePr w:hSpace="141" w:wrap="around" w:vAnchor="text" w:hAnchor="margin" w:xAlign="right" w:y="-63"/>
      <w:spacing w:before="0" w:after="80" w:line="264" w:lineRule="auto"/>
      <w:ind w:left="113" w:hanging="113"/>
    </w:pPr>
    <w:rPr>
      <w:rFonts w:ascii="Calibri" w:hAnsi="Calibri" w:cs="Calibri"/>
    </w:rPr>
  </w:style>
  <w:style w:type="character" w:customStyle="1" w:styleId="vokangabe2Zchn">
    <w:name w:val="vokangabe2 Zchn"/>
    <w:basedOn w:val="Absatz-Standardschriftart"/>
    <w:link w:val="vokangabe2"/>
    <w:rsid w:val="00952F83"/>
    <w:rPr>
      <w:rFonts w:ascii="Calibri" w:hAnsi="Calibri" w:cs="Calibri"/>
    </w:rPr>
  </w:style>
  <w:style w:type="character" w:customStyle="1" w:styleId="showbody">
    <w:name w:val="showbody"/>
    <w:basedOn w:val="Absatz-Standardschriftart"/>
    <w:rsid w:val="001C255C"/>
  </w:style>
  <w:style w:type="table" w:styleId="TabellemithellemGitternetz">
    <w:name w:val="Grid Table Light"/>
    <w:basedOn w:val="NormaleTabelle"/>
    <w:uiPriority w:val="40"/>
    <w:rsid w:val="001C2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E3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E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denken-fuehlen-und-reden/werten.html" TargetMode="External"/><Relationship Id="rId13" Type="http://schemas.openxmlformats.org/officeDocument/2006/relationships/hyperlink" Target="http://www.schule-bw.de/faecher-und-schularten/sprachen-und-literatur/latein/texte-und-medien/bilder/rezeption-antike-denkm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schule-bw.de/faecher-und-schularten/sprachen-und-literatur/latein/texte-und-medien/cicero-philosophie/de-officiis/1/de-officiis-1-18-sapientia-weishei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-bw.de/faecher-und-schularten/sprachen-und-literatur/latein/sprache/kasuslehre/kasuslehre-gesam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texte-und-medien/cicero-philosophie/de-officiis/1/de-officiis-1-15-kardinaltugend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ule-bw.de/faecher-und-schularten/sprachen-und-literatur/latein/sprache/satzlehre/partizip/ablativus-absolutus.html" TargetMode="External"/><Relationship Id="rId10" Type="http://schemas.openxmlformats.org/officeDocument/2006/relationships/hyperlink" Target="https://latin.packhum.org/loc/474/55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satzlehre/relativsaetze/relativsatz-grammatik.html" TargetMode="External"/><Relationship Id="rId14" Type="http://schemas.openxmlformats.org/officeDocument/2006/relationships/hyperlink" Target="http://www.schule-bw.de/faecher-und-schularten/sprachen-und-literatur/latein/sprache/satzlehre/relativsaetze/relativsatz-grammati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7E23-EBB3-40A4-879B-28D7B29A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959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Cicero, De officiis 1, 18</vt:lpstr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Cicero, De officiis 1, 18</dc:title>
  <dc:creator/>
  <cp:lastModifiedBy/>
  <cp:revision>1</cp:revision>
  <dcterms:created xsi:type="dcterms:W3CDTF">2019-01-04T13:00:00Z</dcterms:created>
  <dcterms:modified xsi:type="dcterms:W3CDTF">2019-05-15T16:06:00Z</dcterms:modified>
</cp:coreProperties>
</file>