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66F42" w14:textId="77777777" w:rsidR="00DA4E2A" w:rsidRPr="00690827" w:rsidRDefault="00DA4E2A" w:rsidP="00690827">
      <w:pPr>
        <w:pStyle w:val="berschrift3"/>
        <w:spacing w:before="120" w:after="0" w:line="312" w:lineRule="auto"/>
        <w:contextualSpacing/>
        <w:rPr>
          <w:color w:val="000000" w:themeColor="text1"/>
        </w:rPr>
      </w:pPr>
      <w:r w:rsidRPr="00690827">
        <w:rPr>
          <w:color w:val="000000" w:themeColor="text1"/>
        </w:rPr>
        <w:t>Cicero, De officiis 1, 20 – 23</w:t>
      </w:r>
    </w:p>
    <w:p w14:paraId="3B0729EB" w14:textId="77777777" w:rsidR="00DA4E2A" w:rsidRPr="00690827" w:rsidRDefault="00DA4E2A" w:rsidP="00690827">
      <w:pPr>
        <w:pStyle w:val="berschrift1"/>
        <w:spacing w:before="120" w:after="0" w:line="312" w:lineRule="auto"/>
        <w:contextualSpacing/>
        <w:rPr>
          <w:color w:val="000000" w:themeColor="text1"/>
        </w:rPr>
      </w:pPr>
      <w:r w:rsidRPr="00690827">
        <w:rPr>
          <w:color w:val="000000" w:themeColor="text1"/>
        </w:rPr>
        <w:t>Die Gerechtigkeit (</w:t>
      </w:r>
      <w:proofErr w:type="spellStart"/>
      <w:r w:rsidRPr="00690827">
        <w:rPr>
          <w:color w:val="000000" w:themeColor="text1"/>
        </w:rPr>
        <w:t>iustitia</w:t>
      </w:r>
      <w:proofErr w:type="spellEnd"/>
      <w:r w:rsidRPr="00690827">
        <w:rPr>
          <w:color w:val="000000" w:themeColor="text1"/>
        </w:rPr>
        <w:t>) als eine der vier Kardinaltugenden und die ethische Sicht auf das Privateigentum</w:t>
      </w:r>
    </w:p>
    <w:p w14:paraId="1CDFE86D" w14:textId="77777777" w:rsidR="00DA4E2A" w:rsidRPr="00690827" w:rsidRDefault="00DA4E2A" w:rsidP="00690827">
      <w:pPr>
        <w:pStyle w:val="lbs-dokumente"/>
        <w:spacing w:before="120" w:after="0" w:line="312" w:lineRule="auto"/>
        <w:contextualSpacing/>
        <w:rPr>
          <w:rFonts w:cs="Arial"/>
          <w:color w:val="000000" w:themeColor="text1"/>
        </w:rPr>
      </w:pPr>
      <w:r w:rsidRPr="00690827">
        <w:rPr>
          <w:rFonts w:cs="Arial"/>
          <w:color w:val="000000" w:themeColor="text1"/>
        </w:rPr>
        <w:t>Als zweite der vier Kardinaltugenden beschreibt Cicero die Gerechtigkeit (</w:t>
      </w:r>
      <w:proofErr w:type="spellStart"/>
      <w:r w:rsidRPr="00690827">
        <w:rPr>
          <w:rFonts w:cs="Arial"/>
          <w:color w:val="000000" w:themeColor="text1"/>
        </w:rPr>
        <w:t>iustitia</w:t>
      </w:r>
      <w:proofErr w:type="spellEnd"/>
      <w:r w:rsidRPr="00690827">
        <w:rPr>
          <w:rFonts w:cs="Arial"/>
          <w:color w:val="000000" w:themeColor="text1"/>
        </w:rPr>
        <w:t>), die er als die wichtigste Tugend für das Zusammenleben betrachtet.</w:t>
      </w:r>
    </w:p>
    <w:p w14:paraId="54E45F16" w14:textId="77777777" w:rsidR="00DA4E2A" w:rsidRPr="00690827" w:rsidRDefault="00DA4E2A" w:rsidP="00690827">
      <w:pPr>
        <w:pStyle w:val="lbs-dokumente"/>
        <w:spacing w:before="120" w:after="0" w:line="312" w:lineRule="auto"/>
        <w:contextualSpacing/>
        <w:rPr>
          <w:rFonts w:cs="Arial"/>
          <w:color w:val="000000" w:themeColor="text1"/>
        </w:rPr>
      </w:pPr>
      <w:r w:rsidRPr="00690827">
        <w:rPr>
          <w:rFonts w:cs="Arial"/>
          <w:color w:val="000000" w:themeColor="text1"/>
        </w:rPr>
        <w:t>Am Ende dieses Dokuments gibt es Anregungen für die Diskussion über den Text.</w:t>
      </w:r>
    </w:p>
    <w:p w14:paraId="58209F64" w14:textId="77777777" w:rsidR="00DA4E2A" w:rsidRPr="00690827" w:rsidRDefault="00DA4E2A" w:rsidP="00690827">
      <w:pPr>
        <w:pStyle w:val="lbs-dokumente"/>
        <w:spacing w:before="120" w:after="0" w:line="312" w:lineRule="auto"/>
        <w:contextualSpacing/>
        <w:jc w:val="center"/>
        <w:rPr>
          <w:rFonts w:cs="Arial"/>
          <w:color w:val="000000" w:themeColor="text1"/>
        </w:rPr>
      </w:pPr>
      <w:r w:rsidRPr="00690827">
        <w:rPr>
          <w:rFonts w:cs="Arial"/>
          <w:noProof/>
          <w:color w:val="000000" w:themeColor="text1"/>
        </w:rPr>
        <mc:AlternateContent>
          <mc:Choice Requires="wps">
            <w:drawing>
              <wp:inline distT="0" distB="0" distL="0" distR="0" wp14:anchorId="6142C45D" wp14:editId="59740617">
                <wp:extent cx="304800" cy="304800"/>
                <wp:effectExtent l="0" t="0" r="0" b="0"/>
                <wp:docPr id="3" name="Rechteck 3" descr="Figur der Iustitia (Gerechtigke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EDA8B" id="Rechteck 3" o:spid="_x0000_s1026" alt="Figur der Iustitia (Gerechtigke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Cv0wIAAOEFAAAOAAAAZHJzL2Uyb0RvYy54bWysVN9vmzAQfp+0/8Hy0/ZAgZT8AJVUbQhV&#10;pW6r1u0PcIwBq2Az2wlpp/3vO5skTdqXaRsPln1nvrvv7vNdXG7bBm2Y0lyKFIdnAUZMUFlwUaX4&#10;+7fcm2GkDREFaaRgKX5iGl/O37+76LuEjWQtm4IpBCBCJ32X4tqYLvF9TWvWEn0mOybAWUrVEgNH&#10;VfmFIj2gt40/CoKJ30tVdEpSpjVYs8GJ5w6/LBk1X8pSM4OaFENuxq3KrSu7+vMLklSKdDWnuzTI&#10;X2TREi4g6AEqI4agteJvoFpOldSyNGdUtr4sS06Z4wBswuAVm4eadMxxgeLo7lAm/f9g6efNvUK8&#10;SPE5RoK00KKvjNaG0UcEloJpCtXKebVWcFDodq0NN5ygDzdM2Yu8emTcfLSF7DudAN5Dd69sKXR3&#10;J+mjRkIuaiIqdqU7aAeIBALtTUrJvmakAEahhfBPMOxBAxpa9Z9kAamRtZGuzNtStTYGFBBtXTef&#10;Dt1kW4MoGM+DaBZAzym4dnsbgST7nzulzQ2TLbKbFAMd48DJ5k6b4er+io0lZM6bBuwkacSJATAH&#10;C4SGX63PJuH6/zMO4uVsOYu8aDRZelGQZd5Vvoi8SR5Ox9l5tlhk4S8bN4ySmhcFEzbMXoth9Ge9&#10;3r2KQUUHNWrZ8MLC2ZS0qlaLRqENgbeQu8+VHDwv1/zTNFy9gMsrSuEoCq5HsZdPZlMvyqOxF0+D&#10;mReE8XU8CaI4yvJTSndcsH+nhPoUx+PR2HXpKOlX3AL3veVGkpYb0HDD2xSDNOCzl0hiFbgUhdsb&#10;wpthf1QKm/5LKaDd+0Y7vVqJDupfyeIJ5KokyAmUB3MRNrVUzxj1MGNSrH+siWIYNbcCJB+HUWSH&#10;kjtE4+kIDurYszr2EEEBKsUGo2G7MMMgW3eKVzVECl1hhLyCZ1JyJ2H7hIasdo8L5ohjspt5dlAd&#10;n92tl8k8/w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KqHCv0wIAAOE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690827">
        <w:rPr>
          <w:rFonts w:cs="Arial"/>
          <w:noProof/>
          <w:color w:val="000000" w:themeColor="text1"/>
        </w:rPr>
        <w:drawing>
          <wp:inline distT="0" distB="0" distL="0" distR="0" wp14:anchorId="531A862F" wp14:editId="3B9A8D25">
            <wp:extent cx="2428875" cy="3238500"/>
            <wp:effectExtent l="0" t="0" r="9525" b="0"/>
            <wp:docPr id="4" name="Grafik 4" descr="Ein Bild, das Person, Gebäude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rusbrunnen-iustitia.jpg"/>
                    <pic:cNvPicPr/>
                  </pic:nvPicPr>
                  <pic:blipFill>
                    <a:blip r:embed="rId8">
                      <a:extLst>
                        <a:ext uri="{28A0092B-C50C-407E-A947-70E740481C1C}">
                          <a14:useLocalDpi xmlns:a14="http://schemas.microsoft.com/office/drawing/2010/main" val="0"/>
                        </a:ext>
                      </a:extLst>
                    </a:blip>
                    <a:stretch>
                      <a:fillRect/>
                    </a:stretch>
                  </pic:blipFill>
                  <pic:spPr>
                    <a:xfrm>
                      <a:off x="0" y="0"/>
                      <a:ext cx="2428875" cy="3238500"/>
                    </a:xfrm>
                    <a:prstGeom prst="rect">
                      <a:avLst/>
                    </a:prstGeom>
                  </pic:spPr>
                </pic:pic>
              </a:graphicData>
            </a:graphic>
          </wp:inline>
        </w:drawing>
      </w:r>
    </w:p>
    <w:p w14:paraId="300EA6A9" w14:textId="77777777" w:rsidR="00B028A4" w:rsidRDefault="00B028A4" w:rsidP="00690827">
      <w:pPr>
        <w:pStyle w:val="lbs-dokumente"/>
        <w:spacing w:before="120" w:after="0" w:line="312" w:lineRule="auto"/>
        <w:contextualSpacing/>
        <w:rPr>
          <w:rFonts w:cs="Arial"/>
          <w:color w:val="000000" w:themeColor="text1"/>
        </w:rPr>
      </w:pPr>
    </w:p>
    <w:p w14:paraId="768F9558" w14:textId="7FAD226D" w:rsidR="00DA4E2A" w:rsidRPr="00690827" w:rsidRDefault="00DA4E2A" w:rsidP="00690827">
      <w:pPr>
        <w:pStyle w:val="lbs-dokumente"/>
        <w:spacing w:before="120" w:after="0" w:line="312" w:lineRule="auto"/>
        <w:contextualSpacing/>
        <w:rPr>
          <w:rFonts w:cs="Arial"/>
          <w:color w:val="000000" w:themeColor="text1"/>
        </w:rPr>
      </w:pPr>
      <w:r w:rsidRPr="00690827">
        <w:rPr>
          <w:rFonts w:cs="Arial"/>
          <w:color w:val="000000" w:themeColor="text1"/>
        </w:rPr>
        <w:t xml:space="preserve">Die Figur der </w:t>
      </w:r>
      <w:proofErr w:type="spellStart"/>
      <w:r w:rsidRPr="00690827">
        <w:rPr>
          <w:rFonts w:cs="Arial"/>
          <w:color w:val="000000" w:themeColor="text1"/>
        </w:rPr>
        <w:t>Iustitia</w:t>
      </w:r>
      <w:proofErr w:type="spellEnd"/>
      <w:r w:rsidRPr="00690827">
        <w:rPr>
          <w:rFonts w:cs="Arial"/>
          <w:color w:val="000000" w:themeColor="text1"/>
        </w:rPr>
        <w:t xml:space="preserve"> (Gerechtigkeit) am Petrusbrunnen in Trier. Die Gerechtigkeit wird durch die Waage und das Schwert symbolisch dargestellt. Weitere Bilder und Informationen zu diesen Brunnenfiguren im Verzeichnis </w:t>
      </w:r>
      <w:hyperlink r:id="rId9" w:tgtFrame="_blank" w:history="1">
        <w:r w:rsidRPr="00A4050D">
          <w:rPr>
            <w:rStyle w:val="Hyperlink"/>
            <w:rFonts w:cs="Arial"/>
            <w:color w:val="0E57C4" w:themeColor="background2" w:themeShade="80"/>
          </w:rPr>
          <w:t>Bilder für den Lateinunterricht</w:t>
        </w:r>
      </w:hyperlink>
      <w:r w:rsidRPr="00690827">
        <w:rPr>
          <w:rFonts w:cs="Arial"/>
          <w:color w:val="000000" w:themeColor="text1"/>
        </w:rPr>
        <w:t>.</w:t>
      </w:r>
    </w:p>
    <w:p w14:paraId="7D613EE3" w14:textId="08A01F48" w:rsidR="00DA4E2A" w:rsidRDefault="00DA4E2A" w:rsidP="00690827">
      <w:pPr>
        <w:pStyle w:val="lbs-dokumente"/>
        <w:spacing w:before="120" w:after="0" w:line="312" w:lineRule="auto"/>
        <w:contextualSpacing/>
        <w:rPr>
          <w:rFonts w:cs="Arial"/>
          <w:color w:val="000000" w:themeColor="text1"/>
        </w:rPr>
      </w:pPr>
      <w:r w:rsidRPr="00690827">
        <w:rPr>
          <w:rFonts w:cs="Arial"/>
          <w:color w:val="000000" w:themeColor="text1"/>
        </w:rPr>
        <w:t>Am Ende dieses ersten Abschnitts über die Gerechtigkeit gibt Cicero eine oft zitierte Definition des Begriffs der Gerechtigkeit.</w:t>
      </w:r>
    </w:p>
    <w:p w14:paraId="01DCC415" w14:textId="0D5B1294" w:rsidR="00AA16D5" w:rsidRDefault="00AA16D5" w:rsidP="00690827">
      <w:pPr>
        <w:pStyle w:val="lbs-dokumente"/>
        <w:spacing w:before="120" w:after="0" w:line="312" w:lineRule="auto"/>
        <w:contextualSpacing/>
        <w:rPr>
          <w:rFonts w:cs="Arial"/>
          <w:color w:val="000000" w:themeColor="text1"/>
        </w:rPr>
      </w:pPr>
    </w:p>
    <w:p w14:paraId="79E46D0A" w14:textId="641EC268" w:rsidR="00AA16D5" w:rsidRDefault="00AA16D5" w:rsidP="00690827">
      <w:pPr>
        <w:pStyle w:val="lbs-dokumente"/>
        <w:spacing w:before="120" w:after="0" w:line="312" w:lineRule="auto"/>
        <w:contextualSpacing/>
        <w:rPr>
          <w:rFonts w:cs="Arial"/>
          <w:color w:val="000000" w:themeColor="text1"/>
        </w:rPr>
      </w:pPr>
      <w:r>
        <w:rPr>
          <w:rFonts w:cs="Arial"/>
          <w:color w:val="000000" w:themeColor="text1"/>
        </w:rPr>
        <w:t>*-Symbol: Zu diesem Wort gibt es in der rechten Spalte Übersetzungshinweise.</w:t>
      </w:r>
    </w:p>
    <w:p w14:paraId="068E570B" w14:textId="1DAE03C2" w:rsidR="00B028A4" w:rsidRDefault="00B028A4">
      <w:pPr>
        <w:spacing w:after="160" w:line="259" w:lineRule="auto"/>
        <w:rPr>
          <w:rFonts w:ascii="Arial" w:eastAsiaTheme="minorEastAsia" w:hAnsi="Arial" w:cs="Arial"/>
          <w:color w:val="000000" w:themeColor="text1"/>
          <w:lang w:eastAsia="zh-CN" w:bidi="hi-IN"/>
        </w:rPr>
      </w:pPr>
      <w:r>
        <w:rPr>
          <w:rFonts w:cs="Arial"/>
          <w:color w:val="000000" w:themeColor="text1"/>
        </w:rPr>
        <w:br w:type="page"/>
      </w:r>
    </w:p>
    <w:p w14:paraId="70E4B70B" w14:textId="24A59761" w:rsidR="00091551" w:rsidRPr="00690827" w:rsidRDefault="00B028A4"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lastRenderedPageBreak/>
        <w:t xml:space="preserve"> </w:t>
      </w:r>
      <w:r w:rsidR="00091551" w:rsidRPr="00690827">
        <w:rPr>
          <w:rFonts w:eastAsia="Times New Roman" w:cstheme="minorHAnsi"/>
          <w:color w:val="000000" w:themeColor="text1"/>
          <w:sz w:val="24"/>
          <w:szCs w:val="24"/>
          <w:lang w:eastAsia="de-DE"/>
        </w:rPr>
        <w:t>[1, 20]</w:t>
      </w:r>
    </w:p>
    <w:tbl>
      <w:tblPr>
        <w:tblStyle w:val="Tabellenraster"/>
        <w:tblW w:w="0" w:type="auto"/>
        <w:tblCellMar>
          <w:top w:w="85" w:type="dxa"/>
          <w:bottom w:w="85" w:type="dxa"/>
        </w:tblCellMar>
        <w:tblLook w:val="04A0" w:firstRow="1" w:lastRow="0" w:firstColumn="1" w:lastColumn="0" w:noHBand="0" w:noVBand="1"/>
      </w:tblPr>
      <w:tblGrid>
        <w:gridCol w:w="5524"/>
        <w:gridCol w:w="4104"/>
      </w:tblGrid>
      <w:tr w:rsidR="00690827" w:rsidRPr="00690827" w14:paraId="3916AE44" w14:textId="77777777" w:rsidTr="00B028A4">
        <w:trPr>
          <w:cantSplit/>
        </w:trPr>
        <w:tc>
          <w:tcPr>
            <w:tcW w:w="5524" w:type="dxa"/>
          </w:tcPr>
          <w:p w14:paraId="4CF7D5D3" w14:textId="32867B13"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De tribus autem reliquis latissime patet* ea ratio*,</w:t>
            </w:r>
          </w:p>
          <w:p w14:paraId="5AD2CDF3"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qua societas hominum inter ipsos et vitae quasi communitas continetur;</w:t>
            </w:r>
          </w:p>
          <w:p w14:paraId="6433DC5C" w14:textId="6C2C4CC2"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cuius partes* duae:</w:t>
            </w:r>
          </w:p>
          <w:p w14:paraId="3499A3A4"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iustitia,</w:t>
            </w:r>
          </w:p>
          <w:p w14:paraId="0527ABD7"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in qua virtutis splendor est maximus,</w:t>
            </w:r>
          </w:p>
          <w:p w14:paraId="5DF801BD" w14:textId="7A89ABE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ex qua* viri boni nominantur,</w:t>
            </w:r>
          </w:p>
          <w:p w14:paraId="0E679711"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et huic coniuncta beneficentia,</w:t>
            </w:r>
          </w:p>
          <w:p w14:paraId="2A9600E8" w14:textId="12BF59EF"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quam* eandem</w:t>
            </w:r>
            <w:r w:rsidR="00607879">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vel benignitatem vel liberalitatem appellari licet.</w:t>
            </w:r>
          </w:p>
        </w:tc>
        <w:tc>
          <w:tcPr>
            <w:tcW w:w="4104" w:type="dxa"/>
          </w:tcPr>
          <w:p w14:paraId="0EB5F148" w14:textId="77777777" w:rsidR="00D161D0" w:rsidRPr="00690827" w:rsidRDefault="00D161D0" w:rsidP="007967AE">
            <w:pPr>
              <w:pStyle w:val="vokangabe2"/>
              <w:rPr>
                <w:lang w:eastAsia="de-DE"/>
              </w:rPr>
            </w:pPr>
            <w:proofErr w:type="spellStart"/>
            <w:r w:rsidRPr="00690827">
              <w:rPr>
                <w:lang w:eastAsia="de-DE"/>
              </w:rPr>
              <w:t>patēre</w:t>
            </w:r>
            <w:proofErr w:type="spellEnd"/>
            <w:r w:rsidRPr="00690827">
              <w:rPr>
                <w:lang w:eastAsia="de-DE"/>
              </w:rPr>
              <w:t xml:space="preserve">, </w:t>
            </w:r>
            <w:proofErr w:type="spellStart"/>
            <w:r w:rsidRPr="00690827">
              <w:rPr>
                <w:lang w:eastAsia="de-DE"/>
              </w:rPr>
              <w:t>pateō</w:t>
            </w:r>
            <w:proofErr w:type="spellEnd"/>
            <w:r w:rsidRPr="00690827">
              <w:rPr>
                <w:lang w:eastAsia="de-DE"/>
              </w:rPr>
              <w:t xml:space="preserve">, </w:t>
            </w:r>
            <w:proofErr w:type="spellStart"/>
            <w:r w:rsidRPr="00690827">
              <w:rPr>
                <w:lang w:eastAsia="de-DE"/>
              </w:rPr>
              <w:t>patuī</w:t>
            </w:r>
            <w:proofErr w:type="spellEnd"/>
            <w:r w:rsidRPr="00690827">
              <w:rPr>
                <w:lang w:eastAsia="de-DE"/>
              </w:rPr>
              <w:t xml:space="preserve"> (kein PPP.): einen weiten Spielraum haben, offenstehen; </w:t>
            </w:r>
            <w:proofErr w:type="spellStart"/>
            <w:r w:rsidRPr="00690827">
              <w:rPr>
                <w:lang w:eastAsia="de-DE"/>
              </w:rPr>
              <w:t>latē</w:t>
            </w:r>
            <w:proofErr w:type="spellEnd"/>
            <w:r w:rsidRPr="00690827">
              <w:rPr>
                <w:lang w:eastAsia="de-DE"/>
              </w:rPr>
              <w:t xml:space="preserve"> </w:t>
            </w:r>
            <w:proofErr w:type="spellStart"/>
            <w:r w:rsidRPr="00690827">
              <w:rPr>
                <w:lang w:eastAsia="de-DE"/>
              </w:rPr>
              <w:t>patēre</w:t>
            </w:r>
            <w:proofErr w:type="spellEnd"/>
            <w:r w:rsidRPr="00690827">
              <w:rPr>
                <w:lang w:eastAsia="de-DE"/>
              </w:rPr>
              <w:t>: von Bedeutung sein</w:t>
            </w:r>
          </w:p>
          <w:p w14:paraId="74F5FFEA" w14:textId="77777777" w:rsidR="00D161D0" w:rsidRPr="00690827" w:rsidRDefault="00D161D0" w:rsidP="007967AE">
            <w:pPr>
              <w:pStyle w:val="vokangabe2"/>
              <w:rPr>
                <w:lang w:eastAsia="de-DE"/>
              </w:rPr>
            </w:pPr>
            <w:proofErr w:type="spellStart"/>
            <w:r w:rsidRPr="00690827">
              <w:rPr>
                <w:lang w:eastAsia="de-DE"/>
              </w:rPr>
              <w:t>ratiō</w:t>
            </w:r>
            <w:proofErr w:type="spellEnd"/>
            <w:r w:rsidRPr="00690827">
              <w:rPr>
                <w:lang w:eastAsia="de-DE"/>
              </w:rPr>
              <w:t xml:space="preserve">, </w:t>
            </w:r>
            <w:proofErr w:type="spellStart"/>
            <w:r w:rsidRPr="00690827">
              <w:rPr>
                <w:lang w:eastAsia="de-DE"/>
              </w:rPr>
              <w:t>ratiōnis</w:t>
            </w:r>
            <w:proofErr w:type="spellEnd"/>
            <w:r w:rsidRPr="00690827">
              <w:rPr>
                <w:lang w:eastAsia="de-DE"/>
              </w:rPr>
              <w:t>, f.: die Lebenshaltung, die Lebensform. Der Bedeutungsanteil "Vernunft" klingt in diesem Wort noch an.</w:t>
            </w:r>
          </w:p>
          <w:p w14:paraId="1C67AD05" w14:textId="77777777" w:rsidR="00D161D0" w:rsidRPr="00690827" w:rsidRDefault="00D161D0" w:rsidP="007967AE">
            <w:pPr>
              <w:pStyle w:val="vokangabe2"/>
              <w:rPr>
                <w:color w:val="000000" w:themeColor="text1"/>
                <w:lang w:eastAsia="de-DE"/>
              </w:rPr>
            </w:pPr>
            <w:r w:rsidRPr="00690827">
              <w:rPr>
                <w:color w:val="000000" w:themeColor="text1"/>
                <w:lang w:eastAsia="de-DE"/>
              </w:rPr>
              <w:t xml:space="preserve">cuius </w:t>
            </w:r>
            <w:proofErr w:type="spellStart"/>
            <w:r w:rsidRPr="00690827">
              <w:rPr>
                <w:color w:val="000000" w:themeColor="text1"/>
                <w:lang w:eastAsia="de-DE"/>
              </w:rPr>
              <w:t>partes</w:t>
            </w:r>
            <w:proofErr w:type="spellEnd"/>
            <w:r w:rsidRPr="00690827">
              <w:rPr>
                <w:color w:val="000000" w:themeColor="text1"/>
                <w:lang w:eastAsia="de-DE"/>
              </w:rPr>
              <w:t xml:space="preserve">: </w:t>
            </w:r>
            <w:hyperlink r:id="rId10" w:anchor="relativischersatzanschluss" w:tgtFrame="_blank" w:history="1">
              <w:r w:rsidRPr="00A4050D">
                <w:rPr>
                  <w:color w:val="0E57C4" w:themeColor="background2" w:themeShade="80"/>
                  <w:u w:val="single"/>
                  <w:lang w:eastAsia="de-DE"/>
                </w:rPr>
                <w:t>Relativischer Satzanschluss</w:t>
              </w:r>
            </w:hyperlink>
            <w:r w:rsidRPr="00690827">
              <w:rPr>
                <w:color w:val="000000" w:themeColor="text1"/>
                <w:lang w:eastAsia="de-DE"/>
              </w:rPr>
              <w:t xml:space="preserve">. Ergänzen Sie </w:t>
            </w:r>
            <w:proofErr w:type="spellStart"/>
            <w:r w:rsidRPr="00690827">
              <w:rPr>
                <w:i/>
                <w:iCs/>
                <w:color w:val="000000" w:themeColor="text1"/>
                <w:lang w:eastAsia="de-DE"/>
              </w:rPr>
              <w:t>sunt</w:t>
            </w:r>
            <w:proofErr w:type="spellEnd"/>
            <w:r w:rsidRPr="00690827">
              <w:rPr>
                <w:color w:val="000000" w:themeColor="text1"/>
                <w:lang w:eastAsia="de-DE"/>
              </w:rPr>
              <w:t>.</w:t>
            </w:r>
          </w:p>
          <w:p w14:paraId="506559C7" w14:textId="77777777" w:rsidR="00D161D0" w:rsidRPr="00690827" w:rsidRDefault="00D161D0" w:rsidP="007967AE">
            <w:pPr>
              <w:pStyle w:val="vokangabe2"/>
              <w:rPr>
                <w:lang w:eastAsia="de-DE"/>
              </w:rPr>
            </w:pPr>
            <w:r w:rsidRPr="00690827">
              <w:rPr>
                <w:b/>
                <w:bCs/>
                <w:lang w:eastAsia="de-DE"/>
              </w:rPr>
              <w:t>ex</w:t>
            </w:r>
            <w:r w:rsidRPr="00690827">
              <w:rPr>
                <w:lang w:eastAsia="de-DE"/>
              </w:rPr>
              <w:t xml:space="preserve"> qua </w:t>
            </w:r>
            <w:proofErr w:type="spellStart"/>
            <w:r w:rsidRPr="00690827">
              <w:rPr>
                <w:lang w:eastAsia="de-DE"/>
              </w:rPr>
              <w:t>viri</w:t>
            </w:r>
            <w:proofErr w:type="spellEnd"/>
            <w:r w:rsidRPr="00690827">
              <w:rPr>
                <w:lang w:eastAsia="de-DE"/>
              </w:rPr>
              <w:t xml:space="preserve"> </w:t>
            </w:r>
            <w:proofErr w:type="spellStart"/>
            <w:r w:rsidRPr="00690827">
              <w:rPr>
                <w:lang w:eastAsia="de-DE"/>
              </w:rPr>
              <w:t>boni</w:t>
            </w:r>
            <w:proofErr w:type="spellEnd"/>
            <w:r w:rsidRPr="00690827">
              <w:rPr>
                <w:lang w:eastAsia="de-DE"/>
              </w:rPr>
              <w:t xml:space="preserve"> </w:t>
            </w:r>
            <w:proofErr w:type="spellStart"/>
            <w:r w:rsidRPr="00690827">
              <w:rPr>
                <w:lang w:eastAsia="de-DE"/>
              </w:rPr>
              <w:t>nominantur</w:t>
            </w:r>
            <w:proofErr w:type="spellEnd"/>
            <w:r w:rsidRPr="00690827">
              <w:rPr>
                <w:lang w:eastAsia="de-DE"/>
              </w:rPr>
              <w:t xml:space="preserve">: </w:t>
            </w:r>
            <w:r w:rsidRPr="00690827">
              <w:rPr>
                <w:b/>
                <w:bCs/>
                <w:lang w:eastAsia="de-DE"/>
              </w:rPr>
              <w:t>nach</w:t>
            </w:r>
            <w:r w:rsidRPr="00690827">
              <w:rPr>
                <w:lang w:eastAsia="de-DE"/>
              </w:rPr>
              <w:t xml:space="preserve"> der ...</w:t>
            </w:r>
          </w:p>
          <w:p w14:paraId="5B3213A3" w14:textId="433BB590" w:rsidR="00D161D0" w:rsidRPr="00690827" w:rsidRDefault="00D161D0" w:rsidP="007967AE">
            <w:pPr>
              <w:pStyle w:val="vokangabe2"/>
              <w:rPr>
                <w:color w:val="000000" w:themeColor="text1"/>
                <w:lang w:eastAsia="de-DE"/>
              </w:rPr>
            </w:pPr>
            <w:r w:rsidRPr="00690827">
              <w:rPr>
                <w:color w:val="000000" w:themeColor="text1"/>
                <w:lang w:eastAsia="de-DE"/>
              </w:rPr>
              <w:t xml:space="preserve">quam ... licet: </w:t>
            </w:r>
            <w:hyperlink r:id="rId11" w:anchor="vr" w:tgtFrame="_blank" w:history="1">
              <w:r w:rsidRPr="00A4050D">
                <w:rPr>
                  <w:color w:val="0E57C4" w:themeColor="background2" w:themeShade="80"/>
                  <w:u w:val="single"/>
                  <w:lang w:eastAsia="de-DE"/>
                </w:rPr>
                <w:t>relativische Verschränkung</w:t>
              </w:r>
            </w:hyperlink>
            <w:r w:rsidRPr="00A4050D">
              <w:rPr>
                <w:color w:val="0E57C4" w:themeColor="background2" w:themeShade="80"/>
                <w:lang w:eastAsia="de-DE"/>
              </w:rPr>
              <w:t xml:space="preserve"> </w:t>
            </w:r>
            <w:r w:rsidRPr="00690827">
              <w:rPr>
                <w:color w:val="000000" w:themeColor="text1"/>
                <w:lang w:eastAsia="de-DE"/>
              </w:rPr>
              <w:t xml:space="preserve">mit einem AcI, der von </w:t>
            </w:r>
            <w:r w:rsidRPr="00690827">
              <w:rPr>
                <w:i/>
                <w:iCs/>
                <w:color w:val="000000" w:themeColor="text1"/>
                <w:lang w:eastAsia="de-DE"/>
              </w:rPr>
              <w:t>licet</w:t>
            </w:r>
            <w:r w:rsidRPr="00690827">
              <w:rPr>
                <w:color w:val="000000" w:themeColor="text1"/>
                <w:lang w:eastAsia="de-DE"/>
              </w:rPr>
              <w:t xml:space="preserve"> (es ist erlaubt) abhängt. Eine wörtliche Übersetzung ist unmöglich; Sie können diese Übersetzung wählen: </w:t>
            </w:r>
            <w:proofErr w:type="gramStart"/>
            <w:r w:rsidRPr="00690827">
              <w:rPr>
                <w:color w:val="000000" w:themeColor="text1"/>
                <w:lang w:eastAsia="de-DE"/>
              </w:rPr>
              <w:t>„ ...</w:t>
            </w:r>
            <w:proofErr w:type="gramEnd"/>
            <w:r w:rsidRPr="00690827">
              <w:rPr>
                <w:color w:val="000000" w:themeColor="text1"/>
                <w:lang w:eastAsia="de-DE"/>
              </w:rPr>
              <w:t>, die man ... nennen darf.“</w:t>
            </w:r>
          </w:p>
          <w:p w14:paraId="57AD9414" w14:textId="2B284715" w:rsidR="00D161D0" w:rsidRPr="00690827" w:rsidRDefault="00D161D0" w:rsidP="007967AE">
            <w:pPr>
              <w:pStyle w:val="vokangabe2"/>
              <w:rPr>
                <w:rFonts w:eastAsia="Times New Roman" w:cstheme="minorHAnsi"/>
                <w:sz w:val="24"/>
                <w:szCs w:val="24"/>
                <w:lang w:eastAsia="de-DE"/>
              </w:rPr>
            </w:pPr>
            <w:proofErr w:type="spellStart"/>
            <w:r w:rsidRPr="00690827">
              <w:rPr>
                <w:lang w:eastAsia="de-DE"/>
              </w:rPr>
              <w:t>eandem</w:t>
            </w:r>
            <w:proofErr w:type="spellEnd"/>
            <w:r w:rsidRPr="00690827">
              <w:rPr>
                <w:lang w:eastAsia="de-DE"/>
              </w:rPr>
              <w:t>: ebenso</w:t>
            </w:r>
          </w:p>
        </w:tc>
      </w:tr>
      <w:tr w:rsidR="00690827" w:rsidRPr="00690827" w14:paraId="52E0238F" w14:textId="77777777" w:rsidTr="00B028A4">
        <w:trPr>
          <w:cantSplit/>
        </w:trPr>
        <w:tc>
          <w:tcPr>
            <w:tcW w:w="5524" w:type="dxa"/>
          </w:tcPr>
          <w:p w14:paraId="022E335D" w14:textId="4D8821DC"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Sed iustitiae primum munus</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est,</w:t>
            </w:r>
          </w:p>
          <w:p w14:paraId="417524DE" w14:textId="7A87C0F9"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ne cui quis</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noceat,</w:t>
            </w:r>
          </w:p>
          <w:p w14:paraId="46142753" w14:textId="1DFCBF40"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nisi lacessitus</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iniuriā,</w:t>
            </w:r>
          </w:p>
          <w:p w14:paraId="362828DE" w14:textId="4502F84F"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deinde ut communibus pro communibus</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utatur, privatis ut suis.</w:t>
            </w:r>
          </w:p>
        </w:tc>
        <w:tc>
          <w:tcPr>
            <w:tcW w:w="4104" w:type="dxa"/>
          </w:tcPr>
          <w:p w14:paraId="7350EBB7" w14:textId="77777777" w:rsidR="00D161D0" w:rsidRPr="00690827" w:rsidRDefault="00D161D0" w:rsidP="007967AE">
            <w:pPr>
              <w:pStyle w:val="vokangabe2"/>
              <w:rPr>
                <w:lang w:eastAsia="de-DE"/>
              </w:rPr>
            </w:pPr>
            <w:proofErr w:type="spellStart"/>
            <w:r w:rsidRPr="00690827">
              <w:rPr>
                <w:lang w:eastAsia="de-DE"/>
              </w:rPr>
              <w:t>mūnus</w:t>
            </w:r>
            <w:proofErr w:type="spellEnd"/>
            <w:r w:rsidRPr="00690827">
              <w:rPr>
                <w:lang w:eastAsia="de-DE"/>
              </w:rPr>
              <w:t xml:space="preserve">, </w:t>
            </w:r>
            <w:proofErr w:type="spellStart"/>
            <w:r w:rsidRPr="00690827">
              <w:rPr>
                <w:lang w:eastAsia="de-DE"/>
              </w:rPr>
              <w:t>mūneris</w:t>
            </w:r>
            <w:proofErr w:type="spellEnd"/>
            <w:r w:rsidRPr="00690827">
              <w:rPr>
                <w:lang w:eastAsia="de-DE"/>
              </w:rPr>
              <w:t>, n.: die Aufgabe</w:t>
            </w:r>
          </w:p>
          <w:p w14:paraId="026FAE9D" w14:textId="2B7B4C92" w:rsidR="00D161D0" w:rsidRPr="00690827" w:rsidRDefault="00D161D0" w:rsidP="007967AE">
            <w:pPr>
              <w:pStyle w:val="vokangabe2"/>
              <w:rPr>
                <w:lang w:eastAsia="de-DE"/>
              </w:rPr>
            </w:pPr>
            <w:r w:rsidRPr="00690827">
              <w:rPr>
                <w:lang w:eastAsia="de-DE"/>
              </w:rPr>
              <w:t xml:space="preserve">ne </w:t>
            </w:r>
            <w:proofErr w:type="spellStart"/>
            <w:r w:rsidRPr="00690827">
              <w:rPr>
                <w:lang w:eastAsia="de-DE"/>
              </w:rPr>
              <w:t>cui</w:t>
            </w:r>
            <w:proofErr w:type="spellEnd"/>
            <w:r w:rsidRPr="00690827">
              <w:rPr>
                <w:lang w:eastAsia="de-DE"/>
              </w:rPr>
              <w:t xml:space="preserve"> </w:t>
            </w:r>
            <w:proofErr w:type="spellStart"/>
            <w:r w:rsidRPr="00690827">
              <w:rPr>
                <w:lang w:eastAsia="de-DE"/>
              </w:rPr>
              <w:t>quis</w:t>
            </w:r>
            <w:proofErr w:type="spellEnd"/>
            <w:r w:rsidRPr="00690827">
              <w:rPr>
                <w:lang w:eastAsia="de-DE"/>
              </w:rPr>
              <w:t xml:space="preserve">: Nach der Subjunktion </w:t>
            </w:r>
            <w:proofErr w:type="spellStart"/>
            <w:r w:rsidRPr="00690827">
              <w:rPr>
                <w:i/>
                <w:iCs/>
                <w:lang w:eastAsia="de-DE"/>
              </w:rPr>
              <w:t>ut</w:t>
            </w:r>
            <w:proofErr w:type="spellEnd"/>
            <w:r w:rsidRPr="00690827">
              <w:rPr>
                <w:i/>
                <w:iCs/>
                <w:lang w:eastAsia="de-DE"/>
              </w:rPr>
              <w:t xml:space="preserve"> ne</w:t>
            </w:r>
            <w:r w:rsidRPr="00690827">
              <w:rPr>
                <w:lang w:eastAsia="de-DE"/>
              </w:rPr>
              <w:t xml:space="preserve"> (</w:t>
            </w:r>
            <w:proofErr w:type="gramStart"/>
            <w:r w:rsidR="001D28D8">
              <w:rPr>
                <w:lang w:eastAsia="de-DE"/>
              </w:rPr>
              <w:t>„</w:t>
            </w:r>
            <w:proofErr w:type="spellStart"/>
            <w:proofErr w:type="gramEnd"/>
            <w:r w:rsidRPr="00690827">
              <w:rPr>
                <w:lang w:eastAsia="de-DE"/>
              </w:rPr>
              <w:t>dass</w:t>
            </w:r>
            <w:proofErr w:type="spellEnd"/>
            <w:r w:rsidRPr="00690827">
              <w:rPr>
                <w:lang w:eastAsia="de-DE"/>
              </w:rPr>
              <w:t xml:space="preserve"> nicht</w:t>
            </w:r>
            <w:r w:rsidR="001D28D8">
              <w:rPr>
                <w:lang w:eastAsia="de-DE"/>
              </w:rPr>
              <w:t>“</w:t>
            </w:r>
            <w:r w:rsidRPr="00690827">
              <w:rPr>
                <w:lang w:eastAsia="de-DE"/>
              </w:rPr>
              <w:t xml:space="preserve">; </w:t>
            </w:r>
            <w:r w:rsidR="00E926E1">
              <w:rPr>
                <w:lang w:eastAsia="de-DE"/>
              </w:rPr>
              <w:t>Final</w:t>
            </w:r>
            <w:r w:rsidRPr="00690827">
              <w:rPr>
                <w:lang w:eastAsia="de-DE"/>
              </w:rPr>
              <w:t xml:space="preserve">satz) fällt beim Indefinitpronomen </w:t>
            </w:r>
            <w:proofErr w:type="spellStart"/>
            <w:r w:rsidRPr="00690827">
              <w:rPr>
                <w:i/>
                <w:iCs/>
                <w:lang w:eastAsia="de-DE"/>
              </w:rPr>
              <w:t>aliquis</w:t>
            </w:r>
            <w:proofErr w:type="spellEnd"/>
            <w:r w:rsidRPr="00690827">
              <w:rPr>
                <w:lang w:eastAsia="de-DE"/>
              </w:rPr>
              <w:t xml:space="preserve"> die Vorsilbe </w:t>
            </w:r>
            <w:proofErr w:type="spellStart"/>
            <w:r w:rsidRPr="00690827">
              <w:rPr>
                <w:i/>
                <w:iCs/>
                <w:lang w:eastAsia="de-DE"/>
              </w:rPr>
              <w:t>ali</w:t>
            </w:r>
            <w:proofErr w:type="spellEnd"/>
            <w:r w:rsidRPr="00690827">
              <w:rPr>
                <w:i/>
                <w:iCs/>
                <w:lang w:eastAsia="de-DE"/>
              </w:rPr>
              <w:t>-</w:t>
            </w:r>
            <w:r w:rsidRPr="00690827">
              <w:rPr>
                <w:lang w:eastAsia="de-DE"/>
              </w:rPr>
              <w:t xml:space="preserve"> weg. Also bedeuten die beiden Formen </w:t>
            </w:r>
            <w:proofErr w:type="spellStart"/>
            <w:r w:rsidRPr="00690827">
              <w:rPr>
                <w:i/>
                <w:iCs/>
                <w:lang w:eastAsia="de-DE"/>
              </w:rPr>
              <w:t>cui</w:t>
            </w:r>
            <w:proofErr w:type="spellEnd"/>
            <w:r w:rsidRPr="00690827">
              <w:rPr>
                <w:lang w:eastAsia="de-DE"/>
              </w:rPr>
              <w:t xml:space="preserve"> und </w:t>
            </w:r>
            <w:proofErr w:type="spellStart"/>
            <w:r w:rsidRPr="00690827">
              <w:rPr>
                <w:i/>
                <w:iCs/>
                <w:lang w:eastAsia="de-DE"/>
              </w:rPr>
              <w:t>quis</w:t>
            </w:r>
            <w:proofErr w:type="spellEnd"/>
            <w:r w:rsidRPr="00690827">
              <w:rPr>
                <w:lang w:eastAsia="de-DE"/>
              </w:rPr>
              <w:t xml:space="preserve"> </w:t>
            </w:r>
            <w:r w:rsidR="00607879">
              <w:rPr>
                <w:lang w:eastAsia="de-DE"/>
              </w:rPr>
              <w:t>„</w:t>
            </w:r>
            <w:r w:rsidRPr="00607879">
              <w:rPr>
                <w:lang w:eastAsia="de-DE"/>
              </w:rPr>
              <w:t>jemand</w:t>
            </w:r>
            <w:r w:rsidR="00607879">
              <w:rPr>
                <w:lang w:eastAsia="de-DE"/>
              </w:rPr>
              <w:t>“</w:t>
            </w:r>
            <w:r w:rsidRPr="00690827">
              <w:rPr>
                <w:lang w:eastAsia="de-DE"/>
              </w:rPr>
              <w:t xml:space="preserve">. Siehe auch zur Deklination von </w:t>
            </w:r>
            <w:proofErr w:type="spellStart"/>
            <w:r w:rsidRPr="00690827">
              <w:rPr>
                <w:lang w:eastAsia="de-DE"/>
              </w:rPr>
              <w:t>aliquis</w:t>
            </w:r>
            <w:proofErr w:type="spellEnd"/>
            <w:r w:rsidRPr="00690827">
              <w:rPr>
                <w:lang w:eastAsia="de-DE"/>
              </w:rPr>
              <w:t xml:space="preserve">: </w:t>
            </w:r>
            <w:hyperlink r:id="rId12" w:anchor="117" w:tgtFrame="_blank" w:history="1">
              <w:proofErr w:type="spellStart"/>
              <w:r w:rsidRPr="00A4050D">
                <w:rPr>
                  <w:color w:val="0E57C4" w:themeColor="background2" w:themeShade="80"/>
                  <w:u w:val="single"/>
                  <w:lang w:eastAsia="de-DE"/>
                </w:rPr>
                <w:t>Indefinitpronomina</w:t>
              </w:r>
              <w:proofErr w:type="spellEnd"/>
            </w:hyperlink>
            <w:r w:rsidRPr="00690827">
              <w:rPr>
                <w:lang w:eastAsia="de-DE"/>
              </w:rPr>
              <w:t>, mit weiteren Angaben.</w:t>
            </w:r>
          </w:p>
          <w:p w14:paraId="118A7C81" w14:textId="77777777" w:rsidR="00D161D0" w:rsidRPr="00690827" w:rsidRDefault="00D161D0" w:rsidP="007967AE">
            <w:pPr>
              <w:pStyle w:val="vokangabe2"/>
              <w:rPr>
                <w:lang w:eastAsia="de-DE"/>
              </w:rPr>
            </w:pPr>
            <w:proofErr w:type="spellStart"/>
            <w:r w:rsidRPr="00690827">
              <w:rPr>
                <w:lang w:eastAsia="de-DE"/>
              </w:rPr>
              <w:t>lacessere</w:t>
            </w:r>
            <w:proofErr w:type="spellEnd"/>
            <w:r w:rsidRPr="00690827">
              <w:rPr>
                <w:lang w:eastAsia="de-DE"/>
              </w:rPr>
              <w:t xml:space="preserve">, </w:t>
            </w:r>
            <w:proofErr w:type="spellStart"/>
            <w:r w:rsidRPr="00690827">
              <w:rPr>
                <w:lang w:eastAsia="de-DE"/>
              </w:rPr>
              <w:t>lacessō</w:t>
            </w:r>
            <w:proofErr w:type="spellEnd"/>
            <w:r w:rsidRPr="00690827">
              <w:rPr>
                <w:lang w:eastAsia="de-DE"/>
              </w:rPr>
              <w:t xml:space="preserve">, </w:t>
            </w:r>
            <w:proofErr w:type="spellStart"/>
            <w:r w:rsidRPr="00690827">
              <w:rPr>
                <w:lang w:eastAsia="de-DE"/>
              </w:rPr>
              <w:t>lacessīvī</w:t>
            </w:r>
            <w:proofErr w:type="spellEnd"/>
            <w:r w:rsidRPr="00690827">
              <w:rPr>
                <w:lang w:eastAsia="de-DE"/>
              </w:rPr>
              <w:t xml:space="preserve">, </w:t>
            </w:r>
            <w:proofErr w:type="spellStart"/>
            <w:r w:rsidRPr="00690827">
              <w:rPr>
                <w:lang w:eastAsia="de-DE"/>
              </w:rPr>
              <w:t>lacessītum</w:t>
            </w:r>
            <w:proofErr w:type="spellEnd"/>
            <w:r w:rsidRPr="00690827">
              <w:rPr>
                <w:lang w:eastAsia="de-DE"/>
              </w:rPr>
              <w:t>: reizen</w:t>
            </w:r>
          </w:p>
          <w:p w14:paraId="3DB48F09" w14:textId="0703C355" w:rsidR="00D161D0" w:rsidRPr="00690827" w:rsidRDefault="00D161D0" w:rsidP="007967AE">
            <w:pPr>
              <w:pStyle w:val="vokangabe2"/>
              <w:rPr>
                <w:rFonts w:eastAsia="Times New Roman" w:cstheme="minorHAnsi"/>
                <w:sz w:val="24"/>
                <w:szCs w:val="24"/>
                <w:lang w:eastAsia="de-DE"/>
              </w:rPr>
            </w:pPr>
            <w:proofErr w:type="spellStart"/>
            <w:r w:rsidRPr="00690827">
              <w:rPr>
                <w:lang w:eastAsia="de-DE"/>
              </w:rPr>
              <w:t>communibus</w:t>
            </w:r>
            <w:proofErr w:type="spellEnd"/>
            <w:r w:rsidRPr="00690827">
              <w:rPr>
                <w:lang w:eastAsia="de-DE"/>
              </w:rPr>
              <w:t>/</w:t>
            </w:r>
            <w:proofErr w:type="spellStart"/>
            <w:r w:rsidRPr="00690827">
              <w:rPr>
                <w:lang w:eastAsia="de-DE"/>
              </w:rPr>
              <w:t>privatis</w:t>
            </w:r>
            <w:proofErr w:type="spellEnd"/>
            <w:r w:rsidRPr="00690827">
              <w:rPr>
                <w:lang w:eastAsia="de-DE"/>
              </w:rPr>
              <w:t>: beide Adjektive werden hier substantivisch und im Neutrum Plural verwendet. Sie können die Übersetzung „gemeinsame/private Dinge“ oder „Gemeinbesitz/Privatbesitz“ wählen</w:t>
            </w:r>
            <w:r w:rsidR="00607879">
              <w:rPr>
                <w:lang w:eastAsia="de-DE"/>
              </w:rPr>
              <w:t xml:space="preserve"> </w:t>
            </w:r>
            <w:r w:rsidR="00607879">
              <w:t>(im Deutschen Singular statt dem lateinischen Plural)</w:t>
            </w:r>
            <w:r w:rsidRPr="00690827">
              <w:rPr>
                <w:lang w:eastAsia="de-DE"/>
              </w:rPr>
              <w:t>.</w:t>
            </w:r>
          </w:p>
        </w:tc>
      </w:tr>
    </w:tbl>
    <w:p w14:paraId="63CF99B1" w14:textId="77777777" w:rsidR="007967AE" w:rsidRDefault="007967AE" w:rsidP="00690827">
      <w:pPr>
        <w:spacing w:before="120" w:after="0" w:line="312" w:lineRule="auto"/>
        <w:contextualSpacing/>
        <w:rPr>
          <w:rFonts w:eastAsia="Times New Roman" w:cstheme="minorHAnsi"/>
          <w:color w:val="000000" w:themeColor="text1"/>
          <w:sz w:val="24"/>
          <w:szCs w:val="24"/>
          <w:lang w:eastAsia="de-DE"/>
        </w:rPr>
      </w:pPr>
    </w:p>
    <w:p w14:paraId="78BB1C4D" w14:textId="77777777" w:rsidR="00E926E1" w:rsidRDefault="00E926E1">
      <w:pPr>
        <w:spacing w:after="160" w:line="259" w:lineRule="auto"/>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br w:type="page"/>
      </w:r>
    </w:p>
    <w:p w14:paraId="63561B63" w14:textId="3435383C" w:rsidR="00091551" w:rsidRPr="00690827" w:rsidRDefault="00091551"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lastRenderedPageBreak/>
        <w:t>Im folgenden Absatz behandelt Cicero die Entstehung des Privateigentums und dessen Beziehung zur Gerechtigkeit, die Bindung des Privateigentums an das Gemeinwohl.</w:t>
      </w:r>
    </w:p>
    <w:p w14:paraId="34D370CA" w14:textId="77777777" w:rsidR="00D161D0" w:rsidRPr="00690827" w:rsidRDefault="00091551"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[1, 21]</w:t>
      </w:r>
    </w:p>
    <w:tbl>
      <w:tblPr>
        <w:tblStyle w:val="Tabellenraster"/>
        <w:tblW w:w="0" w:type="auto"/>
        <w:tblCellMar>
          <w:top w:w="113" w:type="dxa"/>
          <w:bottom w:w="113" w:type="dxa"/>
        </w:tblCellMar>
        <w:tblLook w:val="04A0" w:firstRow="1" w:lastRow="0" w:firstColumn="1" w:lastColumn="0" w:noHBand="0" w:noVBand="1"/>
      </w:tblPr>
      <w:tblGrid>
        <w:gridCol w:w="4814"/>
        <w:gridCol w:w="4814"/>
      </w:tblGrid>
      <w:tr w:rsidR="00690827" w:rsidRPr="00690827" w14:paraId="00937710" w14:textId="77777777" w:rsidTr="00690827">
        <w:trPr>
          <w:cantSplit/>
        </w:trPr>
        <w:tc>
          <w:tcPr>
            <w:tcW w:w="4814" w:type="dxa"/>
          </w:tcPr>
          <w:p w14:paraId="76B51756" w14:textId="683698C8"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Sunt autem privata</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nulla naturā, sed aut vetere occupatione</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w:t>
            </w:r>
          </w:p>
          <w:p w14:paraId="1C4D32AF" w14:textId="60BB3B9B"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qui</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quondam in vacua</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venerunt,</w:t>
            </w:r>
          </w:p>
          <w:p w14:paraId="589E218A"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aut victoria,</w:t>
            </w:r>
          </w:p>
          <w:p w14:paraId="45798D4A" w14:textId="09EA8C5E"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qui bello potiti</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xml:space="preserve"> sunt,</w:t>
            </w:r>
          </w:p>
          <w:p w14:paraId="7BF4A63C" w14:textId="34340449"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aut lege, pactione</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condicione</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 sorte</w:t>
            </w:r>
            <w:r w:rsidR="007967AE">
              <w:rPr>
                <w:rFonts w:eastAsia="Times New Roman" w:cstheme="minorHAnsi"/>
                <w:color w:val="000000" w:themeColor="text1"/>
                <w:sz w:val="24"/>
                <w:szCs w:val="24"/>
                <w:lang w:eastAsia="de-DE"/>
              </w:rPr>
              <w:t>*</w:t>
            </w:r>
            <w:r w:rsidRPr="00690827">
              <w:rPr>
                <w:rFonts w:eastAsia="Times New Roman" w:cstheme="minorHAnsi"/>
                <w:color w:val="000000" w:themeColor="text1"/>
                <w:sz w:val="24"/>
                <w:szCs w:val="24"/>
                <w:lang w:val="la-Latn" w:eastAsia="de-DE"/>
              </w:rPr>
              <w:t>;</w:t>
            </w:r>
          </w:p>
        </w:tc>
        <w:tc>
          <w:tcPr>
            <w:tcW w:w="4814" w:type="dxa"/>
          </w:tcPr>
          <w:p w14:paraId="1475941E" w14:textId="77777777" w:rsidR="00D161D0" w:rsidRPr="00690827" w:rsidRDefault="00D161D0" w:rsidP="007967AE">
            <w:pPr>
              <w:pStyle w:val="vokangabe2"/>
              <w:rPr>
                <w:lang w:val="la-Latn" w:eastAsia="de-DE"/>
              </w:rPr>
            </w:pPr>
            <w:r w:rsidRPr="00690827">
              <w:rPr>
                <w:lang w:val="la-Latn" w:eastAsia="de-DE"/>
              </w:rPr>
              <w:t xml:space="preserve">privāta, privātōrum, n. (Pluralwort): (hier, wie im Satz vorher) das Privateigentum. </w:t>
            </w:r>
            <w:r w:rsidRPr="00690827">
              <w:rPr>
                <w:i/>
                <w:iCs/>
                <w:lang w:val="la-Latn" w:eastAsia="de-DE"/>
              </w:rPr>
              <w:t>Naturā</w:t>
            </w:r>
            <w:r w:rsidRPr="00690827">
              <w:rPr>
                <w:lang w:val="la-Latn" w:eastAsia="de-DE"/>
              </w:rPr>
              <w:t xml:space="preserve"> steht im Ablativ </w:t>
            </w:r>
            <w:r w:rsidRPr="00A4050D">
              <w:rPr>
                <w:color w:val="0E57C4" w:themeColor="background2" w:themeShade="80"/>
                <w:lang w:val="la-Latn" w:eastAsia="de-DE"/>
              </w:rPr>
              <w:t>(</w:t>
            </w:r>
            <w:r w:rsidRPr="00A4050D">
              <w:rPr>
                <w:color w:val="0E57C4" w:themeColor="background2" w:themeShade="80"/>
                <w:lang w:val="la-Latn"/>
              </w:rPr>
              <w:fldChar w:fldCharType="begin"/>
            </w:r>
            <w:r w:rsidRPr="00A4050D">
              <w:rPr>
                <w:color w:val="0E57C4" w:themeColor="background2" w:themeShade="80"/>
                <w:lang w:val="la-Latn"/>
              </w:rPr>
              <w:instrText xml:space="preserve"> HYPERLINK "http://www.schule-bw.de/faecher-und-schularten/sprachen-und-literatur/latein/sprache/kasuslehre/kasuslehre-gesamt.html" \l "ablativuscausae" \t "_blank" </w:instrText>
            </w:r>
            <w:r w:rsidRPr="00A4050D">
              <w:rPr>
                <w:color w:val="0E57C4" w:themeColor="background2" w:themeShade="80"/>
                <w:lang w:val="la-Latn"/>
              </w:rPr>
              <w:fldChar w:fldCharType="separate"/>
            </w:r>
            <w:r w:rsidRPr="00A4050D">
              <w:rPr>
                <w:color w:val="0E57C4" w:themeColor="background2" w:themeShade="80"/>
                <w:u w:val="single"/>
                <w:lang w:val="la-Latn" w:eastAsia="de-DE"/>
              </w:rPr>
              <w:t>Ablativus causae</w:t>
            </w:r>
            <w:r w:rsidRPr="00A4050D">
              <w:rPr>
                <w:color w:val="0E57C4" w:themeColor="background2" w:themeShade="80"/>
                <w:u w:val="single"/>
                <w:lang w:val="la-Latn" w:eastAsia="de-DE"/>
              </w:rPr>
              <w:fldChar w:fldCharType="end"/>
            </w:r>
            <w:r w:rsidRPr="00690827">
              <w:rPr>
                <w:lang w:val="la-Latn" w:eastAsia="de-DE"/>
              </w:rPr>
              <w:t xml:space="preserve">, hier mit </w:t>
            </w:r>
            <w:r w:rsidRPr="00690827">
              <w:rPr>
                <w:i/>
                <w:iCs/>
                <w:lang w:val="la-Latn" w:eastAsia="de-DE"/>
              </w:rPr>
              <w:t>durch</w:t>
            </w:r>
            <w:r w:rsidRPr="00690827">
              <w:rPr>
                <w:lang w:val="la-Latn" w:eastAsia="de-DE"/>
              </w:rPr>
              <w:t xml:space="preserve"> zu übersetzen)</w:t>
            </w:r>
          </w:p>
          <w:p w14:paraId="7DC01132" w14:textId="77777777" w:rsidR="00D161D0" w:rsidRPr="00690827" w:rsidRDefault="00D161D0" w:rsidP="007967AE">
            <w:pPr>
              <w:pStyle w:val="vokangabe2"/>
              <w:rPr>
                <w:lang w:val="la-Latn" w:eastAsia="de-DE"/>
              </w:rPr>
            </w:pPr>
            <w:r w:rsidRPr="00690827">
              <w:rPr>
                <w:lang w:val="la-Latn" w:eastAsia="de-DE"/>
              </w:rPr>
              <w:t>occupātiō, occupātiōnis, f.: die Inbesitznahme, die Besetzung</w:t>
            </w:r>
          </w:p>
          <w:p w14:paraId="4C60A43F" w14:textId="77777777" w:rsidR="00D161D0" w:rsidRPr="00690827" w:rsidRDefault="00D161D0" w:rsidP="007967AE">
            <w:pPr>
              <w:pStyle w:val="vokangabe2"/>
              <w:rPr>
                <w:lang w:val="la-Latn" w:eastAsia="de-DE"/>
              </w:rPr>
            </w:pPr>
            <w:r w:rsidRPr="00690827">
              <w:rPr>
                <w:lang w:val="la-Latn" w:eastAsia="de-DE"/>
              </w:rPr>
              <w:t xml:space="preserve">qui: Hier gilt das Gleiche, was im vorigen Abschnitt über </w:t>
            </w:r>
            <w:r w:rsidRPr="00690827">
              <w:rPr>
                <w:i/>
                <w:iCs/>
                <w:lang w:val="la-Latn" w:eastAsia="de-DE"/>
              </w:rPr>
              <w:t>aliquis</w:t>
            </w:r>
            <w:r w:rsidRPr="00690827">
              <w:rPr>
                <w:lang w:val="la-Latn" w:eastAsia="de-DE"/>
              </w:rPr>
              <w:t xml:space="preserve"> gesagt wurde. </w:t>
            </w:r>
            <w:r w:rsidRPr="00690827">
              <w:rPr>
                <w:i/>
                <w:iCs/>
                <w:lang w:val="la-Latn" w:eastAsia="de-DE"/>
              </w:rPr>
              <w:t>Ut</w:t>
            </w:r>
            <w:r w:rsidRPr="00690827">
              <w:rPr>
                <w:lang w:val="la-Latn" w:eastAsia="de-DE"/>
              </w:rPr>
              <w:t xml:space="preserve"> gehört zu den Wörtern, nach denen die Vorsilbe </w:t>
            </w:r>
            <w:r w:rsidRPr="00690827">
              <w:rPr>
                <w:i/>
                <w:iCs/>
                <w:lang w:val="la-Latn" w:eastAsia="de-DE"/>
              </w:rPr>
              <w:t>ali-</w:t>
            </w:r>
            <w:r w:rsidRPr="00690827">
              <w:rPr>
                <w:lang w:val="la-Latn" w:eastAsia="de-DE"/>
              </w:rPr>
              <w:t xml:space="preserve"> wegfällt.</w:t>
            </w:r>
          </w:p>
          <w:p w14:paraId="3289F31B" w14:textId="77777777" w:rsidR="00D161D0" w:rsidRPr="00690827" w:rsidRDefault="00D161D0" w:rsidP="007967AE">
            <w:pPr>
              <w:pStyle w:val="vokangabe2"/>
              <w:rPr>
                <w:lang w:val="la-Latn" w:eastAsia="de-DE"/>
              </w:rPr>
            </w:pPr>
            <w:r w:rsidRPr="00690827">
              <w:rPr>
                <w:lang w:val="la-Latn" w:eastAsia="de-DE"/>
              </w:rPr>
              <w:t>in vacua: in unbewohntes Gebiet</w:t>
            </w:r>
          </w:p>
          <w:p w14:paraId="71403410" w14:textId="77777777" w:rsidR="00D161D0" w:rsidRPr="00690827" w:rsidRDefault="00D161D0" w:rsidP="007967AE">
            <w:pPr>
              <w:pStyle w:val="vokangabe2"/>
              <w:rPr>
                <w:lang w:val="la-Latn" w:eastAsia="de-DE"/>
              </w:rPr>
            </w:pPr>
            <w:r w:rsidRPr="00690827">
              <w:rPr>
                <w:lang w:val="la-Latn" w:eastAsia="de-DE"/>
              </w:rPr>
              <w:t>potīri, potior, potitītus sum: in Besitz nehmen</w:t>
            </w:r>
          </w:p>
          <w:p w14:paraId="471A412C" w14:textId="77777777" w:rsidR="00D161D0" w:rsidRPr="00690827" w:rsidRDefault="00D161D0" w:rsidP="007967AE">
            <w:pPr>
              <w:pStyle w:val="vokangabe2"/>
              <w:rPr>
                <w:lang w:val="la-Latn" w:eastAsia="de-DE"/>
              </w:rPr>
            </w:pPr>
            <w:r w:rsidRPr="00690827">
              <w:rPr>
                <w:lang w:val="la-Latn" w:eastAsia="de-DE"/>
              </w:rPr>
              <w:t>pactiō, pactiōnis, f.: der Vertrag</w:t>
            </w:r>
          </w:p>
          <w:p w14:paraId="55431C76" w14:textId="77777777" w:rsidR="00D161D0" w:rsidRPr="00690827" w:rsidRDefault="00D161D0" w:rsidP="007967AE">
            <w:pPr>
              <w:pStyle w:val="vokangabe2"/>
              <w:rPr>
                <w:lang w:val="la-Latn" w:eastAsia="de-DE"/>
              </w:rPr>
            </w:pPr>
            <w:r w:rsidRPr="00690827">
              <w:rPr>
                <w:lang w:val="la-Latn" w:eastAsia="de-DE"/>
              </w:rPr>
              <w:t>condiciō, condiciōnis, f.: die Abmachung, die Übereinkunft</w:t>
            </w:r>
          </w:p>
          <w:p w14:paraId="739A469A" w14:textId="0AA7AECA" w:rsidR="00D161D0" w:rsidRPr="00690827" w:rsidRDefault="00D161D0" w:rsidP="007967AE">
            <w:pPr>
              <w:pStyle w:val="vokangabe2"/>
              <w:rPr>
                <w:rFonts w:eastAsia="Times New Roman" w:cstheme="minorHAnsi"/>
                <w:sz w:val="24"/>
                <w:szCs w:val="24"/>
                <w:lang w:val="la-Latn" w:eastAsia="de-DE"/>
              </w:rPr>
            </w:pPr>
            <w:r w:rsidRPr="00690827">
              <w:rPr>
                <w:lang w:val="la-Latn" w:eastAsia="de-DE"/>
              </w:rPr>
              <w:t>sors, sortis, f.: das Los</w:t>
            </w:r>
          </w:p>
        </w:tc>
      </w:tr>
      <w:tr w:rsidR="00690827" w:rsidRPr="00690827" w14:paraId="2A368DBA" w14:textId="77777777" w:rsidTr="00690827">
        <w:trPr>
          <w:cantSplit/>
        </w:trPr>
        <w:tc>
          <w:tcPr>
            <w:tcW w:w="4814" w:type="dxa"/>
          </w:tcPr>
          <w:p w14:paraId="2A17A4A0"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ex quo fit,</w:t>
            </w:r>
          </w:p>
          <w:p w14:paraId="6813463F" w14:textId="7CBD1D35"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ager</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Arpinas Arpinatium</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dicatur, Tusculanus Tusculanorum;</w:t>
            </w:r>
          </w:p>
          <w:p w14:paraId="344B50B1" w14:textId="7E166EFD"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similisque est privatarum possessionum discriptio</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tc>
        <w:tc>
          <w:tcPr>
            <w:tcW w:w="4814" w:type="dxa"/>
          </w:tcPr>
          <w:p w14:paraId="140B8676" w14:textId="77777777" w:rsidR="00D161D0" w:rsidRPr="00690827" w:rsidRDefault="00D161D0" w:rsidP="007967AE">
            <w:pPr>
              <w:pStyle w:val="vokangabe2"/>
              <w:rPr>
                <w:lang w:val="la-Latn" w:eastAsia="de-DE"/>
              </w:rPr>
            </w:pPr>
            <w:r w:rsidRPr="00690827">
              <w:rPr>
                <w:lang w:val="la-Latn" w:eastAsia="de-DE"/>
              </w:rPr>
              <w:t>ager: (hier): das Gebiet; ager Arpinas: das Gebiet um die Stadt Arpinum (in Latium; dies war Ciceros Geburtsstadt.)</w:t>
            </w:r>
          </w:p>
          <w:p w14:paraId="193216A4" w14:textId="77777777" w:rsidR="00D161D0" w:rsidRPr="00690827" w:rsidRDefault="00D161D0" w:rsidP="007967AE">
            <w:pPr>
              <w:pStyle w:val="vokangabe2"/>
              <w:rPr>
                <w:lang w:val="la-Latn" w:eastAsia="de-DE"/>
              </w:rPr>
            </w:pPr>
            <w:r w:rsidRPr="00690827">
              <w:rPr>
                <w:lang w:val="la-Latn" w:eastAsia="de-DE"/>
              </w:rPr>
              <w:t>Arpinates, Arpinatium/Tusculani, Tusculanorum: die Arpinaten (Einwohner der Landschaft um Arpinum, bzw. Tuskulaner)</w:t>
            </w:r>
          </w:p>
          <w:p w14:paraId="486372C3" w14:textId="482B864E" w:rsidR="00D161D0" w:rsidRPr="00690827" w:rsidRDefault="008E7C03" w:rsidP="008E7C03">
            <w:pPr>
              <w:pStyle w:val="vokangabe2"/>
              <w:rPr>
                <w:rFonts w:eastAsia="Times New Roman" w:cstheme="minorHAnsi"/>
                <w:color w:val="000000" w:themeColor="text1"/>
                <w:sz w:val="24"/>
                <w:szCs w:val="24"/>
                <w:lang w:val="la-Latn" w:eastAsia="de-DE"/>
              </w:rPr>
            </w:pPr>
            <w:r w:rsidRPr="008E7C03">
              <w:rPr>
                <w:lang w:val="la-Latn" w:eastAsia="de-DE"/>
              </w:rPr>
              <w:t>discrīptiō, discrīptiōnis, f</w:t>
            </w:r>
            <w:r>
              <w:rPr>
                <w:lang w:eastAsia="de-DE"/>
              </w:rPr>
              <w:t>.</w:t>
            </w:r>
            <w:r w:rsidR="00D161D0" w:rsidRPr="008E7C03">
              <w:rPr>
                <w:lang w:val="la-Latn" w:eastAsia="de-DE"/>
              </w:rPr>
              <w:t>: die Verteilung</w:t>
            </w:r>
          </w:p>
        </w:tc>
      </w:tr>
      <w:tr w:rsidR="00690827" w:rsidRPr="00690827" w14:paraId="0B841614" w14:textId="77777777" w:rsidTr="00690827">
        <w:trPr>
          <w:cantSplit/>
        </w:trPr>
        <w:tc>
          <w:tcPr>
            <w:tcW w:w="4814" w:type="dxa"/>
          </w:tcPr>
          <w:p w14:paraId="3D69713F"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lastRenderedPageBreak/>
              <w:t>Ex quo,</w:t>
            </w:r>
          </w:p>
          <w:p w14:paraId="112A6451" w14:textId="31102F63"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quia suum cuiusque</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fit eorum</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22573684" w14:textId="7777777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quae naturā fuerant communia,</w:t>
            </w:r>
          </w:p>
          <w:p w14:paraId="06D33D8C" w14:textId="22539339"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quod cuique obtigit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70ECE44C" w14:textId="7B43BDFB"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id quisque teneat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4AFF198A" w14:textId="68877E96"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e quo</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si quis quaevis sibi appetet,</w:t>
            </w:r>
          </w:p>
          <w:p w14:paraId="09E7E381" w14:textId="70DC42F0" w:rsidR="00D161D0" w:rsidRPr="007967AE" w:rsidRDefault="00D161D0"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val="la-Latn" w:eastAsia="de-DE"/>
              </w:rPr>
              <w:t>violabit ius humanae societatis.</w:t>
            </w:r>
            <w:r w:rsidR="007967AE">
              <w:rPr>
                <w:rFonts w:eastAsia="Times New Roman" w:cstheme="minorHAnsi"/>
                <w:color w:val="000000" w:themeColor="text1"/>
                <w:sz w:val="24"/>
                <w:szCs w:val="24"/>
                <w:lang w:eastAsia="de-DE"/>
              </w:rPr>
              <w:t xml:space="preserve"> </w:t>
            </w:r>
          </w:p>
        </w:tc>
        <w:tc>
          <w:tcPr>
            <w:tcW w:w="4814" w:type="dxa"/>
          </w:tcPr>
          <w:p w14:paraId="5D70F464" w14:textId="77777777" w:rsidR="007967AE" w:rsidRDefault="00D161D0" w:rsidP="007967AE">
            <w:pPr>
              <w:pStyle w:val="vokangabe2"/>
              <w:rPr>
                <w:i/>
                <w:iCs/>
                <w:lang w:val="la-Latn" w:eastAsia="de-DE"/>
              </w:rPr>
            </w:pPr>
            <w:r w:rsidRPr="00690827">
              <w:rPr>
                <w:lang w:val="la-Latn" w:eastAsia="de-DE"/>
              </w:rPr>
              <w:t>suum cuiusque: Wort für Wort übersetzt: „jedem sein Eigenes“. Hier kann man die Übersetzung  „Privateigentum“ verwenden.</w:t>
            </w:r>
            <w:r w:rsidR="007967AE" w:rsidRPr="00690827">
              <w:rPr>
                <w:i/>
                <w:iCs/>
                <w:lang w:val="la-Latn" w:eastAsia="de-DE"/>
              </w:rPr>
              <w:t xml:space="preserve"> </w:t>
            </w:r>
          </w:p>
          <w:p w14:paraId="7305B75B" w14:textId="2501E193" w:rsidR="007967AE" w:rsidRPr="00690827" w:rsidRDefault="007967AE" w:rsidP="007967AE">
            <w:pPr>
              <w:pStyle w:val="vokangabe2"/>
              <w:rPr>
                <w:lang w:val="la-Latn" w:eastAsia="de-DE"/>
              </w:rPr>
            </w:pPr>
            <w:proofErr w:type="spellStart"/>
            <w:r w:rsidRPr="008E7C03">
              <w:rPr>
                <w:i/>
                <w:iCs/>
                <w:lang w:eastAsia="de-DE"/>
              </w:rPr>
              <w:t>e</w:t>
            </w:r>
            <w:r w:rsidR="008E7C03" w:rsidRPr="008E7C03">
              <w:rPr>
                <w:i/>
                <w:iCs/>
                <w:lang w:eastAsia="de-DE"/>
              </w:rPr>
              <w:t>ō</w:t>
            </w:r>
            <w:proofErr w:type="spellEnd"/>
            <w:r w:rsidRPr="008E7C03">
              <w:rPr>
                <w:i/>
                <w:iCs/>
                <w:lang w:val="la-Latn" w:eastAsia="de-DE"/>
              </w:rPr>
              <w:t>rum</w:t>
            </w:r>
            <w:r w:rsidRPr="00690827">
              <w:rPr>
                <w:lang w:val="la-Latn" w:eastAsia="de-DE"/>
              </w:rPr>
              <w:t xml:space="preserve"> muss als neutrum aufgefasst werden: von den Dingen</w:t>
            </w:r>
          </w:p>
          <w:p w14:paraId="0F05CD9E" w14:textId="7303D61C" w:rsidR="00D161D0" w:rsidRPr="00690827" w:rsidRDefault="00D161D0" w:rsidP="007967AE">
            <w:pPr>
              <w:pStyle w:val="vokangabe2"/>
              <w:rPr>
                <w:lang w:val="la-Latn" w:eastAsia="de-DE"/>
              </w:rPr>
            </w:pPr>
            <w:r w:rsidRPr="00690827">
              <w:rPr>
                <w:lang w:val="la-Latn" w:eastAsia="de-DE"/>
              </w:rPr>
              <w:t>obtingere, obting</w:t>
            </w:r>
            <w:r w:rsidR="008E7C03" w:rsidRPr="00690827">
              <w:rPr>
                <w:lang w:eastAsia="de-DE"/>
              </w:rPr>
              <w:t>ō</w:t>
            </w:r>
            <w:r w:rsidRPr="00690827">
              <w:rPr>
                <w:lang w:val="la-Latn" w:eastAsia="de-DE"/>
              </w:rPr>
              <w:t>, obtigi (kein PPP.): zufallen, zuteil werden</w:t>
            </w:r>
          </w:p>
          <w:p w14:paraId="6CADE02A" w14:textId="77777777" w:rsidR="00D161D0" w:rsidRPr="00690827" w:rsidRDefault="00D161D0" w:rsidP="007967AE">
            <w:pPr>
              <w:pStyle w:val="vokangabe2"/>
              <w:rPr>
                <w:lang w:val="la-Latn" w:eastAsia="de-DE"/>
              </w:rPr>
            </w:pPr>
            <w:r w:rsidRPr="00690827">
              <w:rPr>
                <w:i/>
                <w:iCs/>
                <w:lang w:val="la-Latn" w:eastAsia="de-DE"/>
              </w:rPr>
              <w:t>Teneat</w:t>
            </w:r>
            <w:r w:rsidRPr="00690827">
              <w:rPr>
                <w:lang w:val="la-Latn" w:eastAsia="de-DE"/>
              </w:rPr>
              <w:t xml:space="preserve"> ist Prädikat eines Hauptsatzes und muss daher nach den hierfür geltenden Regeln übersetzt werden, siehe Satzbau: Konjunktiv im Hauptsatz.</w:t>
            </w:r>
          </w:p>
          <w:p w14:paraId="2169BCB7" w14:textId="77777777" w:rsidR="00D161D0" w:rsidRPr="00690827" w:rsidRDefault="00D161D0" w:rsidP="007967AE">
            <w:pPr>
              <w:pStyle w:val="vokangabe2"/>
              <w:rPr>
                <w:lang w:val="la-Latn" w:eastAsia="de-DE"/>
              </w:rPr>
            </w:pPr>
            <w:r w:rsidRPr="00690827">
              <w:rPr>
                <w:lang w:val="la-Latn" w:eastAsia="de-DE"/>
              </w:rPr>
              <w:t>e quo: Relativischer Satzanschluss im Adverbialsatz (</w:t>
            </w:r>
            <w:r w:rsidRPr="00607879">
              <w:rPr>
                <w:color w:val="0E57C4" w:themeColor="background2" w:themeShade="80"/>
                <w:lang w:val="la-Latn"/>
              </w:rPr>
              <w:fldChar w:fldCharType="begin"/>
            </w:r>
            <w:r w:rsidRPr="00607879">
              <w:rPr>
                <w:color w:val="0E57C4" w:themeColor="background2" w:themeShade="80"/>
                <w:lang w:val="la-Latn"/>
              </w:rPr>
              <w:instrText xml:space="preserve"> HYPERLINK "http://www.schule-bw.de/faecher-und-schularten/sprachen-und-literatur/latein/sprache/satzlehre/relativsaetze/relativsatz-grammatik.html" \l "relsatzanschlussadverbialsatz" \t "_blank" </w:instrText>
            </w:r>
            <w:r w:rsidRPr="00607879">
              <w:rPr>
                <w:color w:val="0E57C4" w:themeColor="background2" w:themeShade="80"/>
                <w:lang w:val="la-Latn"/>
              </w:rPr>
              <w:fldChar w:fldCharType="separate"/>
            </w:r>
            <w:r w:rsidRPr="00607879">
              <w:rPr>
                <w:color w:val="0E57C4" w:themeColor="background2" w:themeShade="80"/>
                <w:u w:val="single"/>
                <w:lang w:val="la-Latn" w:eastAsia="de-DE"/>
              </w:rPr>
              <w:t>Satzbau</w:t>
            </w:r>
            <w:r w:rsidRPr="00607879">
              <w:rPr>
                <w:color w:val="0E57C4" w:themeColor="background2" w:themeShade="80"/>
                <w:u w:val="single"/>
                <w:lang w:val="la-Latn" w:eastAsia="de-DE"/>
              </w:rPr>
              <w:fldChar w:fldCharType="end"/>
            </w:r>
            <w:r w:rsidRPr="00690827">
              <w:rPr>
                <w:lang w:val="la-Latn" w:eastAsia="de-DE"/>
              </w:rPr>
              <w:t>); si quis: wenn jemand</w:t>
            </w:r>
          </w:p>
          <w:p w14:paraId="200F718E" w14:textId="609CD67C" w:rsidR="00D161D0" w:rsidRPr="00607879" w:rsidRDefault="00D161D0" w:rsidP="007967AE">
            <w:pPr>
              <w:pStyle w:val="vokangabe2"/>
              <w:rPr>
                <w:rFonts w:eastAsia="Times New Roman" w:cstheme="minorHAnsi"/>
                <w:sz w:val="24"/>
                <w:szCs w:val="24"/>
                <w:lang w:eastAsia="de-DE"/>
              </w:rPr>
            </w:pPr>
            <w:r w:rsidRPr="00690827">
              <w:rPr>
                <w:lang w:val="la-Latn" w:eastAsia="de-DE"/>
              </w:rPr>
              <w:t>quaevīs: irgende</w:t>
            </w:r>
            <w:proofErr w:type="spellStart"/>
            <w:r w:rsidR="00607879">
              <w:rPr>
                <w:lang w:eastAsia="de-DE"/>
              </w:rPr>
              <w:t>twas</w:t>
            </w:r>
            <w:proofErr w:type="spellEnd"/>
          </w:p>
        </w:tc>
      </w:tr>
    </w:tbl>
    <w:p w14:paraId="79BCF8A2" w14:textId="77777777" w:rsidR="00091551" w:rsidRPr="00690827" w:rsidRDefault="00091551" w:rsidP="00690827">
      <w:pPr>
        <w:spacing w:before="240" w:after="0" w:line="312" w:lineRule="auto"/>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Im folgenden Abschnitt (De officiis 1, 22) erörtert Cicero die Verpflichtungen, die nach der Auffassung v. a. der Stoiker aus dem Privateigentum entstehen.</w:t>
      </w:r>
    </w:p>
    <w:p w14:paraId="619B68F1" w14:textId="023FCD5B" w:rsidR="00091551" w:rsidRPr="00690827" w:rsidRDefault="00091551"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[1, 22]</w:t>
      </w:r>
    </w:p>
    <w:tbl>
      <w:tblPr>
        <w:tblStyle w:val="Tabellenraster"/>
        <w:tblW w:w="0" w:type="auto"/>
        <w:tblCellMar>
          <w:top w:w="85" w:type="dxa"/>
          <w:bottom w:w="85" w:type="dxa"/>
        </w:tblCellMar>
        <w:tblLook w:val="04A0" w:firstRow="1" w:lastRow="0" w:firstColumn="1" w:lastColumn="0" w:noHBand="0" w:noVBand="1"/>
      </w:tblPr>
      <w:tblGrid>
        <w:gridCol w:w="5665"/>
        <w:gridCol w:w="3963"/>
      </w:tblGrid>
      <w:tr w:rsidR="00690827" w:rsidRPr="00690827" w14:paraId="74A3BF5C" w14:textId="77777777" w:rsidTr="007967AE">
        <w:trPr>
          <w:cantSplit/>
        </w:trPr>
        <w:tc>
          <w:tcPr>
            <w:tcW w:w="5665" w:type="dxa"/>
          </w:tcPr>
          <w:p w14:paraId="17A2B514"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Sed quoniam,</w:t>
            </w:r>
          </w:p>
          <w:p w14:paraId="58096DAC"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praeclare scriptum est a Platone,</w:t>
            </w:r>
          </w:p>
          <w:p w14:paraId="7CC13C2B" w14:textId="2EE3303D"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non nobis</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solum nati sumus ortusque</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nostri partem patria vindicat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partem amici,</w:t>
            </w:r>
          </w:p>
          <w:p w14:paraId="1C2E31EA"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atque,</w:t>
            </w:r>
          </w:p>
          <w:p w14:paraId="333D8DE3" w14:textId="5CBE67C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placet Stoicis</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5B7919ED"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quae in terris gignantur,</w:t>
            </w:r>
          </w:p>
          <w:p w14:paraId="4FE4787B"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ad usum hominum omnia creari, homines autem hominum causā esse generatos,</w:t>
            </w:r>
          </w:p>
          <w:p w14:paraId="0AEEE94B"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ut ipsi inter se aliis alii prodesse possent,</w:t>
            </w:r>
          </w:p>
          <w:p w14:paraId="0A789739"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in hoc naturam debemus ducem sequi,</w:t>
            </w:r>
          </w:p>
          <w:p w14:paraId="4F4E294B"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communes utilitates in medium adferre,</w:t>
            </w:r>
          </w:p>
          <w:p w14:paraId="3348A026" w14:textId="132F14E4" w:rsidR="00D161D0" w:rsidRPr="00690827" w:rsidRDefault="00D161D0"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val="la-Latn" w:eastAsia="de-DE"/>
              </w:rPr>
              <w:t>mutatione</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officiorum, dando accipiendo, tum artibus, tum opera</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tum facultatibus devincire</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hominum inter homines societatem.</w:t>
            </w:r>
          </w:p>
        </w:tc>
        <w:tc>
          <w:tcPr>
            <w:tcW w:w="3963" w:type="dxa"/>
          </w:tcPr>
          <w:p w14:paraId="10D4CA68" w14:textId="77777777" w:rsidR="00D161D0" w:rsidRPr="00690827" w:rsidRDefault="00D161D0" w:rsidP="007967AE">
            <w:pPr>
              <w:pStyle w:val="vokangabe2"/>
              <w:rPr>
                <w:lang w:eastAsia="de-DE"/>
              </w:rPr>
            </w:pPr>
            <w:proofErr w:type="spellStart"/>
            <w:r w:rsidRPr="00690827">
              <w:rPr>
                <w:lang w:eastAsia="de-DE"/>
              </w:rPr>
              <w:t>nōbīs</w:t>
            </w:r>
            <w:proofErr w:type="spellEnd"/>
            <w:r w:rsidRPr="00690827">
              <w:rPr>
                <w:lang w:eastAsia="de-DE"/>
              </w:rPr>
              <w:t xml:space="preserve">: Dativus </w:t>
            </w:r>
            <w:proofErr w:type="spellStart"/>
            <w:r w:rsidRPr="00690827">
              <w:rPr>
                <w:lang w:eastAsia="de-DE"/>
              </w:rPr>
              <w:t>commodi</w:t>
            </w:r>
            <w:proofErr w:type="spellEnd"/>
          </w:p>
          <w:p w14:paraId="4E65A5DD" w14:textId="77777777" w:rsidR="00D161D0" w:rsidRPr="00690827" w:rsidRDefault="00D161D0" w:rsidP="007967AE">
            <w:pPr>
              <w:pStyle w:val="vokangabe2"/>
              <w:rPr>
                <w:lang w:eastAsia="de-DE"/>
              </w:rPr>
            </w:pPr>
            <w:proofErr w:type="spellStart"/>
            <w:r w:rsidRPr="00690827">
              <w:rPr>
                <w:lang w:eastAsia="de-DE"/>
              </w:rPr>
              <w:t>ortus</w:t>
            </w:r>
            <w:proofErr w:type="spellEnd"/>
            <w:r w:rsidRPr="00690827">
              <w:rPr>
                <w:lang w:eastAsia="de-DE"/>
              </w:rPr>
              <w:t xml:space="preserve">, </w:t>
            </w:r>
            <w:proofErr w:type="spellStart"/>
            <w:r w:rsidRPr="00690827">
              <w:rPr>
                <w:lang w:eastAsia="de-DE"/>
              </w:rPr>
              <w:t>ortūs</w:t>
            </w:r>
            <w:proofErr w:type="spellEnd"/>
            <w:r w:rsidRPr="00690827">
              <w:rPr>
                <w:lang w:eastAsia="de-DE"/>
              </w:rPr>
              <w:t>, m.: die Entstehung, die Existenz</w:t>
            </w:r>
          </w:p>
          <w:p w14:paraId="2C98DDF6" w14:textId="77777777" w:rsidR="00D161D0" w:rsidRPr="00690827" w:rsidRDefault="00D161D0" w:rsidP="007967AE">
            <w:pPr>
              <w:pStyle w:val="vokangabe2"/>
              <w:rPr>
                <w:lang w:eastAsia="de-DE"/>
              </w:rPr>
            </w:pPr>
            <w:proofErr w:type="spellStart"/>
            <w:r w:rsidRPr="00690827">
              <w:rPr>
                <w:lang w:eastAsia="de-DE"/>
              </w:rPr>
              <w:t>vindicāre</w:t>
            </w:r>
            <w:proofErr w:type="spellEnd"/>
            <w:r w:rsidRPr="00690827">
              <w:rPr>
                <w:lang w:eastAsia="de-DE"/>
              </w:rPr>
              <w:t>: beanspruchen</w:t>
            </w:r>
          </w:p>
          <w:p w14:paraId="7F87F590" w14:textId="77777777" w:rsidR="00D161D0" w:rsidRPr="00690827" w:rsidRDefault="00D161D0" w:rsidP="007967AE">
            <w:pPr>
              <w:pStyle w:val="vokangabe2"/>
              <w:rPr>
                <w:lang w:eastAsia="de-DE"/>
              </w:rPr>
            </w:pPr>
            <w:proofErr w:type="spellStart"/>
            <w:r w:rsidRPr="00690827">
              <w:rPr>
                <w:lang w:eastAsia="de-DE"/>
              </w:rPr>
              <w:t>quae</w:t>
            </w:r>
            <w:proofErr w:type="spellEnd"/>
            <w:r w:rsidRPr="00690827">
              <w:rPr>
                <w:lang w:eastAsia="de-DE"/>
              </w:rPr>
              <w:t xml:space="preserve">: Relativsatz ohne Bezugswort. Es ist </w:t>
            </w:r>
            <w:proofErr w:type="spellStart"/>
            <w:r w:rsidRPr="00690827">
              <w:rPr>
                <w:lang w:eastAsia="de-DE"/>
              </w:rPr>
              <w:t>ea</w:t>
            </w:r>
            <w:proofErr w:type="spellEnd"/>
            <w:r w:rsidRPr="00690827">
              <w:rPr>
                <w:lang w:eastAsia="de-DE"/>
              </w:rPr>
              <w:t xml:space="preserve"> zu ergänzen.</w:t>
            </w:r>
          </w:p>
          <w:p w14:paraId="1DE4954B" w14:textId="0CE1B04B" w:rsidR="00D161D0" w:rsidRPr="00690827" w:rsidRDefault="00D161D0" w:rsidP="007967AE">
            <w:pPr>
              <w:pStyle w:val="vokangabe2"/>
              <w:rPr>
                <w:lang w:eastAsia="de-DE"/>
              </w:rPr>
            </w:pPr>
            <w:proofErr w:type="spellStart"/>
            <w:r w:rsidRPr="00690827">
              <w:rPr>
                <w:lang w:eastAsia="de-DE"/>
              </w:rPr>
              <w:t>Stoic</w:t>
            </w:r>
            <w:r w:rsidR="008E7C03" w:rsidRPr="00690827">
              <w:rPr>
                <w:lang w:eastAsia="de-DE"/>
              </w:rPr>
              <w:t>ī</w:t>
            </w:r>
            <w:proofErr w:type="spellEnd"/>
            <w:r w:rsidRPr="00690827">
              <w:rPr>
                <w:lang w:eastAsia="de-DE"/>
              </w:rPr>
              <w:t>: die Stoiker, Vertreter der stoischen Philosophie, denen Cicero hier weitgehend folgt.</w:t>
            </w:r>
          </w:p>
          <w:p w14:paraId="65401B03" w14:textId="77777777" w:rsidR="00D161D0" w:rsidRPr="00690827" w:rsidRDefault="00D161D0" w:rsidP="007967AE">
            <w:pPr>
              <w:pStyle w:val="vokangabe2"/>
              <w:rPr>
                <w:lang w:eastAsia="de-DE"/>
              </w:rPr>
            </w:pPr>
            <w:proofErr w:type="spellStart"/>
            <w:r w:rsidRPr="00690827">
              <w:rPr>
                <w:lang w:eastAsia="de-DE"/>
              </w:rPr>
              <w:t>mūtātiō</w:t>
            </w:r>
            <w:proofErr w:type="spellEnd"/>
            <w:r w:rsidRPr="00690827">
              <w:rPr>
                <w:lang w:eastAsia="de-DE"/>
              </w:rPr>
              <w:t xml:space="preserve">, </w:t>
            </w:r>
            <w:proofErr w:type="spellStart"/>
            <w:r w:rsidRPr="00690827">
              <w:rPr>
                <w:lang w:eastAsia="de-DE"/>
              </w:rPr>
              <w:t>mūtātiōnis</w:t>
            </w:r>
            <w:proofErr w:type="spellEnd"/>
            <w:r w:rsidRPr="00690827">
              <w:rPr>
                <w:lang w:eastAsia="de-DE"/>
              </w:rPr>
              <w:t>, f.: die Gegenseitigkeit</w:t>
            </w:r>
          </w:p>
          <w:p w14:paraId="675927D7" w14:textId="77777777" w:rsidR="00D161D0" w:rsidRPr="00690827" w:rsidRDefault="00D161D0" w:rsidP="007967AE">
            <w:pPr>
              <w:pStyle w:val="vokangabe2"/>
              <w:rPr>
                <w:lang w:eastAsia="de-DE"/>
              </w:rPr>
            </w:pPr>
            <w:proofErr w:type="spellStart"/>
            <w:r w:rsidRPr="00690827">
              <w:rPr>
                <w:lang w:eastAsia="de-DE"/>
              </w:rPr>
              <w:t>opera</w:t>
            </w:r>
            <w:proofErr w:type="spellEnd"/>
            <w:r w:rsidRPr="00690827">
              <w:rPr>
                <w:lang w:eastAsia="de-DE"/>
              </w:rPr>
              <w:t xml:space="preserve">, </w:t>
            </w:r>
            <w:proofErr w:type="spellStart"/>
            <w:r w:rsidRPr="00690827">
              <w:rPr>
                <w:lang w:eastAsia="de-DE"/>
              </w:rPr>
              <w:t>operae</w:t>
            </w:r>
            <w:proofErr w:type="spellEnd"/>
            <w:r w:rsidRPr="00690827">
              <w:rPr>
                <w:lang w:eastAsia="de-DE"/>
              </w:rPr>
              <w:t>, f.: die Mühe, der Aufwand</w:t>
            </w:r>
          </w:p>
          <w:p w14:paraId="0434B22B" w14:textId="625A5691" w:rsidR="00D161D0" w:rsidRPr="00690827" w:rsidRDefault="00D161D0" w:rsidP="007967AE">
            <w:pPr>
              <w:pStyle w:val="vokangabe2"/>
              <w:rPr>
                <w:rFonts w:eastAsia="Times New Roman" w:cstheme="minorHAnsi"/>
                <w:sz w:val="24"/>
                <w:szCs w:val="24"/>
                <w:lang w:eastAsia="de-DE"/>
              </w:rPr>
            </w:pPr>
            <w:proofErr w:type="spellStart"/>
            <w:r w:rsidRPr="00690827">
              <w:rPr>
                <w:lang w:eastAsia="de-DE"/>
              </w:rPr>
              <w:t>devincīre</w:t>
            </w:r>
            <w:proofErr w:type="spellEnd"/>
            <w:r w:rsidRPr="00690827">
              <w:rPr>
                <w:lang w:eastAsia="de-DE"/>
              </w:rPr>
              <w:t xml:space="preserve">, </w:t>
            </w:r>
            <w:proofErr w:type="spellStart"/>
            <w:r w:rsidRPr="00690827">
              <w:rPr>
                <w:lang w:eastAsia="de-DE"/>
              </w:rPr>
              <w:t>devinciō</w:t>
            </w:r>
            <w:proofErr w:type="spellEnd"/>
            <w:r w:rsidRPr="00690827">
              <w:rPr>
                <w:lang w:eastAsia="de-DE"/>
              </w:rPr>
              <w:t xml:space="preserve">, </w:t>
            </w:r>
            <w:proofErr w:type="spellStart"/>
            <w:r w:rsidRPr="00690827">
              <w:rPr>
                <w:lang w:eastAsia="de-DE"/>
              </w:rPr>
              <w:t>devīnxī</w:t>
            </w:r>
            <w:proofErr w:type="spellEnd"/>
            <w:r w:rsidRPr="00690827">
              <w:rPr>
                <w:lang w:eastAsia="de-DE"/>
              </w:rPr>
              <w:t xml:space="preserve">, </w:t>
            </w:r>
            <w:proofErr w:type="spellStart"/>
            <w:r w:rsidRPr="00690827">
              <w:rPr>
                <w:lang w:eastAsia="de-DE"/>
              </w:rPr>
              <w:t>devīnctum</w:t>
            </w:r>
            <w:proofErr w:type="spellEnd"/>
            <w:r w:rsidRPr="00690827">
              <w:rPr>
                <w:lang w:eastAsia="de-DE"/>
              </w:rPr>
              <w:t>: verbinden</w:t>
            </w:r>
          </w:p>
        </w:tc>
      </w:tr>
      <w:tr w:rsidR="00690827" w:rsidRPr="00690827" w14:paraId="402D0482" w14:textId="77777777" w:rsidTr="007967AE">
        <w:trPr>
          <w:cantSplit/>
        </w:trPr>
        <w:tc>
          <w:tcPr>
            <w:tcW w:w="5665" w:type="dxa"/>
          </w:tcPr>
          <w:p w14:paraId="550EC963"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Fundamentum autem est iustitiae fides,</w:t>
            </w:r>
          </w:p>
          <w:p w14:paraId="48F11EE9" w14:textId="104130FE" w:rsidR="00D161D0" w:rsidRPr="00690827" w:rsidRDefault="00D161D0"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val="la-Latn" w:eastAsia="de-DE"/>
              </w:rPr>
              <w:t>id est dictorum conventorumque</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constantia et veritas.</w:t>
            </w:r>
          </w:p>
        </w:tc>
        <w:tc>
          <w:tcPr>
            <w:tcW w:w="3963" w:type="dxa"/>
          </w:tcPr>
          <w:p w14:paraId="653BBF76" w14:textId="269616EF" w:rsidR="00D161D0" w:rsidRPr="00690827" w:rsidRDefault="00D161D0" w:rsidP="00690827">
            <w:pPr>
              <w:spacing w:before="120" w:after="0" w:line="312" w:lineRule="auto"/>
              <w:contextualSpacing/>
              <w:rPr>
                <w:rFonts w:eastAsia="Times New Roman" w:cstheme="minorHAnsi"/>
                <w:color w:val="000000" w:themeColor="text1"/>
                <w:sz w:val="24"/>
                <w:szCs w:val="24"/>
                <w:lang w:eastAsia="de-DE"/>
              </w:rPr>
            </w:pPr>
            <w:proofErr w:type="spellStart"/>
            <w:r w:rsidRPr="00690827">
              <w:rPr>
                <w:color w:val="000000" w:themeColor="text1"/>
                <w:lang w:eastAsia="de-DE"/>
              </w:rPr>
              <w:t>conventa</w:t>
            </w:r>
            <w:proofErr w:type="spellEnd"/>
            <w:r w:rsidRPr="00690827">
              <w:rPr>
                <w:color w:val="000000" w:themeColor="text1"/>
                <w:lang w:eastAsia="de-DE"/>
              </w:rPr>
              <w:t xml:space="preserve">, </w:t>
            </w:r>
            <w:proofErr w:type="spellStart"/>
            <w:r w:rsidRPr="00690827">
              <w:rPr>
                <w:color w:val="000000" w:themeColor="text1"/>
                <w:lang w:eastAsia="de-DE"/>
              </w:rPr>
              <w:t>conventorum</w:t>
            </w:r>
            <w:proofErr w:type="spellEnd"/>
            <w:r w:rsidRPr="00690827">
              <w:rPr>
                <w:color w:val="000000" w:themeColor="text1"/>
                <w:lang w:eastAsia="de-DE"/>
              </w:rPr>
              <w:t>, n.: die Abmachungen </w:t>
            </w:r>
          </w:p>
        </w:tc>
      </w:tr>
    </w:tbl>
    <w:p w14:paraId="64B5BE00"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eastAsia="de-DE"/>
        </w:rPr>
      </w:pPr>
    </w:p>
    <w:p w14:paraId="4874AD9D" w14:textId="02F7C4F2" w:rsidR="00091551" w:rsidRPr="00690827" w:rsidRDefault="00A4050D"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lastRenderedPageBreak/>
        <w:t xml:space="preserve"> </w:t>
      </w:r>
      <w:r w:rsidR="00091551" w:rsidRPr="00690827">
        <w:rPr>
          <w:rFonts w:eastAsia="Times New Roman" w:cstheme="minorHAnsi"/>
          <w:color w:val="000000" w:themeColor="text1"/>
          <w:sz w:val="24"/>
          <w:szCs w:val="24"/>
          <w:lang w:eastAsia="de-DE"/>
        </w:rPr>
        <w:t>[1, 23]</w:t>
      </w:r>
    </w:p>
    <w:p w14:paraId="76831257" w14:textId="04B805B6" w:rsidR="00D161D0" w:rsidRPr="00690827" w:rsidRDefault="00D161D0" w:rsidP="00690827">
      <w:p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 xml:space="preserve">In diesem Absatz versucht Cicero, aus der Etymologie (der Lehre von der Herkunft der Wörter) abzuleiten, was man unter </w:t>
      </w:r>
      <w:proofErr w:type="spellStart"/>
      <w:r w:rsidRPr="00690827">
        <w:rPr>
          <w:rFonts w:eastAsia="Times New Roman" w:cstheme="minorHAnsi"/>
          <w:color w:val="000000" w:themeColor="text1"/>
          <w:sz w:val="24"/>
          <w:szCs w:val="24"/>
          <w:lang w:eastAsia="de-DE"/>
        </w:rPr>
        <w:t>fides</w:t>
      </w:r>
      <w:proofErr w:type="spellEnd"/>
      <w:r w:rsidRPr="00690827">
        <w:rPr>
          <w:rFonts w:eastAsia="Times New Roman" w:cstheme="minorHAnsi"/>
          <w:color w:val="000000" w:themeColor="text1"/>
          <w:sz w:val="24"/>
          <w:szCs w:val="24"/>
          <w:lang w:eastAsia="de-DE"/>
        </w:rPr>
        <w:t xml:space="preserve"> zu verstehen hat. Er definiert sodann die Ungerechtigkeit</w:t>
      </w:r>
      <w:r w:rsidR="00690827" w:rsidRPr="00690827">
        <w:rPr>
          <w:rFonts w:eastAsia="Times New Roman" w:cstheme="minorHAnsi"/>
          <w:color w:val="000000" w:themeColor="text1"/>
          <w:sz w:val="24"/>
          <w:szCs w:val="24"/>
          <w:lang w:eastAsia="de-DE"/>
        </w:rPr>
        <w:t xml:space="preserve"> und die Regeln für ein gerechtes Handeln.</w:t>
      </w:r>
    </w:p>
    <w:tbl>
      <w:tblPr>
        <w:tblStyle w:val="Tabellenraster"/>
        <w:tblW w:w="0" w:type="auto"/>
        <w:tblCellMar>
          <w:top w:w="113" w:type="dxa"/>
          <w:bottom w:w="113" w:type="dxa"/>
        </w:tblCellMar>
        <w:tblLook w:val="04A0" w:firstRow="1" w:lastRow="0" w:firstColumn="1" w:lastColumn="0" w:noHBand="0" w:noVBand="1"/>
      </w:tblPr>
      <w:tblGrid>
        <w:gridCol w:w="4814"/>
        <w:gridCol w:w="4814"/>
      </w:tblGrid>
      <w:tr w:rsidR="00690827" w:rsidRPr="00690827" w14:paraId="11E0ED49" w14:textId="77777777" w:rsidTr="00690827">
        <w:trPr>
          <w:cantSplit/>
        </w:trPr>
        <w:tc>
          <w:tcPr>
            <w:tcW w:w="4814" w:type="dxa"/>
          </w:tcPr>
          <w:p w14:paraId="35B86FF2"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Ex quo,</w:t>
            </w:r>
          </w:p>
          <w:p w14:paraId="7FAB6968" w14:textId="300142A9"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quamquam hoc videbitur fortasse cuipiam</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durius,</w:t>
            </w:r>
          </w:p>
          <w:p w14:paraId="6DF7BA75"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tamen audeamus imitari Stoicos,</w:t>
            </w:r>
          </w:p>
          <w:p w14:paraId="53B90820" w14:textId="3B6724B0"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qui studiose exquirunt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7C798392" w14:textId="7777777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unde verba sint ducta,</w:t>
            </w:r>
          </w:p>
          <w:p w14:paraId="5CB970F9"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credamusque,</w:t>
            </w:r>
          </w:p>
          <w:p w14:paraId="512FE0E4" w14:textId="7EF73EDD"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quia fiat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34D35BE7" w14:textId="7777777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quod dictum est,</w:t>
            </w:r>
          </w:p>
          <w:p w14:paraId="2A57A029" w14:textId="2B7974ED"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appellatam fidem.</w:t>
            </w:r>
          </w:p>
        </w:tc>
        <w:tc>
          <w:tcPr>
            <w:tcW w:w="4814" w:type="dxa"/>
          </w:tcPr>
          <w:p w14:paraId="5B0E44B5" w14:textId="77777777" w:rsidR="00D161D0" w:rsidRPr="00690827" w:rsidRDefault="00D161D0" w:rsidP="007967AE">
            <w:pPr>
              <w:pStyle w:val="vokangabe2"/>
            </w:pPr>
            <w:proofErr w:type="spellStart"/>
            <w:r w:rsidRPr="00690827">
              <w:t>cuipiam</w:t>
            </w:r>
            <w:proofErr w:type="spellEnd"/>
            <w:r w:rsidRPr="00690827">
              <w:t xml:space="preserve">: von </w:t>
            </w:r>
            <w:proofErr w:type="spellStart"/>
            <w:r w:rsidRPr="00690827">
              <w:t>quispiam</w:t>
            </w:r>
            <w:proofErr w:type="spellEnd"/>
            <w:r w:rsidRPr="00690827">
              <w:t>: irgendjemand</w:t>
            </w:r>
          </w:p>
          <w:p w14:paraId="4D6EB2C3" w14:textId="5DBDE6C9" w:rsidR="00D161D0" w:rsidRPr="00690827" w:rsidRDefault="00D161D0" w:rsidP="007967AE">
            <w:pPr>
              <w:pStyle w:val="vokangabe2"/>
            </w:pPr>
            <w:proofErr w:type="spellStart"/>
            <w:r w:rsidRPr="00690827">
              <w:t>exquīrere</w:t>
            </w:r>
            <w:proofErr w:type="spellEnd"/>
            <w:r w:rsidRPr="00690827">
              <w:t xml:space="preserve">, </w:t>
            </w:r>
            <w:proofErr w:type="spellStart"/>
            <w:r w:rsidRPr="00690827">
              <w:t>exquīrō</w:t>
            </w:r>
            <w:proofErr w:type="spellEnd"/>
            <w:r w:rsidRPr="00690827">
              <w:t xml:space="preserve">, </w:t>
            </w:r>
            <w:proofErr w:type="spellStart"/>
            <w:r w:rsidRPr="00690827">
              <w:t>exquīsīvī</w:t>
            </w:r>
            <w:proofErr w:type="spellEnd"/>
            <w:r w:rsidRPr="00690827">
              <w:t xml:space="preserve">, </w:t>
            </w:r>
            <w:proofErr w:type="spellStart"/>
            <w:r w:rsidRPr="00690827">
              <w:t>exquīsītum</w:t>
            </w:r>
            <w:proofErr w:type="spellEnd"/>
            <w:r w:rsidRPr="00690827">
              <w:t>: nachforschen, untersuchen. Cicero bezieht sich hier auf die etymologische Methode der Stoiker. Die Etymologie in diesem Sinne versucht die aktuelle Bedeutung eines Wortes aus dessen Herkunft zu erschließen. Die hier vorgeschlagene Begründung (</w:t>
            </w:r>
            <w:proofErr w:type="spellStart"/>
            <w:r w:rsidRPr="00690827">
              <w:t>fidēs</w:t>
            </w:r>
            <w:proofErr w:type="spellEnd"/>
            <w:r w:rsidRPr="00690827">
              <w:t xml:space="preserve"> kommt von fiat) gilt aber wie viele dieser Herleitungen als unhaltbar.</w:t>
            </w:r>
          </w:p>
          <w:p w14:paraId="7EA81956" w14:textId="6132BF75" w:rsidR="00D161D0" w:rsidRPr="00690827" w:rsidRDefault="00D161D0" w:rsidP="007967AE">
            <w:pPr>
              <w:pStyle w:val="vokangabe2"/>
            </w:pPr>
            <w:r w:rsidRPr="00690827">
              <w:t xml:space="preserve">fiat: Da </w:t>
            </w:r>
            <w:proofErr w:type="spellStart"/>
            <w:r w:rsidRPr="00690827">
              <w:t>quia</w:t>
            </w:r>
            <w:proofErr w:type="spellEnd"/>
            <w:r w:rsidRPr="00690827">
              <w:t xml:space="preserve"> (weil) mit dem Indikativ steht, muss der Konjunktiv an dieser Stelle wie in einem Hauptsatz, und zwar mit </w:t>
            </w:r>
            <w:r w:rsidR="00AA16D5">
              <w:t>„</w:t>
            </w:r>
            <w:r w:rsidRPr="00690827">
              <w:t>sollen</w:t>
            </w:r>
            <w:r w:rsidR="00AA16D5">
              <w:t>“</w:t>
            </w:r>
            <w:r w:rsidRPr="00690827">
              <w:t xml:space="preserve"> übersetzt werden.</w:t>
            </w:r>
          </w:p>
        </w:tc>
      </w:tr>
      <w:tr w:rsidR="00690827" w:rsidRPr="00690827" w14:paraId="00C34B8D" w14:textId="77777777" w:rsidTr="00690827">
        <w:trPr>
          <w:cantSplit/>
        </w:trPr>
        <w:tc>
          <w:tcPr>
            <w:tcW w:w="4814" w:type="dxa"/>
          </w:tcPr>
          <w:p w14:paraId="7CBF015C"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Sed iniustitiae genera duo sunt,</w:t>
            </w:r>
          </w:p>
          <w:p w14:paraId="46A433E3"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unum eorum,</w:t>
            </w:r>
          </w:p>
          <w:p w14:paraId="246762E8" w14:textId="6E3396B3"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qui inferunt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2D4A3726"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alterum eorum,</w:t>
            </w:r>
          </w:p>
          <w:p w14:paraId="1332709E"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qui ab iis,</w:t>
            </w:r>
          </w:p>
          <w:p w14:paraId="11171FA3" w14:textId="7777777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quibus infertur,</w:t>
            </w:r>
          </w:p>
          <w:p w14:paraId="3F257992" w14:textId="7777777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si possunt,</w:t>
            </w:r>
          </w:p>
          <w:p w14:paraId="1BB5A936"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non propulsant iniuriam.</w:t>
            </w:r>
          </w:p>
          <w:p w14:paraId="232947EC" w14:textId="647AC014"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Nam qui iniuste impetum in quempiam</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facit aut ira aut aliqua perturbatione incitatus,</w:t>
            </w:r>
          </w:p>
          <w:p w14:paraId="7CFBB280" w14:textId="4C2938F4"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is quasi manus afferre</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videtur socio;</w:t>
            </w:r>
          </w:p>
        </w:tc>
        <w:tc>
          <w:tcPr>
            <w:tcW w:w="4814" w:type="dxa"/>
          </w:tcPr>
          <w:p w14:paraId="2173E354" w14:textId="594B825D" w:rsidR="00D161D0" w:rsidRPr="00690827" w:rsidRDefault="008E7C03" w:rsidP="007967AE">
            <w:pPr>
              <w:pStyle w:val="vokangabe2"/>
              <w:rPr>
                <w:lang w:eastAsia="de-DE"/>
              </w:rPr>
            </w:pPr>
            <w:proofErr w:type="spellStart"/>
            <w:r w:rsidRPr="00690827">
              <w:t>ī</w:t>
            </w:r>
            <w:r w:rsidR="00D161D0" w:rsidRPr="00690827">
              <w:rPr>
                <w:lang w:eastAsia="de-DE"/>
              </w:rPr>
              <w:t>nferre</w:t>
            </w:r>
            <w:proofErr w:type="spellEnd"/>
            <w:r w:rsidR="00D161D0" w:rsidRPr="00690827">
              <w:rPr>
                <w:lang w:eastAsia="de-DE"/>
              </w:rPr>
              <w:t xml:space="preserve"> </w:t>
            </w:r>
            <w:proofErr w:type="spellStart"/>
            <w:r w:rsidR="00D161D0" w:rsidRPr="00690827">
              <w:rPr>
                <w:lang w:eastAsia="de-DE"/>
              </w:rPr>
              <w:t>ini</w:t>
            </w:r>
            <w:r w:rsidRPr="008E7C03">
              <w:rPr>
                <w:lang w:eastAsia="de-DE"/>
              </w:rPr>
              <w:t>ū</w:t>
            </w:r>
            <w:r w:rsidR="00D161D0" w:rsidRPr="00690827">
              <w:rPr>
                <w:lang w:eastAsia="de-DE"/>
              </w:rPr>
              <w:t>riam</w:t>
            </w:r>
            <w:proofErr w:type="spellEnd"/>
            <w:r w:rsidR="00D161D0" w:rsidRPr="00690827">
              <w:rPr>
                <w:lang w:eastAsia="de-DE"/>
              </w:rPr>
              <w:t>: Unrecht zufügen</w:t>
            </w:r>
          </w:p>
          <w:p w14:paraId="75E4D0CC" w14:textId="40D4FF5B" w:rsidR="00D161D0" w:rsidRPr="00690827" w:rsidRDefault="00D161D0" w:rsidP="007967AE">
            <w:pPr>
              <w:pStyle w:val="vokangabe2"/>
              <w:rPr>
                <w:lang w:eastAsia="de-DE"/>
              </w:rPr>
            </w:pPr>
            <w:proofErr w:type="spellStart"/>
            <w:r w:rsidRPr="00690827">
              <w:rPr>
                <w:lang w:eastAsia="de-DE"/>
              </w:rPr>
              <w:t>propulsāre</w:t>
            </w:r>
            <w:proofErr w:type="spellEnd"/>
            <w:r w:rsidRPr="00690827">
              <w:rPr>
                <w:lang w:eastAsia="de-DE"/>
              </w:rPr>
              <w:t>: abwehren</w:t>
            </w:r>
          </w:p>
          <w:p w14:paraId="662B26A8" w14:textId="77777777" w:rsidR="00D161D0" w:rsidRPr="00690827" w:rsidRDefault="00D161D0" w:rsidP="007967AE">
            <w:pPr>
              <w:pStyle w:val="vokangabe2"/>
              <w:rPr>
                <w:lang w:eastAsia="de-DE"/>
              </w:rPr>
            </w:pPr>
            <w:proofErr w:type="spellStart"/>
            <w:r w:rsidRPr="00690827">
              <w:rPr>
                <w:lang w:eastAsia="de-DE"/>
              </w:rPr>
              <w:t>quispiam</w:t>
            </w:r>
            <w:proofErr w:type="spellEnd"/>
            <w:r w:rsidRPr="00690827">
              <w:rPr>
                <w:lang w:eastAsia="de-DE"/>
              </w:rPr>
              <w:t>: irgendjemand. Dekliniert wird der erste Teil dieses Indefinitpronomens.</w:t>
            </w:r>
          </w:p>
          <w:p w14:paraId="5EFBE66A" w14:textId="2076E150" w:rsidR="00D161D0" w:rsidRPr="00690827" w:rsidRDefault="00D161D0" w:rsidP="007967AE">
            <w:pPr>
              <w:pStyle w:val="vokangabe2"/>
              <w:rPr>
                <w:rFonts w:eastAsia="Times New Roman" w:cstheme="minorHAnsi"/>
                <w:sz w:val="24"/>
                <w:szCs w:val="24"/>
                <w:lang w:eastAsia="de-DE"/>
              </w:rPr>
            </w:pPr>
            <w:proofErr w:type="spellStart"/>
            <w:r w:rsidRPr="00690827">
              <w:rPr>
                <w:lang w:eastAsia="de-DE"/>
              </w:rPr>
              <w:t>manūs</w:t>
            </w:r>
            <w:proofErr w:type="spellEnd"/>
            <w:r w:rsidRPr="00690827">
              <w:rPr>
                <w:lang w:eastAsia="de-DE"/>
              </w:rPr>
              <w:t xml:space="preserve"> </w:t>
            </w:r>
            <w:proofErr w:type="spellStart"/>
            <w:r w:rsidRPr="00690827">
              <w:rPr>
                <w:lang w:eastAsia="de-DE"/>
              </w:rPr>
              <w:t>afferre</w:t>
            </w:r>
            <w:proofErr w:type="spellEnd"/>
            <w:r w:rsidRPr="00690827">
              <w:rPr>
                <w:lang w:eastAsia="de-DE"/>
              </w:rPr>
              <w:t>: wörtlich: Hand an jemanden legen; Übersetzungsvorschlag: angreifen</w:t>
            </w:r>
          </w:p>
        </w:tc>
      </w:tr>
      <w:tr w:rsidR="00690827" w:rsidRPr="00690827" w14:paraId="70942DEC" w14:textId="77777777" w:rsidTr="00690827">
        <w:trPr>
          <w:cantSplit/>
        </w:trPr>
        <w:tc>
          <w:tcPr>
            <w:tcW w:w="4814" w:type="dxa"/>
          </w:tcPr>
          <w:p w14:paraId="0662C199" w14:textId="13C3D1F3"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lastRenderedPageBreak/>
              <w:t>Qui</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 xml:space="preserve"> autem non defendit nec obsistit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p w14:paraId="15A9B033" w14:textId="77777777" w:rsidR="00D161D0" w:rsidRPr="00690827" w:rsidRDefault="00D161D0" w:rsidP="00690827">
            <w:pPr>
              <w:spacing w:before="120" w:after="0" w:line="312" w:lineRule="auto"/>
              <w:ind w:left="90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si potest,</w:t>
            </w:r>
          </w:p>
          <w:p w14:paraId="29D94F0C" w14:textId="77777777" w:rsidR="00D161D0" w:rsidRPr="00690827" w:rsidRDefault="00D161D0" w:rsidP="00690827">
            <w:pPr>
              <w:spacing w:before="120" w:after="0" w:line="312" w:lineRule="auto"/>
              <w:ind w:left="450"/>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iniuriae,</w:t>
            </w:r>
          </w:p>
          <w:p w14:paraId="10BA53E2" w14:textId="77777777"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tam est in vitio,</w:t>
            </w:r>
          </w:p>
          <w:p w14:paraId="5A169D9D" w14:textId="5A5A1983" w:rsidR="00D161D0" w:rsidRPr="00690827" w:rsidRDefault="00D161D0" w:rsidP="00690827">
            <w:pPr>
              <w:spacing w:before="120" w:after="0" w:line="312" w:lineRule="auto"/>
              <w:contextualSpacing/>
              <w:rPr>
                <w:rFonts w:eastAsia="Times New Roman" w:cstheme="minorHAnsi"/>
                <w:color w:val="000000" w:themeColor="text1"/>
                <w:sz w:val="24"/>
                <w:szCs w:val="24"/>
                <w:lang w:val="la-Latn" w:eastAsia="de-DE"/>
              </w:rPr>
            </w:pPr>
            <w:r w:rsidRPr="00690827">
              <w:rPr>
                <w:rFonts w:eastAsia="Times New Roman" w:cstheme="minorHAnsi"/>
                <w:color w:val="000000" w:themeColor="text1"/>
                <w:sz w:val="24"/>
                <w:szCs w:val="24"/>
                <w:lang w:val="la-Latn" w:eastAsia="de-DE"/>
              </w:rPr>
              <w:t>quam si parentes aut amicos aut patriam deserat</w:t>
            </w:r>
            <w:r w:rsidR="007967AE" w:rsidRPr="007967AE">
              <w:rPr>
                <w:rFonts w:eastAsia="Times New Roman" w:cstheme="minorHAnsi"/>
                <w:color w:val="000000" w:themeColor="text1"/>
                <w:sz w:val="20"/>
                <w:szCs w:val="20"/>
                <w:lang w:eastAsia="de-DE"/>
              </w:rPr>
              <w:t>*</w:t>
            </w:r>
            <w:r w:rsidRPr="00690827">
              <w:rPr>
                <w:rFonts w:eastAsia="Times New Roman" w:cstheme="minorHAnsi"/>
                <w:color w:val="000000" w:themeColor="text1"/>
                <w:sz w:val="24"/>
                <w:szCs w:val="24"/>
                <w:lang w:val="la-Latn" w:eastAsia="de-DE"/>
              </w:rPr>
              <w:t>.</w:t>
            </w:r>
          </w:p>
        </w:tc>
        <w:tc>
          <w:tcPr>
            <w:tcW w:w="4814" w:type="dxa"/>
          </w:tcPr>
          <w:p w14:paraId="12AF5BB6" w14:textId="77777777" w:rsidR="00D161D0" w:rsidRPr="00690827" w:rsidRDefault="00D161D0" w:rsidP="007967AE">
            <w:pPr>
              <w:pStyle w:val="vokangabe2"/>
              <w:rPr>
                <w:color w:val="000000" w:themeColor="text1"/>
              </w:rPr>
            </w:pPr>
            <w:r w:rsidRPr="00690827">
              <w:rPr>
                <w:color w:val="000000" w:themeColor="text1"/>
              </w:rPr>
              <w:t xml:space="preserve">qui </w:t>
            </w:r>
            <w:proofErr w:type="spellStart"/>
            <w:r w:rsidRPr="00690827">
              <w:rPr>
                <w:color w:val="000000" w:themeColor="text1"/>
              </w:rPr>
              <w:t>autem</w:t>
            </w:r>
            <w:proofErr w:type="spellEnd"/>
            <w:r w:rsidRPr="00690827">
              <w:rPr>
                <w:color w:val="000000" w:themeColor="text1"/>
              </w:rPr>
              <w:t xml:space="preserve">: Hier liegt kein relativischer Satzanschluss vor, sondern ein normaler Relativsatz (Satzlehre: </w:t>
            </w:r>
            <w:hyperlink r:id="rId13" w:anchor="keinbezugswort" w:tgtFrame="_blank" w:history="1">
              <w:r w:rsidRPr="00690827">
                <w:rPr>
                  <w:color w:val="000000" w:themeColor="text1"/>
                </w:rPr>
                <w:t>Relativsatz ohne Bezugswort</w:t>
              </w:r>
            </w:hyperlink>
            <w:r w:rsidRPr="00690827">
              <w:rPr>
                <w:color w:val="000000" w:themeColor="text1"/>
              </w:rPr>
              <w:t>). Übersetzen Sie qui mit „wer“.</w:t>
            </w:r>
          </w:p>
          <w:p w14:paraId="6C5E0239" w14:textId="77777777" w:rsidR="00D161D0" w:rsidRPr="00690827" w:rsidRDefault="00D161D0" w:rsidP="007967AE">
            <w:pPr>
              <w:pStyle w:val="vokangabe2"/>
            </w:pPr>
            <w:proofErr w:type="spellStart"/>
            <w:r w:rsidRPr="00690827">
              <w:t>obsistere</w:t>
            </w:r>
            <w:proofErr w:type="spellEnd"/>
            <w:r w:rsidRPr="00690827">
              <w:t xml:space="preserve">, </w:t>
            </w:r>
            <w:proofErr w:type="spellStart"/>
            <w:r w:rsidRPr="00690827">
              <w:t>obsistō</w:t>
            </w:r>
            <w:proofErr w:type="spellEnd"/>
            <w:r w:rsidRPr="00690827">
              <w:t xml:space="preserve">, </w:t>
            </w:r>
            <w:proofErr w:type="spellStart"/>
            <w:r w:rsidRPr="00690827">
              <w:t>obstitī</w:t>
            </w:r>
            <w:proofErr w:type="spellEnd"/>
            <w:r w:rsidRPr="00690827">
              <w:t xml:space="preserve"> (kein PPP.) (mit Dativ-Objekt): jemanden oder etwas abwehren, sich jemandem widersetzen</w:t>
            </w:r>
          </w:p>
          <w:p w14:paraId="30A97903" w14:textId="24E3CB3C" w:rsidR="00D161D0" w:rsidRPr="00690827" w:rsidRDefault="00D161D0" w:rsidP="007967AE">
            <w:pPr>
              <w:pStyle w:val="vokangabe2"/>
              <w:rPr>
                <w:lang w:eastAsia="de-DE"/>
              </w:rPr>
            </w:pPr>
            <w:proofErr w:type="spellStart"/>
            <w:r w:rsidRPr="00690827">
              <w:t>dēserere</w:t>
            </w:r>
            <w:proofErr w:type="spellEnd"/>
            <w:r w:rsidRPr="00690827">
              <w:t xml:space="preserve">, </w:t>
            </w:r>
            <w:proofErr w:type="spellStart"/>
            <w:r w:rsidRPr="00690827">
              <w:t>dēserō</w:t>
            </w:r>
            <w:proofErr w:type="spellEnd"/>
            <w:r w:rsidRPr="00690827">
              <w:t xml:space="preserve">, </w:t>
            </w:r>
            <w:proofErr w:type="spellStart"/>
            <w:r w:rsidRPr="00690827">
              <w:t>d</w:t>
            </w:r>
            <w:r w:rsidR="008E7C03" w:rsidRPr="00690827">
              <w:t>ē</w:t>
            </w:r>
            <w:r w:rsidRPr="00690827">
              <w:t>seruī</w:t>
            </w:r>
            <w:proofErr w:type="spellEnd"/>
            <w:r w:rsidRPr="00690827">
              <w:t xml:space="preserve">, </w:t>
            </w:r>
            <w:proofErr w:type="spellStart"/>
            <w:r w:rsidRPr="00690827">
              <w:t>dēsertum</w:t>
            </w:r>
            <w:proofErr w:type="spellEnd"/>
            <w:r w:rsidRPr="00690827">
              <w:t>: im Stich lassen</w:t>
            </w:r>
          </w:p>
        </w:tc>
      </w:tr>
    </w:tbl>
    <w:p w14:paraId="74D8B3DB" w14:textId="77777777" w:rsidR="00EC44FD" w:rsidRDefault="00EC44FD" w:rsidP="00690827">
      <w:pPr>
        <w:spacing w:before="240" w:after="0" w:line="312" w:lineRule="auto"/>
        <w:outlineLvl w:val="3"/>
        <w:rPr>
          <w:rFonts w:eastAsia="Times New Roman" w:cstheme="minorHAnsi"/>
          <w:b/>
          <w:bCs/>
          <w:color w:val="000000" w:themeColor="text1"/>
          <w:sz w:val="24"/>
          <w:szCs w:val="24"/>
          <w:lang w:eastAsia="de-DE"/>
        </w:rPr>
      </w:pPr>
    </w:p>
    <w:p w14:paraId="4AF61DAF" w14:textId="7061D942" w:rsidR="00091551" w:rsidRPr="00690827" w:rsidRDefault="00091551" w:rsidP="00690827">
      <w:pPr>
        <w:spacing w:before="240" w:after="0" w:line="312" w:lineRule="auto"/>
        <w:outlineLvl w:val="3"/>
        <w:rPr>
          <w:rFonts w:eastAsia="Times New Roman" w:cstheme="minorHAnsi"/>
          <w:b/>
          <w:bCs/>
          <w:color w:val="000000" w:themeColor="text1"/>
          <w:sz w:val="24"/>
          <w:szCs w:val="24"/>
          <w:lang w:eastAsia="de-DE"/>
        </w:rPr>
      </w:pPr>
      <w:r w:rsidRPr="00690827">
        <w:rPr>
          <w:rFonts w:eastAsia="Times New Roman" w:cstheme="minorHAnsi"/>
          <w:b/>
          <w:bCs/>
          <w:color w:val="000000" w:themeColor="text1"/>
          <w:sz w:val="24"/>
          <w:szCs w:val="24"/>
          <w:lang w:eastAsia="de-DE"/>
        </w:rPr>
        <w:t>Anregungen für die Diskussion</w:t>
      </w:r>
    </w:p>
    <w:p w14:paraId="5EDD90A6" w14:textId="77777777" w:rsidR="00091551" w:rsidRPr="00690827" w:rsidRDefault="00091551" w:rsidP="00690827">
      <w:pPr>
        <w:numPr>
          <w:ilvl w:val="0"/>
          <w:numId w:val="10"/>
        </w:num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Arbeiten Sie aus § 1, 20 den Begriff der Gerechtigkeit heraus.</w:t>
      </w:r>
    </w:p>
    <w:p w14:paraId="7503147B" w14:textId="77777777" w:rsidR="00091551" w:rsidRPr="00690827" w:rsidRDefault="00091551" w:rsidP="00690827">
      <w:pPr>
        <w:numPr>
          <w:ilvl w:val="0"/>
          <w:numId w:val="10"/>
        </w:num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 xml:space="preserve">In den </w:t>
      </w:r>
      <w:proofErr w:type="spellStart"/>
      <w:r w:rsidRPr="00690827">
        <w:rPr>
          <w:rFonts w:eastAsia="Times New Roman" w:cstheme="minorHAnsi"/>
          <w:i/>
          <w:iCs/>
          <w:color w:val="000000" w:themeColor="text1"/>
          <w:sz w:val="24"/>
          <w:szCs w:val="24"/>
          <w:lang w:eastAsia="de-DE"/>
        </w:rPr>
        <w:t>Institutiones</w:t>
      </w:r>
      <w:proofErr w:type="spellEnd"/>
      <w:r w:rsidRPr="00690827">
        <w:rPr>
          <w:rFonts w:eastAsia="Times New Roman" w:cstheme="minorHAnsi"/>
          <w:color w:val="000000" w:themeColor="text1"/>
          <w:sz w:val="24"/>
          <w:szCs w:val="24"/>
          <w:lang w:eastAsia="de-DE"/>
        </w:rPr>
        <w:t xml:space="preserve"> des </w:t>
      </w:r>
      <w:proofErr w:type="spellStart"/>
      <w:r w:rsidRPr="00690827">
        <w:rPr>
          <w:rFonts w:eastAsia="Times New Roman" w:cstheme="minorHAnsi"/>
          <w:color w:val="000000" w:themeColor="text1"/>
          <w:sz w:val="24"/>
          <w:szCs w:val="24"/>
          <w:lang w:eastAsia="de-DE"/>
        </w:rPr>
        <w:t>Iustinian</w:t>
      </w:r>
      <w:proofErr w:type="spellEnd"/>
      <w:r w:rsidRPr="00690827">
        <w:rPr>
          <w:rFonts w:eastAsia="Times New Roman" w:cstheme="minorHAnsi"/>
          <w:color w:val="000000" w:themeColor="text1"/>
          <w:sz w:val="24"/>
          <w:szCs w:val="24"/>
          <w:lang w:eastAsia="de-DE"/>
        </w:rPr>
        <w:t xml:space="preserve"> (§ 1.1.3), einem spätantiken Werk zur Rechtstheorie, findet man folgenden (oft zitierten) Satz:</w:t>
      </w:r>
    </w:p>
    <w:p w14:paraId="1235AD45" w14:textId="77777777" w:rsidR="00091551" w:rsidRPr="00690827" w:rsidRDefault="00091551" w:rsidP="00B028A4">
      <w:pPr>
        <w:pBdr>
          <w:top w:val="single" w:sz="8" w:space="1" w:color="auto" w:shadow="1"/>
          <w:left w:val="single" w:sz="8" w:space="4" w:color="auto" w:shadow="1"/>
          <w:bottom w:val="single" w:sz="8" w:space="1" w:color="auto" w:shadow="1"/>
          <w:right w:val="single" w:sz="8" w:space="4" w:color="auto" w:shadow="1"/>
        </w:pBdr>
        <w:spacing w:before="120" w:after="0" w:line="312" w:lineRule="auto"/>
        <w:contextualSpacing/>
        <w:rPr>
          <w:rFonts w:eastAsia="Times New Roman" w:cstheme="minorHAnsi"/>
          <w:color w:val="000000" w:themeColor="text1"/>
          <w:sz w:val="24"/>
          <w:szCs w:val="24"/>
          <w:lang w:eastAsia="de-DE"/>
        </w:rPr>
      </w:pPr>
      <w:proofErr w:type="spellStart"/>
      <w:r w:rsidRPr="00690827">
        <w:rPr>
          <w:rFonts w:eastAsia="Times New Roman" w:cstheme="minorHAnsi"/>
          <w:color w:val="000000" w:themeColor="text1"/>
          <w:sz w:val="24"/>
          <w:szCs w:val="24"/>
          <w:lang w:eastAsia="de-DE"/>
        </w:rPr>
        <w:t>Iuris</w:t>
      </w:r>
      <w:proofErr w:type="spellEnd"/>
      <w:r w:rsidRPr="00690827">
        <w:rPr>
          <w:rFonts w:eastAsia="Times New Roman" w:cstheme="minorHAnsi"/>
          <w:color w:val="000000" w:themeColor="text1"/>
          <w:sz w:val="24"/>
          <w:szCs w:val="24"/>
          <w:lang w:eastAsia="de-DE"/>
        </w:rPr>
        <w:t xml:space="preserve"> </w:t>
      </w:r>
      <w:proofErr w:type="spellStart"/>
      <w:r w:rsidRPr="00690827">
        <w:rPr>
          <w:rFonts w:eastAsia="Times New Roman" w:cstheme="minorHAnsi"/>
          <w:color w:val="000000" w:themeColor="text1"/>
          <w:sz w:val="24"/>
          <w:szCs w:val="24"/>
          <w:lang w:eastAsia="de-DE"/>
        </w:rPr>
        <w:t>praecepta</w:t>
      </w:r>
      <w:proofErr w:type="spellEnd"/>
      <w:r w:rsidRPr="00690827">
        <w:rPr>
          <w:rFonts w:eastAsia="Times New Roman" w:cstheme="minorHAnsi"/>
          <w:color w:val="000000" w:themeColor="text1"/>
          <w:sz w:val="24"/>
          <w:szCs w:val="24"/>
          <w:lang w:eastAsia="de-DE"/>
        </w:rPr>
        <w:t xml:space="preserve"> </w:t>
      </w:r>
      <w:proofErr w:type="spellStart"/>
      <w:r w:rsidRPr="00690827">
        <w:rPr>
          <w:rFonts w:eastAsia="Times New Roman" w:cstheme="minorHAnsi"/>
          <w:color w:val="000000" w:themeColor="text1"/>
          <w:sz w:val="24"/>
          <w:szCs w:val="24"/>
          <w:lang w:eastAsia="de-DE"/>
        </w:rPr>
        <w:t>sunt</w:t>
      </w:r>
      <w:proofErr w:type="spellEnd"/>
      <w:r w:rsidRPr="00690827">
        <w:rPr>
          <w:rFonts w:eastAsia="Times New Roman" w:cstheme="minorHAnsi"/>
          <w:color w:val="000000" w:themeColor="text1"/>
          <w:sz w:val="24"/>
          <w:szCs w:val="24"/>
          <w:lang w:eastAsia="de-DE"/>
        </w:rPr>
        <w:t xml:space="preserve"> </w:t>
      </w:r>
      <w:proofErr w:type="spellStart"/>
      <w:r w:rsidRPr="00690827">
        <w:rPr>
          <w:rFonts w:eastAsia="Times New Roman" w:cstheme="minorHAnsi"/>
          <w:color w:val="000000" w:themeColor="text1"/>
          <w:sz w:val="24"/>
          <w:szCs w:val="24"/>
          <w:lang w:eastAsia="de-DE"/>
        </w:rPr>
        <w:t>haec</w:t>
      </w:r>
      <w:proofErr w:type="spellEnd"/>
      <w:r w:rsidRPr="00690827">
        <w:rPr>
          <w:rFonts w:eastAsia="Times New Roman" w:cstheme="minorHAnsi"/>
          <w:color w:val="000000" w:themeColor="text1"/>
          <w:sz w:val="24"/>
          <w:szCs w:val="24"/>
          <w:lang w:eastAsia="de-DE"/>
        </w:rPr>
        <w:t xml:space="preserve">: </w:t>
      </w:r>
      <w:proofErr w:type="spellStart"/>
      <w:r w:rsidRPr="00690827">
        <w:rPr>
          <w:rFonts w:eastAsia="Times New Roman" w:cstheme="minorHAnsi"/>
          <w:color w:val="000000" w:themeColor="text1"/>
          <w:sz w:val="24"/>
          <w:szCs w:val="24"/>
          <w:lang w:eastAsia="de-DE"/>
        </w:rPr>
        <w:t>honeste</w:t>
      </w:r>
      <w:proofErr w:type="spellEnd"/>
      <w:r w:rsidRPr="00690827">
        <w:rPr>
          <w:rFonts w:eastAsia="Times New Roman" w:cstheme="minorHAnsi"/>
          <w:color w:val="000000" w:themeColor="text1"/>
          <w:sz w:val="24"/>
          <w:szCs w:val="24"/>
          <w:lang w:eastAsia="de-DE"/>
        </w:rPr>
        <w:t xml:space="preserve"> vivere, </w:t>
      </w:r>
      <w:proofErr w:type="spellStart"/>
      <w:r w:rsidRPr="00690827">
        <w:rPr>
          <w:rFonts w:eastAsia="Times New Roman" w:cstheme="minorHAnsi"/>
          <w:color w:val="000000" w:themeColor="text1"/>
          <w:sz w:val="24"/>
          <w:szCs w:val="24"/>
          <w:lang w:eastAsia="de-DE"/>
        </w:rPr>
        <w:t>alterum</w:t>
      </w:r>
      <w:proofErr w:type="spellEnd"/>
      <w:r w:rsidRPr="00690827">
        <w:rPr>
          <w:rFonts w:eastAsia="Times New Roman" w:cstheme="minorHAnsi"/>
          <w:color w:val="000000" w:themeColor="text1"/>
          <w:sz w:val="24"/>
          <w:szCs w:val="24"/>
          <w:lang w:eastAsia="de-DE"/>
        </w:rPr>
        <w:t xml:space="preserve"> non </w:t>
      </w:r>
      <w:proofErr w:type="spellStart"/>
      <w:r w:rsidRPr="00690827">
        <w:rPr>
          <w:rFonts w:eastAsia="Times New Roman" w:cstheme="minorHAnsi"/>
          <w:color w:val="000000" w:themeColor="text1"/>
          <w:sz w:val="24"/>
          <w:szCs w:val="24"/>
          <w:lang w:eastAsia="de-DE"/>
        </w:rPr>
        <w:t>laedere</w:t>
      </w:r>
      <w:proofErr w:type="spellEnd"/>
      <w:r w:rsidRPr="00690827">
        <w:rPr>
          <w:rFonts w:eastAsia="Times New Roman" w:cstheme="minorHAnsi"/>
          <w:color w:val="000000" w:themeColor="text1"/>
          <w:sz w:val="24"/>
          <w:szCs w:val="24"/>
          <w:lang w:eastAsia="de-DE"/>
        </w:rPr>
        <w:t xml:space="preserve">, </w:t>
      </w:r>
      <w:proofErr w:type="spellStart"/>
      <w:r w:rsidRPr="00690827">
        <w:rPr>
          <w:rFonts w:eastAsia="Times New Roman" w:cstheme="minorHAnsi"/>
          <w:color w:val="000000" w:themeColor="text1"/>
          <w:sz w:val="24"/>
          <w:szCs w:val="24"/>
          <w:lang w:eastAsia="de-DE"/>
        </w:rPr>
        <w:t>suum</w:t>
      </w:r>
      <w:proofErr w:type="spellEnd"/>
      <w:r w:rsidRPr="00690827">
        <w:rPr>
          <w:rFonts w:eastAsia="Times New Roman" w:cstheme="minorHAnsi"/>
          <w:color w:val="000000" w:themeColor="text1"/>
          <w:sz w:val="24"/>
          <w:szCs w:val="24"/>
          <w:lang w:eastAsia="de-DE"/>
        </w:rPr>
        <w:t xml:space="preserve"> cuique </w:t>
      </w:r>
      <w:proofErr w:type="spellStart"/>
      <w:r w:rsidRPr="00690827">
        <w:rPr>
          <w:rFonts w:eastAsia="Times New Roman" w:cstheme="minorHAnsi"/>
          <w:color w:val="000000" w:themeColor="text1"/>
          <w:sz w:val="24"/>
          <w:szCs w:val="24"/>
          <w:lang w:eastAsia="de-DE"/>
        </w:rPr>
        <w:t>tribuere</w:t>
      </w:r>
      <w:proofErr w:type="spellEnd"/>
      <w:r w:rsidRPr="00690827">
        <w:rPr>
          <w:rFonts w:eastAsia="Times New Roman" w:cstheme="minorHAnsi"/>
          <w:color w:val="000000" w:themeColor="text1"/>
          <w:sz w:val="24"/>
          <w:szCs w:val="24"/>
          <w:lang w:eastAsia="de-DE"/>
        </w:rPr>
        <w:t>.</w:t>
      </w:r>
    </w:p>
    <w:p w14:paraId="3044E9D6" w14:textId="77777777" w:rsidR="00091551" w:rsidRPr="00B028A4" w:rsidRDefault="00091551" w:rsidP="00B028A4">
      <w:pPr>
        <w:spacing w:before="240" w:after="240" w:line="312" w:lineRule="auto"/>
        <w:ind w:left="1418"/>
        <w:rPr>
          <w:rFonts w:eastAsia="Times New Roman" w:cstheme="minorHAnsi"/>
          <w:color w:val="000000" w:themeColor="text1"/>
          <w:sz w:val="20"/>
          <w:szCs w:val="20"/>
          <w:lang w:eastAsia="de-DE"/>
        </w:rPr>
      </w:pPr>
      <w:r w:rsidRPr="00B028A4">
        <w:rPr>
          <w:rFonts w:eastAsia="Times New Roman" w:cstheme="minorHAnsi"/>
          <w:b/>
          <w:bCs/>
          <w:color w:val="000000" w:themeColor="text1"/>
          <w:sz w:val="20"/>
          <w:szCs w:val="20"/>
          <w:lang w:eastAsia="de-DE"/>
        </w:rPr>
        <w:t>Übersetzungshilfen</w:t>
      </w:r>
      <w:r w:rsidRPr="00B028A4">
        <w:rPr>
          <w:rFonts w:eastAsia="Times New Roman" w:cstheme="minorHAnsi"/>
          <w:color w:val="000000" w:themeColor="text1"/>
          <w:sz w:val="20"/>
          <w:szCs w:val="20"/>
          <w:lang w:eastAsia="de-DE"/>
        </w:rPr>
        <w:t xml:space="preserve">: </w:t>
      </w:r>
      <w:proofErr w:type="spellStart"/>
      <w:r w:rsidRPr="00B028A4">
        <w:rPr>
          <w:rFonts w:eastAsia="Times New Roman" w:cstheme="minorHAnsi"/>
          <w:color w:val="000000" w:themeColor="text1"/>
          <w:sz w:val="20"/>
          <w:szCs w:val="20"/>
          <w:lang w:eastAsia="de-DE"/>
        </w:rPr>
        <w:t>laedere</w:t>
      </w:r>
      <w:proofErr w:type="spellEnd"/>
      <w:r w:rsidRPr="00B028A4">
        <w:rPr>
          <w:rFonts w:eastAsia="Times New Roman" w:cstheme="minorHAnsi"/>
          <w:color w:val="000000" w:themeColor="text1"/>
          <w:sz w:val="20"/>
          <w:szCs w:val="20"/>
          <w:lang w:eastAsia="de-DE"/>
        </w:rPr>
        <w:t xml:space="preserve">: verletzen; cuique kommt von </w:t>
      </w:r>
      <w:proofErr w:type="spellStart"/>
      <w:r w:rsidRPr="00B028A4">
        <w:rPr>
          <w:rFonts w:eastAsia="Times New Roman" w:cstheme="minorHAnsi"/>
          <w:color w:val="000000" w:themeColor="text1"/>
          <w:sz w:val="20"/>
          <w:szCs w:val="20"/>
          <w:lang w:eastAsia="de-DE"/>
        </w:rPr>
        <w:t>quisque</w:t>
      </w:r>
      <w:proofErr w:type="spellEnd"/>
      <w:r w:rsidRPr="00B028A4">
        <w:rPr>
          <w:rFonts w:eastAsia="Times New Roman" w:cstheme="minorHAnsi"/>
          <w:color w:val="000000" w:themeColor="text1"/>
          <w:sz w:val="20"/>
          <w:szCs w:val="20"/>
          <w:lang w:eastAsia="de-DE"/>
        </w:rPr>
        <w:t>: jeder. Übersetzen Sie diesen Satz und vergleichen Sie dessen Aussage mit der Bestimmung der Gerechtigkeit, die in De officiis 1, 20 f. gegeben wird.</w:t>
      </w:r>
    </w:p>
    <w:p w14:paraId="5ECB924E" w14:textId="77777777" w:rsidR="00091551" w:rsidRPr="00690827" w:rsidRDefault="00091551" w:rsidP="00690827">
      <w:pPr>
        <w:numPr>
          <w:ilvl w:val="0"/>
          <w:numId w:val="11"/>
        </w:num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Nehmen Sie Stellung zu der Frage, ob der von Cicero entwickelte Begriff der Gerechtigkeit heute noch Bestand hat, z. B. in den Rechtsvorstellungen der Bundesrepublik Deutschland, soweit Sie diese z. B. im Gemeinschaftskundeunterricht kennengelernt haben.</w:t>
      </w:r>
    </w:p>
    <w:p w14:paraId="42B892D4" w14:textId="77777777" w:rsidR="00091551" w:rsidRPr="00690827" w:rsidRDefault="00091551" w:rsidP="00690827">
      <w:pPr>
        <w:numPr>
          <w:ilvl w:val="0"/>
          <w:numId w:val="11"/>
        </w:numPr>
        <w:spacing w:before="120" w:after="0" w:line="312" w:lineRule="auto"/>
        <w:contextualSpacing/>
        <w:rPr>
          <w:rFonts w:eastAsia="Times New Roman" w:cstheme="minorHAnsi"/>
          <w:color w:val="000000" w:themeColor="text1"/>
          <w:sz w:val="24"/>
          <w:szCs w:val="24"/>
          <w:lang w:eastAsia="de-DE"/>
        </w:rPr>
      </w:pPr>
      <w:r w:rsidRPr="00690827">
        <w:rPr>
          <w:rFonts w:eastAsia="Times New Roman" w:cstheme="minorHAnsi"/>
          <w:color w:val="000000" w:themeColor="text1"/>
          <w:sz w:val="24"/>
          <w:szCs w:val="24"/>
          <w:lang w:eastAsia="de-DE"/>
        </w:rPr>
        <w:t>Recherchieren Sie nach anderen antiken Gerechtigkeitsvorstellungen (Platon, Aristoteles) und prüfen Sie, welche Übereinstimmungen es gibt. Ziehen Sie nicht nur das Internet, sondern auch Philosophielexika z. B. in Ihrer Schülerbücherei heran.</w:t>
      </w:r>
    </w:p>
    <w:p w14:paraId="3DE59659" w14:textId="77777777" w:rsidR="007706D1" w:rsidRPr="00690827" w:rsidRDefault="007706D1" w:rsidP="00690827">
      <w:pPr>
        <w:spacing w:before="120" w:after="0" w:line="312" w:lineRule="auto"/>
        <w:contextualSpacing/>
        <w:rPr>
          <w:color w:val="000000" w:themeColor="text1"/>
        </w:rPr>
      </w:pPr>
    </w:p>
    <w:p w14:paraId="2BC5AB2D" w14:textId="77777777" w:rsidR="0087587A" w:rsidRPr="00690827" w:rsidRDefault="0087587A" w:rsidP="00690827">
      <w:pPr>
        <w:pBdr>
          <w:bottom w:val="single" w:sz="6" w:space="1" w:color="auto"/>
        </w:pBdr>
        <w:spacing w:before="120" w:after="0" w:line="312" w:lineRule="auto"/>
        <w:contextualSpacing/>
        <w:rPr>
          <w:color w:val="000000" w:themeColor="text1"/>
        </w:rPr>
      </w:pPr>
    </w:p>
    <w:p w14:paraId="5944A4D4" w14:textId="77777777" w:rsidR="0087587A" w:rsidRPr="00690827" w:rsidRDefault="0087587A" w:rsidP="00690827">
      <w:pPr>
        <w:spacing w:before="120" w:after="0" w:line="312" w:lineRule="auto"/>
        <w:contextualSpacing/>
        <w:rPr>
          <w:color w:val="000000" w:themeColor="text1"/>
        </w:rPr>
      </w:pPr>
    </w:p>
    <w:p w14:paraId="39743DCB" w14:textId="77777777" w:rsidR="0087587A" w:rsidRPr="00690827" w:rsidRDefault="0087587A" w:rsidP="00690827">
      <w:pPr>
        <w:pStyle w:val="lbs-dokumente"/>
        <w:spacing w:before="120" w:after="0" w:line="312" w:lineRule="auto"/>
        <w:contextualSpacing/>
        <w:rPr>
          <w:color w:val="000000" w:themeColor="text1"/>
        </w:rPr>
      </w:pPr>
      <w:r w:rsidRPr="00690827">
        <w:rPr>
          <w:color w:val="000000" w:themeColor="text1"/>
        </w:rPr>
        <w:t xml:space="preserve">URL dieser Seite: </w:t>
      </w:r>
    </w:p>
    <w:p w14:paraId="3B737A59" w14:textId="1A108917" w:rsidR="00BA1E6A" w:rsidRPr="00690827" w:rsidRDefault="00A91E20" w:rsidP="00690827">
      <w:pPr>
        <w:pStyle w:val="lbs-dokumente"/>
        <w:spacing w:before="120" w:after="0" w:line="312" w:lineRule="auto"/>
        <w:contextualSpacing/>
        <w:rPr>
          <w:color w:val="0E57C4" w:themeColor="background2" w:themeShade="80"/>
        </w:rPr>
      </w:pPr>
      <w:hyperlink r:id="rId14" w:anchor="oben" w:history="1">
        <w:r w:rsidR="00371018">
          <w:rPr>
            <w:rStyle w:val="Hyperlink"/>
            <w:color w:val="0E57C4" w:themeColor="background2" w:themeShade="80"/>
          </w:rPr>
          <w:t>http://www.schule-bw.de/faecher-und-schularten/sprachen-und-literatur/latein/texte-und-medien/cicero-philosophie/de-officiis/1/de-officiis-1-20-iustitia-gerechtigkeit.html</w:t>
        </w:r>
      </w:hyperlink>
    </w:p>
    <w:p w14:paraId="58298DDC" w14:textId="77777777" w:rsidR="0087587A" w:rsidRPr="00690827" w:rsidRDefault="0087587A" w:rsidP="00690827">
      <w:pPr>
        <w:pStyle w:val="lbs-dokumente"/>
        <w:spacing w:before="120" w:after="0" w:line="312" w:lineRule="auto"/>
        <w:contextualSpacing/>
        <w:rPr>
          <w:color w:val="000000" w:themeColor="text1"/>
        </w:rPr>
      </w:pPr>
      <w:r w:rsidRPr="00690827">
        <w:rPr>
          <w:color w:val="000000" w:themeColor="text1"/>
        </w:rPr>
        <w:t>Dort sind auch Links zu den Deklinations- und Konjugationstabellen eingefügt.</w:t>
      </w:r>
    </w:p>
    <w:p w14:paraId="4D340F7B" w14:textId="11F856A3" w:rsidR="0087587A" w:rsidRDefault="00690827" w:rsidP="00690827">
      <w:pPr>
        <w:spacing w:before="120" w:after="0" w:line="312" w:lineRule="auto"/>
        <w:contextualSpacing/>
        <w:rPr>
          <w:color w:val="0E57C4" w:themeColor="background2" w:themeShade="80"/>
        </w:rPr>
      </w:pPr>
      <w:r>
        <w:rPr>
          <w:color w:val="000000" w:themeColor="text1"/>
        </w:rPr>
        <w:t>Kurz-URL</w:t>
      </w:r>
      <w:r w:rsidR="00EC44FD">
        <w:rPr>
          <w:color w:val="000000" w:themeColor="text1"/>
        </w:rPr>
        <w:t xml:space="preserve"> der Unterrichtseinheit</w:t>
      </w:r>
      <w:r>
        <w:rPr>
          <w:color w:val="000000" w:themeColor="text1"/>
        </w:rPr>
        <w:t xml:space="preserve">: </w:t>
      </w:r>
      <w:hyperlink r:id="rId15" w:history="1">
        <w:r w:rsidR="00E76EEC" w:rsidRPr="00B65E80">
          <w:rPr>
            <w:rStyle w:val="Hyperlink"/>
            <w:color w:val="4B2467" w:themeColor="hyperlink" w:themeShade="80"/>
          </w:rPr>
          <w:t>www.schule</w:t>
        </w:r>
        <w:r w:rsidR="00E76EEC" w:rsidRPr="00B65E80">
          <w:rPr>
            <w:rStyle w:val="Hyperlink"/>
            <w:color w:val="4B2467" w:themeColor="hyperlink" w:themeShade="80"/>
          </w:rPr>
          <w:t>-</w:t>
        </w:r>
        <w:r w:rsidR="00E76EEC" w:rsidRPr="00B65E80">
          <w:rPr>
            <w:rStyle w:val="Hyperlink"/>
            <w:color w:val="4B2467" w:themeColor="hyperlink" w:themeShade="80"/>
          </w:rPr>
          <w:t>bw.de/cicero-de-officiis</w:t>
        </w:r>
      </w:hyperlink>
    </w:p>
    <w:p w14:paraId="3EA69535" w14:textId="77777777" w:rsidR="00E76EEC" w:rsidRPr="00690827" w:rsidRDefault="00E76EEC" w:rsidP="00690827">
      <w:pPr>
        <w:spacing w:before="120" w:after="0" w:line="312" w:lineRule="auto"/>
        <w:contextualSpacing/>
        <w:rPr>
          <w:color w:val="000000" w:themeColor="text1"/>
        </w:rPr>
      </w:pPr>
    </w:p>
    <w:sectPr w:rsidR="00E76EEC" w:rsidRPr="00690827" w:rsidSect="007967AE">
      <w:headerReference w:type="default" r:id="rId16"/>
      <w:footerReference w:type="default" r:id="rId17"/>
      <w:type w:val="continuous"/>
      <w:pgSz w:w="11906" w:h="16838"/>
      <w:pgMar w:top="91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67275" w14:textId="77777777" w:rsidR="00A91E20" w:rsidRDefault="00A91E20">
      <w:r>
        <w:separator/>
      </w:r>
    </w:p>
  </w:endnote>
  <w:endnote w:type="continuationSeparator" w:id="0">
    <w:p w14:paraId="62CF4B1B" w14:textId="77777777" w:rsidR="00A91E20" w:rsidRDefault="00A9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3878" w14:textId="77777777" w:rsidR="009423E5" w:rsidRPr="009423E5" w:rsidRDefault="009423E5" w:rsidP="009423E5">
    <w:pPr>
      <w:pStyle w:val="Fuzeile"/>
      <w:spacing w:after="0" w:line="240" w:lineRule="auto"/>
      <w:rPr>
        <w:sz w:val="8"/>
        <w:szCs w:val="8"/>
      </w:rPr>
    </w:pPr>
  </w:p>
  <w:p w14:paraId="398B5F7C" w14:textId="77777777" w:rsidR="00202DA3" w:rsidRDefault="00A91E20">
    <w:pPr>
      <w:pStyle w:val="Fuzeile"/>
    </w:pPr>
    <w:hyperlink r:id="rId1" w:history="1">
      <w:r w:rsidR="009423E5" w:rsidRPr="00473E88">
        <w:rPr>
          <w:rStyle w:val="Hyperlink"/>
          <w:rFonts w:ascii="Verdana" w:hAnsi="Verdana"/>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8B7A" w14:textId="77777777" w:rsidR="00A91E20" w:rsidRDefault="00A91E20">
      <w:r>
        <w:rPr>
          <w:color w:val="000000"/>
        </w:rPr>
        <w:separator/>
      </w:r>
    </w:p>
  </w:footnote>
  <w:footnote w:type="continuationSeparator" w:id="0">
    <w:p w14:paraId="6353865B" w14:textId="77777777" w:rsidR="00A91E20" w:rsidRDefault="00A9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59C449EA" w14:textId="77777777">
      <w:trPr>
        <w:trHeight w:val="794"/>
      </w:trPr>
      <w:tc>
        <w:tcPr>
          <w:tcW w:w="3213" w:type="dxa"/>
          <w:tcMar>
            <w:top w:w="0" w:type="dxa"/>
            <w:left w:w="0" w:type="dxa"/>
            <w:bottom w:w="0" w:type="dxa"/>
            <w:right w:w="0" w:type="dxa"/>
          </w:tcMar>
          <w:vAlign w:val="center"/>
        </w:tcPr>
        <w:p w14:paraId="63C7D327" w14:textId="77777777" w:rsidR="00202DA3" w:rsidRDefault="00F44721" w:rsidP="00B30055">
          <w:pPr>
            <w:pStyle w:val="TableContents"/>
            <w:spacing w:after="0" w:line="240" w:lineRule="auto"/>
          </w:pPr>
          <w:r>
            <w:rPr>
              <w:noProof/>
            </w:rPr>
            <w:drawing>
              <wp:anchor distT="0" distB="0" distL="114300" distR="114300" simplePos="0" relativeHeight="251659264" behindDoc="0" locked="0" layoutInCell="1" allowOverlap="1" wp14:anchorId="6148881B" wp14:editId="369A5A03">
                <wp:simplePos x="0" y="0"/>
                <wp:positionH relativeFrom="column">
                  <wp:posOffset>69840</wp:posOffset>
                </wp:positionH>
                <wp:positionV relativeFrom="paragraph">
                  <wp:posOffset>10800</wp:posOffset>
                </wp:positionV>
                <wp:extent cx="1522800" cy="485640"/>
                <wp:effectExtent l="0" t="0" r="1200" b="0"/>
                <wp:wrapTopAndBottom/>
                <wp:docPr id="6"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03FC7AF4" w14:textId="77777777" w:rsidR="00202DA3" w:rsidRDefault="00A91E20" w:rsidP="00B30055">
          <w:pPr>
            <w:pStyle w:val="TableContents"/>
            <w:spacing w:after="0" w:line="240" w:lineRule="auto"/>
          </w:pPr>
        </w:p>
      </w:tc>
      <w:tc>
        <w:tcPr>
          <w:tcW w:w="3213" w:type="dxa"/>
          <w:tcMar>
            <w:top w:w="0" w:type="dxa"/>
            <w:left w:w="0" w:type="dxa"/>
            <w:bottom w:w="0" w:type="dxa"/>
            <w:right w:w="0" w:type="dxa"/>
          </w:tcMar>
          <w:vAlign w:val="center"/>
        </w:tcPr>
        <w:p w14:paraId="080598D1" w14:textId="77777777"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ortal</w:t>
          </w:r>
          <w:r w:rsidR="00337058">
            <w:rPr>
              <w:rFonts w:ascii="Arial Rounded MT Bold" w:hAnsi="Arial Rounded MT Bold"/>
            </w:rPr>
            <w:br/>
          </w:r>
          <w:r w:rsidR="00DA4E2A">
            <w:rPr>
              <w:rFonts w:ascii="Arial Rounded MT Bold" w:hAnsi="Arial Rounded MT Bold"/>
            </w:rPr>
            <w:t>Cicero: De officiis</w:t>
          </w:r>
          <w:r w:rsidR="00337058">
            <w:rPr>
              <w:rFonts w:ascii="Arial Rounded MT Bold" w:hAnsi="Arial Rounded MT Bold"/>
            </w:rPr>
            <w:br/>
          </w:r>
        </w:p>
      </w:tc>
    </w:tr>
  </w:tbl>
  <w:p w14:paraId="5A54747E" w14:textId="77777777" w:rsidR="00202DA3" w:rsidRDefault="00A91E20"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7A901A5"/>
    <w:multiLevelType w:val="multilevel"/>
    <w:tmpl w:val="AC0E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F46BC4"/>
    <w:multiLevelType w:val="multilevel"/>
    <w:tmpl w:val="14263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0"/>
  </w:num>
  <w:num w:numId="6">
    <w:abstractNumId w:val="7"/>
  </w:num>
  <w:num w:numId="7">
    <w:abstractNumId w:val="8"/>
  </w:num>
  <w:num w:numId="8">
    <w:abstractNumId w:val="9"/>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51"/>
    <w:rsid w:val="00091551"/>
    <w:rsid w:val="000B1C26"/>
    <w:rsid w:val="000C339D"/>
    <w:rsid w:val="000E207C"/>
    <w:rsid w:val="00106877"/>
    <w:rsid w:val="0011066F"/>
    <w:rsid w:val="00145691"/>
    <w:rsid w:val="00166926"/>
    <w:rsid w:val="00183C37"/>
    <w:rsid w:val="00196297"/>
    <w:rsid w:val="001A1D2B"/>
    <w:rsid w:val="001D28D8"/>
    <w:rsid w:val="00233A5B"/>
    <w:rsid w:val="00244475"/>
    <w:rsid w:val="002F1ADD"/>
    <w:rsid w:val="00307B4B"/>
    <w:rsid w:val="00337058"/>
    <w:rsid w:val="00351F90"/>
    <w:rsid w:val="00371018"/>
    <w:rsid w:val="003C11DC"/>
    <w:rsid w:val="003F4688"/>
    <w:rsid w:val="004548BE"/>
    <w:rsid w:val="00464FF2"/>
    <w:rsid w:val="004B7822"/>
    <w:rsid w:val="005363FB"/>
    <w:rsid w:val="00554D38"/>
    <w:rsid w:val="005B59AE"/>
    <w:rsid w:val="00607879"/>
    <w:rsid w:val="0064466F"/>
    <w:rsid w:val="00650CE6"/>
    <w:rsid w:val="006636B4"/>
    <w:rsid w:val="00690827"/>
    <w:rsid w:val="00703501"/>
    <w:rsid w:val="00713F75"/>
    <w:rsid w:val="00715A15"/>
    <w:rsid w:val="00725323"/>
    <w:rsid w:val="007337DC"/>
    <w:rsid w:val="007378B4"/>
    <w:rsid w:val="007405FE"/>
    <w:rsid w:val="007706D1"/>
    <w:rsid w:val="00777322"/>
    <w:rsid w:val="007967AE"/>
    <w:rsid w:val="007B0B47"/>
    <w:rsid w:val="007C4648"/>
    <w:rsid w:val="007C7B6F"/>
    <w:rsid w:val="00844928"/>
    <w:rsid w:val="0087372C"/>
    <w:rsid w:val="0087587A"/>
    <w:rsid w:val="00881961"/>
    <w:rsid w:val="00885D32"/>
    <w:rsid w:val="008867CF"/>
    <w:rsid w:val="00886CD9"/>
    <w:rsid w:val="008C2639"/>
    <w:rsid w:val="008E7C03"/>
    <w:rsid w:val="00913DD3"/>
    <w:rsid w:val="00933128"/>
    <w:rsid w:val="009423E5"/>
    <w:rsid w:val="009A2895"/>
    <w:rsid w:val="009E3034"/>
    <w:rsid w:val="00A34CF4"/>
    <w:rsid w:val="00A4050D"/>
    <w:rsid w:val="00A65741"/>
    <w:rsid w:val="00A731B3"/>
    <w:rsid w:val="00A91E20"/>
    <w:rsid w:val="00AA16D5"/>
    <w:rsid w:val="00B028A4"/>
    <w:rsid w:val="00B14434"/>
    <w:rsid w:val="00B30055"/>
    <w:rsid w:val="00B447D9"/>
    <w:rsid w:val="00B44B6B"/>
    <w:rsid w:val="00B87D12"/>
    <w:rsid w:val="00BA1A03"/>
    <w:rsid w:val="00BA1E6A"/>
    <w:rsid w:val="00C52C6E"/>
    <w:rsid w:val="00D10E53"/>
    <w:rsid w:val="00D161D0"/>
    <w:rsid w:val="00D5601F"/>
    <w:rsid w:val="00D57B03"/>
    <w:rsid w:val="00D81F70"/>
    <w:rsid w:val="00DA4E2A"/>
    <w:rsid w:val="00DF1DE7"/>
    <w:rsid w:val="00DF3B9F"/>
    <w:rsid w:val="00E17350"/>
    <w:rsid w:val="00E76EEC"/>
    <w:rsid w:val="00E926E1"/>
    <w:rsid w:val="00EB58F4"/>
    <w:rsid w:val="00EC44FD"/>
    <w:rsid w:val="00F103ED"/>
    <w:rsid w:val="00F152EB"/>
    <w:rsid w:val="00F35936"/>
    <w:rsid w:val="00F44721"/>
    <w:rsid w:val="00F63340"/>
    <w:rsid w:val="00F64624"/>
    <w:rsid w:val="00FF5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551"/>
    <w:pPr>
      <w:spacing w:after="120" w:line="360" w:lineRule="auto"/>
    </w:pPr>
    <w:rPr>
      <w:rFonts w:eastAsiaTheme="minorHAnsi"/>
      <w:lang w:eastAsia="en-US" w:bidi="ar-SA"/>
    </w:r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unhideWhenUsed/>
    <w:qFormat/>
    <w:rsid w:val="007706D1"/>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ascii="Arial" w:eastAsia="Microsoft YaHei" w:hAnsi="Arial"/>
      <w:sz w:val="28"/>
      <w:szCs w:val="28"/>
    </w:rPr>
  </w:style>
  <w:style w:type="paragraph" w:customStyle="1" w:styleId="Textbody">
    <w:name w:val="Text body"/>
    <w:basedOn w:val="Standard"/>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customStyle="1" w:styleId="vokangabe2">
    <w:name w:val="vokangabe2"/>
    <w:basedOn w:val="Standard"/>
    <w:link w:val="vokangabe2Zchn"/>
    <w:autoRedefine/>
    <w:qFormat/>
    <w:rsid w:val="007967AE"/>
    <w:pPr>
      <w:spacing w:after="0" w:line="312" w:lineRule="auto"/>
      <w:ind w:left="284" w:hanging="284"/>
      <w:contextualSpacing/>
    </w:pPr>
    <w:rPr>
      <w:rFonts w:ascii="Calibri" w:hAnsi="Calibri" w:cs="Calibri"/>
    </w:rPr>
  </w:style>
  <w:style w:type="character" w:customStyle="1" w:styleId="vokangabe2Zchn">
    <w:name w:val="vokangabe2 Zchn"/>
    <w:basedOn w:val="Absatz-Standardschriftart"/>
    <w:link w:val="vokangabe2"/>
    <w:rsid w:val="007967AE"/>
    <w:rPr>
      <w:rFonts w:ascii="Calibri" w:eastAsiaTheme="minorHAnsi" w:hAnsi="Calibri" w:cs="Calibri"/>
      <w:lang w:eastAsia="en-US" w:bidi="ar-SA"/>
    </w:rPr>
  </w:style>
  <w:style w:type="table" w:styleId="TabellemithellemGitternetz">
    <w:name w:val="Grid Table Light"/>
    <w:basedOn w:val="NormaleTabelle"/>
    <w:uiPriority w:val="40"/>
    <w:rsid w:val="00091551"/>
    <w:pPr>
      <w:spacing w:after="0" w:line="240" w:lineRule="auto"/>
    </w:pPr>
    <w:rPr>
      <w:rFonts w:eastAsiaTheme="minorHAnsi"/>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esuchterLink">
    <w:name w:val="FollowedHyperlink"/>
    <w:basedOn w:val="Absatz-Standardschriftart"/>
    <w:uiPriority w:val="99"/>
    <w:semiHidden/>
    <w:unhideWhenUsed/>
    <w:rsid w:val="00BA1E6A"/>
    <w:rPr>
      <w:color w:val="3EBBF0" w:themeColor="followedHyperlink"/>
      <w:u w:val="single"/>
    </w:rPr>
  </w:style>
  <w:style w:type="paragraph" w:styleId="Sprechblasentext">
    <w:name w:val="Balloon Text"/>
    <w:basedOn w:val="Standard"/>
    <w:link w:val="SprechblasentextZchn"/>
    <w:uiPriority w:val="99"/>
    <w:semiHidden/>
    <w:unhideWhenUsed/>
    <w:rsid w:val="00650C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0CE6"/>
    <w:rPr>
      <w:rFonts w:ascii="Segoe UI" w:eastAsiaTheme="minorHAnsi" w:hAnsi="Segoe UI" w:cs="Segoe UI"/>
      <w:sz w:val="18"/>
      <w:szCs w:val="18"/>
      <w:lang w:eastAsia="en-US" w:bidi="ar-SA"/>
    </w:rPr>
  </w:style>
  <w:style w:type="table" w:styleId="Tabellenraster">
    <w:name w:val="Table Grid"/>
    <w:basedOn w:val="NormaleTabelle"/>
    <w:uiPriority w:val="39"/>
    <w:rsid w:val="00D1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161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7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one5.schule-bw.de/faecher-und-schularten/sprachen-und-literatur/latein/sprache/satzlehre/relativsaetze/relativsatz-grammatik.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le-bw.de/faecher-und-schularten/sprachen-und-literatur/latein/sprache/grundwortschatz/pronomina-und-unveraenderliche-woerter/pronomin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faecher-und-schularten/sprachen-und-literatur/latein/sprache/satzlehre/relativsaetze/relativsatz-grammatik.html" TargetMode="External"/><Relationship Id="rId5" Type="http://schemas.openxmlformats.org/officeDocument/2006/relationships/webSettings" Target="webSettings.xml"/><Relationship Id="rId15" Type="http://schemas.openxmlformats.org/officeDocument/2006/relationships/hyperlink" Target="http://www.schule-bw.de/faecher-und-schularten/sprachen-und-literatur/latein/texte-und-medien/cicero-philosophie/de-officiis" TargetMode="External"/><Relationship Id="rId10" Type="http://schemas.openxmlformats.org/officeDocument/2006/relationships/hyperlink" Target="http://www.schule-bw.de/faecher-und-schularten/sprachen-und-literatur/latein/sprache/satzlehre/relativsaetze/relativsatz-grammati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ule-bw.de/faecher-und-schularten/sprachen-und-literatur/latein/texte-und-medien/bilder/rezeption-antike-denkmal" TargetMode="External"/><Relationship Id="rId14" Type="http://schemas.openxmlformats.org/officeDocument/2006/relationships/hyperlink" Target="http://www.schule-bw.de/faecher-und-schularten/sprachen-und-literatur/latein/texte-und-medien/cicero-philosophie/de-officiis/1/de-officiis-1-20-iustitia-gerechtigkeit.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4b\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7064-1950-4297-9410-9D34C9E9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1</Pages>
  <Words>1447</Words>
  <Characters>9118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Cicero De officiis 1, 20-23</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1, 20-23</dc:title>
  <dc:creator/>
  <cp:lastModifiedBy/>
  <cp:revision>1</cp:revision>
  <dcterms:created xsi:type="dcterms:W3CDTF">2019-01-06T11:25:00Z</dcterms:created>
  <dcterms:modified xsi:type="dcterms:W3CDTF">2020-05-24T17:37:00Z</dcterms:modified>
</cp:coreProperties>
</file>