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E5F65" w14:textId="77777777" w:rsidR="002C26AC" w:rsidRPr="006C0B65" w:rsidRDefault="002C26AC" w:rsidP="006C0B65">
      <w:pPr>
        <w:pStyle w:val="berschrift1"/>
      </w:pPr>
      <w:bookmarkStart w:id="0" w:name="_Hlk8836497"/>
      <w:bookmarkStart w:id="1" w:name="_GoBack"/>
      <w:bookmarkEnd w:id="1"/>
      <w:r w:rsidRPr="006C0B65">
        <w:t>Cicero, De officiis 1, 42 – 45: Auch die Wohltätigkeit muss sich an vernünftigen Regeln orientieren</w:t>
      </w:r>
    </w:p>
    <w:p w14:paraId="6ECE9D59" w14:textId="77777777" w:rsidR="002C26AC" w:rsidRPr="006C0B65" w:rsidRDefault="002C26AC" w:rsidP="006C0B65">
      <w:r w:rsidRPr="006C0B65">
        <w:t>Nachdem Cicero die Gerechtigkeit dargestellt hat, zeigt er auf, welche Grundsätze bei der Wohltätigkeit zu beachten sind. Der Grundgedanke, dass der allgemeine Nutzen befördert werden soll, wird auch hier beibehalten.</w:t>
      </w:r>
    </w:p>
    <w:p w14:paraId="0777629C" w14:textId="77777777" w:rsidR="002C26AC" w:rsidRPr="006C0B65" w:rsidRDefault="002C26AC" w:rsidP="006C0B65">
      <w:r w:rsidRPr="006C0B65">
        <w:t>Schlüsselwörter stehen am Ende des Dokuments; sie werden zum Lernen empfohlen. Der Text wurde vereinfacht.</w:t>
      </w:r>
    </w:p>
    <w:p w14:paraId="0A0EB725" w14:textId="77777777" w:rsidR="002C26AC" w:rsidRDefault="006C0B65" w:rsidP="002C26AC">
      <w:r w:rsidRPr="002C26AC">
        <w:t xml:space="preserve"> </w:t>
      </w:r>
      <w:r w:rsidR="002C26AC" w:rsidRPr="002C26AC">
        <w:t>[1, 42]</w:t>
      </w:r>
    </w:p>
    <w:p w14:paraId="7194A9F4" w14:textId="77777777" w:rsidR="006C0B65" w:rsidRPr="006C0B65" w:rsidRDefault="006C0B65" w:rsidP="006C0B65">
      <w:r w:rsidRPr="006C0B65">
        <w:t>Einführung in die Darstellung der Wohltätigkeit</w:t>
      </w:r>
    </w:p>
    <w:tbl>
      <w:tblPr>
        <w:tblStyle w:val="Tabellenraster"/>
        <w:tblW w:w="0" w:type="auto"/>
        <w:tblLook w:val="04A0" w:firstRow="1" w:lastRow="0" w:firstColumn="1" w:lastColumn="0" w:noHBand="0" w:noVBand="1"/>
      </w:tblPr>
      <w:tblGrid>
        <w:gridCol w:w="4606"/>
        <w:gridCol w:w="4606"/>
      </w:tblGrid>
      <w:tr w:rsidR="002C26AC" w:rsidRPr="002C26AC" w14:paraId="7F49C404" w14:textId="77777777" w:rsidTr="002C26AC">
        <w:tc>
          <w:tcPr>
            <w:tcW w:w="4606" w:type="dxa"/>
          </w:tcPr>
          <w:p w14:paraId="6F48F996" w14:textId="77777777" w:rsidR="006C0B65" w:rsidRDefault="002C26AC" w:rsidP="002C26AC">
            <w:pPr>
              <w:rPr>
                <w:lang w:val="la-Latn"/>
              </w:rPr>
            </w:pPr>
            <w:r w:rsidRPr="002C26AC">
              <w:rPr>
                <w:lang w:val="la-Latn"/>
              </w:rPr>
              <w:t>Deinceps, ut erat propositum, de beneficentia ac de liberalitate dicatur.</w:t>
            </w:r>
          </w:p>
          <w:p w14:paraId="5D9BEABF" w14:textId="77777777" w:rsidR="006C0B65" w:rsidRDefault="006C0B65" w:rsidP="002C26AC">
            <w:pPr>
              <w:rPr>
                <w:lang w:val="la-Latn"/>
              </w:rPr>
            </w:pPr>
          </w:p>
          <w:p w14:paraId="418999F2" w14:textId="77777777" w:rsidR="002C26AC" w:rsidRPr="002C26AC" w:rsidRDefault="002C26AC" w:rsidP="002C26AC">
            <w:pPr>
              <w:rPr>
                <w:lang w:val="la-Latn"/>
              </w:rPr>
            </w:pPr>
            <w:r w:rsidRPr="002C26AC">
              <w:rPr>
                <w:lang w:val="la-Latn"/>
              </w:rPr>
              <w:t>Qua quidem</w:t>
            </w:r>
            <w:r w:rsidR="006C0B65">
              <w:t>*</w:t>
            </w:r>
            <w:r w:rsidRPr="002C26AC">
              <w:rPr>
                <w:lang w:val="la-Latn"/>
              </w:rPr>
              <w:t xml:space="preserve"> nihil est naturae hominis accommodatius</w:t>
            </w:r>
            <w:r w:rsidR="006C0B65">
              <w:t>*</w:t>
            </w:r>
            <w:r w:rsidRPr="002C26AC">
              <w:rPr>
                <w:lang w:val="la-Latn"/>
              </w:rPr>
              <w:t>, sed habet multas cautiones</w:t>
            </w:r>
            <w:r w:rsidR="006C0B65">
              <w:t>*</w:t>
            </w:r>
            <w:r w:rsidRPr="002C26AC">
              <w:rPr>
                <w:lang w:val="la-Latn"/>
              </w:rPr>
              <w:t xml:space="preserve">. </w:t>
            </w:r>
          </w:p>
          <w:p w14:paraId="56E3BCB8" w14:textId="77777777" w:rsidR="002C26AC" w:rsidRPr="002C26AC" w:rsidRDefault="002C26AC" w:rsidP="002C26AC"/>
        </w:tc>
        <w:tc>
          <w:tcPr>
            <w:tcW w:w="4606" w:type="dxa"/>
          </w:tcPr>
          <w:p w14:paraId="79CBB695" w14:textId="77777777" w:rsidR="002C26AC" w:rsidRPr="002C26AC" w:rsidRDefault="002C26AC" w:rsidP="002C26AC">
            <w:pPr>
              <w:pStyle w:val="vokangabe2"/>
            </w:pPr>
            <w:r w:rsidRPr="002C26AC">
              <w:t>Qua quidem… : qua steht im Ablativus comparationis.</w:t>
            </w:r>
          </w:p>
          <w:p w14:paraId="172866DF" w14:textId="77777777" w:rsidR="002C26AC" w:rsidRPr="002C26AC" w:rsidRDefault="002C26AC" w:rsidP="002C26AC">
            <w:pPr>
              <w:pStyle w:val="vokangabe2"/>
            </w:pPr>
            <w:r w:rsidRPr="002C26AC">
              <w:t xml:space="preserve">accommodātus: einer Sache angemessen </w:t>
            </w:r>
          </w:p>
          <w:p w14:paraId="03FF2C7E" w14:textId="77777777" w:rsidR="002C26AC" w:rsidRPr="002C26AC" w:rsidRDefault="006C0B65" w:rsidP="002C26AC">
            <w:pPr>
              <w:pStyle w:val="vokangabe2"/>
            </w:pPr>
            <w:r w:rsidRPr="006C0B65">
              <w:t>cautiō, cautiōnis, f</w:t>
            </w:r>
            <w:r w:rsidR="002C26AC" w:rsidRPr="002C26AC">
              <w:t xml:space="preserve">: Substantiv zu </w:t>
            </w:r>
            <w:r w:rsidRPr="006C0B65">
              <w:t>cavēre, caveō, cāvī, cautum</w:t>
            </w:r>
            <w:r w:rsidR="002C26AC" w:rsidRPr="002C26AC">
              <w:t>: Acht geben, Rücksicht nehmen; Übersetzungsvorschlag zu cautio: beachtenswerter Punkt</w:t>
            </w:r>
          </w:p>
          <w:p w14:paraId="6F5A8914" w14:textId="77777777" w:rsidR="002C26AC" w:rsidRPr="002C26AC" w:rsidRDefault="002C26AC" w:rsidP="002C26AC"/>
        </w:tc>
      </w:tr>
      <w:tr w:rsidR="002C26AC" w:rsidRPr="002C26AC" w14:paraId="31384B24" w14:textId="77777777" w:rsidTr="002C26AC">
        <w:tc>
          <w:tcPr>
            <w:tcW w:w="4606" w:type="dxa"/>
          </w:tcPr>
          <w:p w14:paraId="4BF1C21E" w14:textId="77777777" w:rsidR="006C0B65" w:rsidRDefault="002C26AC" w:rsidP="002C26AC">
            <w:pPr>
              <w:rPr>
                <w:lang w:val="la-Latn"/>
              </w:rPr>
            </w:pPr>
            <w:r w:rsidRPr="002C26AC">
              <w:rPr>
                <w:lang w:val="la-Latn"/>
              </w:rPr>
              <w:t>Videndum est enim, primum</w:t>
            </w:r>
            <w:r w:rsidR="006C0B65">
              <w:t>*</w:t>
            </w:r>
            <w:r w:rsidRPr="002C26AC">
              <w:rPr>
                <w:lang w:val="la-Latn"/>
              </w:rPr>
              <w:t xml:space="preserve"> ne obsit</w:t>
            </w:r>
            <w:r w:rsidR="006C0B65">
              <w:t>*</w:t>
            </w:r>
            <w:r w:rsidRPr="002C26AC">
              <w:rPr>
                <w:lang w:val="la-Latn"/>
              </w:rPr>
              <w:t xml:space="preserve"> benignitas et iis ipsis</w:t>
            </w:r>
            <w:r w:rsidR="006C0B65">
              <w:t>*</w:t>
            </w:r>
            <w:r w:rsidRPr="002C26AC">
              <w:rPr>
                <w:lang w:val="la-Latn"/>
              </w:rPr>
              <w:t>, quibus benigne videbitur fieri, et ceteris, deinde ne maior benignitas sit quam facultates, tum, ut pro dignitate cuique tribuatur;</w:t>
            </w:r>
          </w:p>
          <w:p w14:paraId="14B0CBB2" w14:textId="77777777" w:rsidR="002C26AC" w:rsidRPr="002C26AC" w:rsidRDefault="002C26AC" w:rsidP="006C0B65">
            <w:pPr>
              <w:spacing w:before="240"/>
              <w:rPr>
                <w:lang w:val="la-Latn"/>
              </w:rPr>
            </w:pPr>
            <w:r w:rsidRPr="002C26AC">
              <w:rPr>
                <w:lang w:val="la-Latn"/>
              </w:rPr>
              <w:t>id enim est iustitiae fundamentum, ad quam haec referenda sunt omnia.</w:t>
            </w:r>
          </w:p>
          <w:p w14:paraId="5D833A7D" w14:textId="77777777" w:rsidR="002C26AC" w:rsidRPr="002C26AC" w:rsidRDefault="002C26AC" w:rsidP="002C26AC"/>
        </w:tc>
        <w:tc>
          <w:tcPr>
            <w:tcW w:w="4606" w:type="dxa"/>
          </w:tcPr>
          <w:p w14:paraId="0E67AA8D" w14:textId="77777777" w:rsidR="002C26AC" w:rsidRDefault="002C26AC" w:rsidP="002C26AC">
            <w:pPr>
              <w:pStyle w:val="vokangabe2"/>
            </w:pPr>
            <w:r w:rsidRPr="002C26AC">
              <w:t>obesse: schaden</w:t>
            </w:r>
          </w:p>
          <w:p w14:paraId="3A068E3B" w14:textId="77777777" w:rsidR="006C0B65" w:rsidRPr="002C26AC" w:rsidRDefault="006C0B65" w:rsidP="006C0B65">
            <w:pPr>
              <w:pStyle w:val="vokangabe2"/>
            </w:pPr>
            <w:r w:rsidRPr="002C26AC">
              <w:t>primum … deinde … tum: zuerst, dann, schließlich (im Sinne von erstens, zweitens, drittens)</w:t>
            </w:r>
          </w:p>
          <w:p w14:paraId="288B5151" w14:textId="77777777" w:rsidR="002C26AC" w:rsidRPr="002C26AC" w:rsidRDefault="002C26AC" w:rsidP="002C26AC">
            <w:pPr>
              <w:pStyle w:val="vokangabe2"/>
            </w:pPr>
            <w:r w:rsidRPr="002C26AC">
              <w:t xml:space="preserve">et iis ipsis: </w:t>
            </w:r>
            <w:r w:rsidRPr="002C26AC">
              <w:rPr>
                <w:i/>
              </w:rPr>
              <w:t>et</w:t>
            </w:r>
            <w:r w:rsidRPr="002C26AC">
              <w:t xml:space="preserve"> muss mit dem folgenden </w:t>
            </w:r>
            <w:r w:rsidRPr="002C26AC">
              <w:rPr>
                <w:i/>
              </w:rPr>
              <w:t>et</w:t>
            </w:r>
            <w:r w:rsidRPr="002C26AC">
              <w:t xml:space="preserve"> vor </w:t>
            </w:r>
            <w:r w:rsidRPr="002C26AC">
              <w:rPr>
                <w:i/>
              </w:rPr>
              <w:t>ceteris</w:t>
            </w:r>
            <w:r w:rsidRPr="002C26AC">
              <w:t xml:space="preserve"> zusammengenommen werden. Diese beiden </w:t>
            </w:r>
            <w:r w:rsidRPr="002C26AC">
              <w:rPr>
                <w:i/>
              </w:rPr>
              <w:t>et</w:t>
            </w:r>
            <w:r w:rsidRPr="002C26AC">
              <w:t xml:space="preserve"> bedeuten „sowohl …. als auch“. Übersetzen Sie </w:t>
            </w:r>
            <w:r w:rsidRPr="002C26AC">
              <w:rPr>
                <w:i/>
              </w:rPr>
              <w:t>ceteri</w:t>
            </w:r>
            <w:r w:rsidRPr="002C26AC">
              <w:t xml:space="preserve"> mit „die übrigen Leute“.</w:t>
            </w:r>
          </w:p>
          <w:p w14:paraId="03BB48C7" w14:textId="77777777" w:rsidR="006C0B65" w:rsidRDefault="002C26AC" w:rsidP="002C26AC">
            <w:pPr>
              <w:pStyle w:val="vokangabe2"/>
            </w:pPr>
            <w:r w:rsidRPr="002C26AC">
              <w:t xml:space="preserve">cuique: von quisque – jeder </w:t>
            </w:r>
          </w:p>
          <w:p w14:paraId="42E39E2F" w14:textId="77777777" w:rsidR="002C26AC" w:rsidRPr="002C26AC" w:rsidRDefault="002C26AC" w:rsidP="002C26AC">
            <w:pPr>
              <w:pStyle w:val="vokangabe2"/>
              <w:rPr>
                <w:rFonts w:cstheme="minorBidi"/>
                <w:szCs w:val="22"/>
              </w:rPr>
            </w:pPr>
            <w:r w:rsidRPr="002C26AC">
              <w:t>referre: beziehen</w:t>
            </w:r>
          </w:p>
        </w:tc>
      </w:tr>
      <w:tr w:rsidR="002C26AC" w:rsidRPr="002C26AC" w14:paraId="2ECB1920" w14:textId="77777777" w:rsidTr="002C26AC">
        <w:tc>
          <w:tcPr>
            <w:tcW w:w="4606" w:type="dxa"/>
          </w:tcPr>
          <w:p w14:paraId="57A7644A" w14:textId="77777777" w:rsidR="002C26AC" w:rsidRPr="002C26AC" w:rsidRDefault="002C26AC" w:rsidP="002C26AC">
            <w:pPr>
              <w:rPr>
                <w:lang w:val="la-Latn"/>
              </w:rPr>
            </w:pPr>
            <w:r w:rsidRPr="002C26AC">
              <w:rPr>
                <w:lang w:val="la-Latn"/>
              </w:rPr>
              <w:lastRenderedPageBreak/>
              <w:t>Nam et qui gratificantur cuipiam, quod obsit illi, cui prodesse velle videantur, non benefici neque liberales, sed perniciosi assentatores iudicandi sunt, et qui aliis nocent, ut in alios liberales sint, in eadem sunt iniustitia, ut si in suam rem aliena convertant.</w:t>
            </w:r>
          </w:p>
          <w:p w14:paraId="4BBF5E46" w14:textId="77777777" w:rsidR="002C26AC" w:rsidRPr="002C26AC" w:rsidRDefault="002C26AC" w:rsidP="002C26AC"/>
        </w:tc>
        <w:tc>
          <w:tcPr>
            <w:tcW w:w="4606" w:type="dxa"/>
          </w:tcPr>
          <w:p w14:paraId="079072C8" w14:textId="77777777" w:rsidR="002C26AC" w:rsidRPr="002C26AC" w:rsidRDefault="002C26AC" w:rsidP="002C26AC">
            <w:pPr>
              <w:pStyle w:val="vokangabe2"/>
            </w:pPr>
            <w:r w:rsidRPr="002C26AC">
              <w:t xml:space="preserve">nam et qui: Dieser Relativsatz hat kein Bezugswort. Man muss also </w:t>
            </w:r>
            <w:r w:rsidRPr="002C26AC">
              <w:rPr>
                <w:i/>
              </w:rPr>
              <w:t>ii/ei</w:t>
            </w:r>
            <w:r w:rsidRPr="002C26AC">
              <w:t xml:space="preserve"> (diejenigen) ergänzen: „Denn auch diejenigen, die ...“ Andere Übersetzungsmögkichkeit: „Wer …</w:t>
            </w:r>
          </w:p>
          <w:p w14:paraId="4B9023D8" w14:textId="77777777" w:rsidR="002C26AC" w:rsidRPr="002C26AC" w:rsidRDefault="00090F14" w:rsidP="002C26AC">
            <w:pPr>
              <w:pStyle w:val="vokangabe2"/>
            </w:pPr>
            <w:r w:rsidRPr="00090F14">
              <w:t>grātificārī, grātificor, grātificātus sum</w:t>
            </w:r>
            <w:r w:rsidR="002C26AC" w:rsidRPr="002C26AC">
              <w:t xml:space="preserve">: jemandem einen Gefallen tun. Das Relativpronomen </w:t>
            </w:r>
            <w:r w:rsidR="002C26AC" w:rsidRPr="002C26AC">
              <w:rPr>
                <w:i/>
                <w:iCs/>
              </w:rPr>
              <w:t>quod</w:t>
            </w:r>
            <w:r w:rsidR="002C26AC" w:rsidRPr="002C26AC">
              <w:t xml:space="preserve"> kann man mit „der“ übersetzen: Denn wer einem anderen einen Gefallen tut, der... </w:t>
            </w:r>
          </w:p>
          <w:p w14:paraId="73BBF05B" w14:textId="77777777" w:rsidR="002C26AC" w:rsidRDefault="002C26AC" w:rsidP="002C26AC">
            <w:pPr>
              <w:pStyle w:val="vokangabe2"/>
            </w:pPr>
            <w:r w:rsidRPr="002C26AC">
              <w:t>quispiam: jemand</w:t>
            </w:r>
          </w:p>
          <w:p w14:paraId="0C00B990" w14:textId="77777777" w:rsidR="002C26AC" w:rsidRPr="002C26AC" w:rsidRDefault="002C26AC" w:rsidP="002C26AC">
            <w:pPr>
              <w:pStyle w:val="vokangabe2"/>
            </w:pPr>
            <w:r w:rsidRPr="002C26AC">
              <w:t>pernici</w:t>
            </w:r>
            <w:r w:rsidR="00090F14">
              <w:t xml:space="preserve"> </w:t>
            </w:r>
            <w:r w:rsidR="00090F14" w:rsidRPr="00090F14">
              <w:t>ō</w:t>
            </w:r>
            <w:r w:rsidRPr="002C26AC">
              <w:t>sus: schädlich</w:t>
            </w:r>
          </w:p>
          <w:p w14:paraId="12DB8F60" w14:textId="77777777" w:rsidR="002C26AC" w:rsidRPr="002C26AC" w:rsidRDefault="00090F14" w:rsidP="002C26AC">
            <w:pPr>
              <w:pStyle w:val="vokangabe2"/>
            </w:pPr>
            <w:r w:rsidRPr="00090F14">
              <w:t>assentātor, assentātōris</w:t>
            </w:r>
            <w:r w:rsidR="002C26AC" w:rsidRPr="002C26AC">
              <w:t xml:space="preserve">, </w:t>
            </w:r>
            <w:r>
              <w:rPr>
                <w:lang w:val="de-DE"/>
              </w:rPr>
              <w:t>m</w:t>
            </w:r>
            <w:r w:rsidR="002C26AC" w:rsidRPr="002C26AC">
              <w:t>.: der Schmeichler</w:t>
            </w:r>
          </w:p>
          <w:p w14:paraId="0C1802FC" w14:textId="77777777" w:rsidR="002C26AC" w:rsidRPr="002C26AC" w:rsidRDefault="002C26AC" w:rsidP="002C26AC">
            <w:pPr>
              <w:pStyle w:val="vokangabe2"/>
            </w:pPr>
            <w:r w:rsidRPr="002C26AC">
              <w:t>ut si: wie wenn</w:t>
            </w:r>
          </w:p>
          <w:p w14:paraId="10373E5D" w14:textId="77777777" w:rsidR="002C26AC" w:rsidRPr="002C26AC" w:rsidRDefault="002C26AC" w:rsidP="002C26AC">
            <w:pPr>
              <w:pStyle w:val="vokangabe2"/>
            </w:pPr>
            <w:r w:rsidRPr="002C26AC">
              <w:t xml:space="preserve">in suam rem: </w:t>
            </w:r>
            <w:r w:rsidRPr="002C26AC">
              <w:rPr>
                <w:i/>
              </w:rPr>
              <w:t>res</w:t>
            </w:r>
            <w:r w:rsidRPr="002C26AC">
              <w:t xml:space="preserve"> bedeutet hier „Besitz“. in suam rem convertere: zum eigenen Vorteil wenden. </w:t>
            </w:r>
            <w:r w:rsidRPr="002C26AC">
              <w:rPr>
                <w:i/>
                <w:iCs/>
              </w:rPr>
              <w:t>Aliena</w:t>
            </w:r>
            <w:r w:rsidRPr="002C26AC">
              <w:t xml:space="preserve"> ist neutrum Plural: fremdes Eigentum. </w:t>
            </w:r>
          </w:p>
          <w:p w14:paraId="32602DD5" w14:textId="77777777" w:rsidR="002C26AC" w:rsidRPr="002C26AC" w:rsidRDefault="002C26AC" w:rsidP="002C26AC">
            <w:pPr>
              <w:pStyle w:val="vokangabe2"/>
              <w:rPr>
                <w:rFonts w:cstheme="minorBidi"/>
                <w:szCs w:val="22"/>
              </w:rPr>
            </w:pPr>
          </w:p>
        </w:tc>
      </w:tr>
    </w:tbl>
    <w:p w14:paraId="408FA4CF" w14:textId="77777777" w:rsidR="006C0B65" w:rsidRPr="002C26AC" w:rsidRDefault="006C0B65" w:rsidP="006C0B65">
      <w:pPr>
        <w:spacing w:before="240"/>
      </w:pPr>
      <w:r w:rsidRPr="002C26AC">
        <w:t xml:space="preserve"> </w:t>
      </w:r>
      <w:r w:rsidR="002C26AC" w:rsidRPr="002C26AC">
        <w:t xml:space="preserve">[1, 43] </w:t>
      </w:r>
      <w:r w:rsidRPr="002C26AC">
        <w:t>Wohltätigkeit darf nicht schaden</w:t>
      </w:r>
    </w:p>
    <w:p w14:paraId="61B27E47" w14:textId="77777777" w:rsidR="002C26AC" w:rsidRPr="002C26AC" w:rsidRDefault="002C26AC" w:rsidP="002C26AC">
      <w:r w:rsidRPr="002C26AC">
        <w:t xml:space="preserve">Dies ist eine der Stellen in De officiis, an denen Cicero den kurz zuvor ermordeten C. </w:t>
      </w:r>
      <w:proofErr w:type="spellStart"/>
      <w:r w:rsidRPr="002C26AC">
        <w:t>Iulius</w:t>
      </w:r>
      <w:proofErr w:type="spellEnd"/>
      <w:r w:rsidRPr="002C26AC">
        <w:t xml:space="preserve"> Caesar kritisiert. L. Cornelius Sulla hatte als Diktator 82 v. Chr. die Proskriptionen eingeführt, bei denen Gegner des Diktators für vogelfrei erklärt wurden, so dass ihr Besitz eingezogen werden konnte. Cicero wirft Caesar vor, das Gleiche gemacht zu haben. Zu regelrechten Proskriptionen kam es erst, als Octavian und Marcus Antonius sich im Jahr 43 v. Chr. gegen die Caesarmörder durchgesetzt hatten; Cicero selbst wurde auch ein Opfer dieser Proskriptionen.</w:t>
      </w:r>
    </w:p>
    <w:tbl>
      <w:tblPr>
        <w:tblStyle w:val="Tabellenraster"/>
        <w:tblW w:w="0" w:type="auto"/>
        <w:tblLook w:val="04A0" w:firstRow="1" w:lastRow="0" w:firstColumn="1" w:lastColumn="0" w:noHBand="0" w:noVBand="1"/>
      </w:tblPr>
      <w:tblGrid>
        <w:gridCol w:w="4809"/>
        <w:gridCol w:w="4809"/>
      </w:tblGrid>
      <w:tr w:rsidR="002C26AC" w14:paraId="02C8C0F9" w14:textId="77777777" w:rsidTr="002C26AC">
        <w:tc>
          <w:tcPr>
            <w:tcW w:w="4809" w:type="dxa"/>
          </w:tcPr>
          <w:p w14:paraId="17A344E9" w14:textId="77777777" w:rsidR="002C26AC" w:rsidRDefault="002C26AC" w:rsidP="002C26AC">
            <w:pPr>
              <w:rPr>
                <w:lang w:val="la-Latn"/>
              </w:rPr>
            </w:pPr>
            <w:r w:rsidRPr="002C26AC">
              <w:rPr>
                <w:lang w:val="la-Latn"/>
              </w:rPr>
              <w:t>Sunt autem multi et quidem cupidi splendoris et gloriae, qui eripiunt aliis, quod aliis largiantur</w:t>
            </w:r>
            <w:r>
              <w:t>*</w:t>
            </w:r>
            <w:r w:rsidRPr="002C26AC">
              <w:rPr>
                <w:lang w:val="la-Latn"/>
              </w:rPr>
              <w:t xml:space="preserve">. </w:t>
            </w:r>
          </w:p>
          <w:p w14:paraId="6D974D53" w14:textId="77777777" w:rsidR="002C26AC" w:rsidRDefault="002C26AC" w:rsidP="002C26AC">
            <w:r w:rsidRPr="002C26AC">
              <w:rPr>
                <w:lang w:val="la-Latn"/>
              </w:rPr>
              <w:t>Hi arbitrantur se beneficos in suos amicos videri, si locupletent</w:t>
            </w:r>
            <w:r>
              <w:t>*</w:t>
            </w:r>
            <w:r w:rsidRPr="002C26AC">
              <w:rPr>
                <w:lang w:val="la-Latn"/>
              </w:rPr>
              <w:t xml:space="preserve"> eos quacumque ratione. Id autem tantum abest ab officio, ut nihil magis officio possit esse contrarium.</w:t>
            </w:r>
          </w:p>
        </w:tc>
        <w:tc>
          <w:tcPr>
            <w:tcW w:w="4809" w:type="dxa"/>
          </w:tcPr>
          <w:p w14:paraId="607E4935" w14:textId="77777777" w:rsidR="002C26AC" w:rsidRPr="002C26AC" w:rsidRDefault="00090F14" w:rsidP="002C26AC">
            <w:pPr>
              <w:pStyle w:val="vokangabe2"/>
            </w:pPr>
            <w:r w:rsidRPr="00090F14">
              <w:t>largīrī, largior, largītus / largīta sum</w:t>
            </w:r>
            <w:r w:rsidR="002C26AC" w:rsidRPr="002C26AC">
              <w:t>: spenden, jemanden beschenken</w:t>
            </w:r>
          </w:p>
          <w:p w14:paraId="67CB715C" w14:textId="77777777" w:rsidR="002C26AC" w:rsidRDefault="00090F14" w:rsidP="002C26AC">
            <w:pPr>
              <w:pStyle w:val="vokangabe2"/>
            </w:pPr>
            <w:r w:rsidRPr="00090F14">
              <w:t>locupletāre</w:t>
            </w:r>
            <w:r w:rsidR="002C26AC" w:rsidRPr="002C26AC">
              <w:t>: jemanden reich machen</w:t>
            </w:r>
          </w:p>
        </w:tc>
      </w:tr>
      <w:tr w:rsidR="002C26AC" w14:paraId="230C1F5B" w14:textId="77777777" w:rsidTr="002C26AC">
        <w:tc>
          <w:tcPr>
            <w:tcW w:w="4809" w:type="dxa"/>
          </w:tcPr>
          <w:p w14:paraId="6A9FCF2B" w14:textId="77777777" w:rsidR="002C26AC" w:rsidRDefault="002C26AC" w:rsidP="002C26AC">
            <w:pPr>
              <w:rPr>
                <w:lang w:val="la-Latn"/>
              </w:rPr>
            </w:pPr>
            <w:r w:rsidRPr="002C26AC">
              <w:rPr>
                <w:lang w:val="la-Latn"/>
              </w:rPr>
              <w:t>Videndum est igitur, ut ea liberalitate utamur, quae prosit amicis, noceat nemini.</w:t>
            </w:r>
          </w:p>
          <w:p w14:paraId="0FDBA61A" w14:textId="77777777" w:rsidR="002C26AC" w:rsidRDefault="002C26AC" w:rsidP="002C26AC">
            <w:pPr>
              <w:rPr>
                <w:lang w:val="la-Latn"/>
              </w:rPr>
            </w:pPr>
            <w:r w:rsidRPr="002C26AC">
              <w:rPr>
                <w:lang w:val="la-Latn"/>
              </w:rPr>
              <w:t>Quare L. Sullae, C. Caesaris pecuniarum translatio</w:t>
            </w:r>
            <w:r>
              <w:t>*</w:t>
            </w:r>
            <w:r w:rsidRPr="002C26AC">
              <w:rPr>
                <w:lang w:val="la-Latn"/>
              </w:rPr>
              <w:t xml:space="preserve"> a iustis dominis ad alienos non debet liberalis videri.</w:t>
            </w:r>
          </w:p>
          <w:p w14:paraId="787FF920" w14:textId="77777777" w:rsidR="002C26AC" w:rsidRPr="002C26AC" w:rsidRDefault="002C26AC" w:rsidP="002C26AC">
            <w:pPr>
              <w:rPr>
                <w:lang w:val="la-Latn"/>
              </w:rPr>
            </w:pPr>
            <w:r w:rsidRPr="002C26AC">
              <w:rPr>
                <w:lang w:val="la-Latn"/>
              </w:rPr>
              <w:t>Nihil est enim liberale, quod non idem iustum.</w:t>
            </w:r>
          </w:p>
          <w:p w14:paraId="60853DFA" w14:textId="77777777" w:rsidR="002C26AC" w:rsidRDefault="002C26AC" w:rsidP="002C26AC"/>
        </w:tc>
        <w:tc>
          <w:tcPr>
            <w:tcW w:w="4809" w:type="dxa"/>
          </w:tcPr>
          <w:p w14:paraId="72A79BAD" w14:textId="77777777" w:rsidR="002C26AC" w:rsidRPr="002C26AC" w:rsidRDefault="002C26AC" w:rsidP="002C26AC">
            <w:pPr>
              <w:pStyle w:val="vokangabe2"/>
              <w:rPr>
                <w:lang w:val="de-DE"/>
              </w:rPr>
            </w:pPr>
            <w:r w:rsidRPr="002C26AC">
              <w:t>L. Sullae, C. Caesaris pecuniarum translatio:</w:t>
            </w:r>
            <w:r>
              <w:rPr>
                <w:lang w:val="de-DE"/>
              </w:rPr>
              <w:t xml:space="preserve"> Siehe die Vorbemerkung zu diesem Absatz.</w:t>
            </w:r>
          </w:p>
        </w:tc>
      </w:tr>
    </w:tbl>
    <w:p w14:paraId="231BA1EE" w14:textId="77777777" w:rsidR="002C26AC" w:rsidRPr="002C26AC" w:rsidRDefault="002C26AC" w:rsidP="002C26AC">
      <w:pPr>
        <w:spacing w:before="240"/>
      </w:pPr>
    </w:p>
    <w:p w14:paraId="761FDFF4" w14:textId="77777777" w:rsidR="002C26AC" w:rsidRDefault="002C26AC" w:rsidP="002C26AC">
      <w:pPr>
        <w:rPr>
          <w:lang w:val="la-Latn"/>
        </w:rPr>
      </w:pPr>
      <w:r w:rsidRPr="002C26AC">
        <w:rPr>
          <w:lang w:val="la-Latn"/>
        </w:rPr>
        <w:t xml:space="preserve">[1, 44] </w:t>
      </w:r>
      <w:r w:rsidR="006C0B65">
        <w:t>Cicero untersucht nun, in welchen Fällen die Wohltätigkeit den Interessen des Schenkenden schaden kann.</w:t>
      </w:r>
    </w:p>
    <w:tbl>
      <w:tblPr>
        <w:tblStyle w:val="Tabellenraster"/>
        <w:tblW w:w="0" w:type="auto"/>
        <w:tblLook w:val="04A0" w:firstRow="1" w:lastRow="0" w:firstColumn="1" w:lastColumn="0" w:noHBand="0" w:noVBand="1"/>
      </w:tblPr>
      <w:tblGrid>
        <w:gridCol w:w="4809"/>
        <w:gridCol w:w="4809"/>
      </w:tblGrid>
      <w:tr w:rsidR="002C26AC" w14:paraId="7F90ECA3" w14:textId="77777777" w:rsidTr="002C26AC">
        <w:tc>
          <w:tcPr>
            <w:tcW w:w="4809" w:type="dxa"/>
          </w:tcPr>
          <w:p w14:paraId="3FDF9232" w14:textId="77777777" w:rsidR="002C26AC" w:rsidRPr="002C26AC" w:rsidRDefault="002C26AC" w:rsidP="002C26AC">
            <w:pPr>
              <w:rPr>
                <w:lang w:val="la-Latn"/>
              </w:rPr>
            </w:pPr>
            <w:r w:rsidRPr="002C26AC">
              <w:rPr>
                <w:lang w:val="la-Latn"/>
              </w:rPr>
              <w:lastRenderedPageBreak/>
              <w:t>Alter locus erat cautionis, ne benignitas maior esset quam facultates, quod qui benigniores volunt esse, quam res patitur, primum in eo peccant, quod iniuriosi sunt in proximos. Quas enim copias his et suppeditari aequius est et relinqui, eas transferunt ad alienos.</w:t>
            </w:r>
          </w:p>
          <w:p w14:paraId="7EF85A0F" w14:textId="77777777" w:rsidR="002C26AC" w:rsidRDefault="002C26AC" w:rsidP="002C26AC">
            <w:pPr>
              <w:rPr>
                <w:lang w:val="la-Latn"/>
              </w:rPr>
            </w:pPr>
          </w:p>
        </w:tc>
        <w:tc>
          <w:tcPr>
            <w:tcW w:w="4809" w:type="dxa"/>
          </w:tcPr>
          <w:p w14:paraId="18A3DFBF" w14:textId="77777777" w:rsidR="002C26AC" w:rsidRPr="002C26AC" w:rsidRDefault="002C26AC" w:rsidP="002C26AC">
            <w:pPr>
              <w:pStyle w:val="vokangabe2"/>
            </w:pPr>
            <w:r w:rsidRPr="002C26AC">
              <w:t xml:space="preserve">facultātēs: die finanziellen Möglichkeiten </w:t>
            </w:r>
          </w:p>
          <w:p w14:paraId="61CB643F" w14:textId="77777777" w:rsidR="002C26AC" w:rsidRPr="002C26AC" w:rsidRDefault="002C26AC" w:rsidP="002C26AC">
            <w:pPr>
              <w:pStyle w:val="vokangabe2"/>
            </w:pPr>
            <w:r w:rsidRPr="002C26AC">
              <w:t>r</w:t>
            </w:r>
            <w:r w:rsidR="00090F14" w:rsidRPr="00090F14">
              <w:t>ē</w:t>
            </w:r>
            <w:r w:rsidRPr="002C26AC">
              <w:t>s: siehe den Eintrag im Grundwortschatz</w:t>
            </w:r>
          </w:p>
          <w:p w14:paraId="52D1B820" w14:textId="77777777" w:rsidR="002C26AC" w:rsidRPr="002C26AC" w:rsidRDefault="002C26AC" w:rsidP="002C26AC">
            <w:pPr>
              <w:pStyle w:val="vokangabe2"/>
            </w:pPr>
            <w:r w:rsidRPr="002C26AC">
              <w:t xml:space="preserve">iniuriosum esse (mit </w:t>
            </w:r>
            <w:r w:rsidRPr="002C26AC">
              <w:rPr>
                <w:i/>
              </w:rPr>
              <w:t>in</w:t>
            </w:r>
            <w:r w:rsidRPr="002C26AC">
              <w:t xml:space="preserve"> und Akkusativ): sich gegenüber jemandem ungerecht verhalten</w:t>
            </w:r>
          </w:p>
          <w:p w14:paraId="52918B66" w14:textId="77777777" w:rsidR="002C26AC" w:rsidRPr="002C26AC" w:rsidRDefault="002C26AC" w:rsidP="002C26AC">
            <w:pPr>
              <w:pStyle w:val="vokangabe2"/>
            </w:pPr>
            <w:r w:rsidRPr="002C26AC">
              <w:t xml:space="preserve">quas enim copias: Das Bezugswort steht hier im Relativsatz selbst. Beim Übersetzen muss man es </w:t>
            </w:r>
            <w:r w:rsidRPr="002C26AC">
              <w:rPr>
                <w:b/>
              </w:rPr>
              <w:t>vor</w:t>
            </w:r>
            <w:r w:rsidRPr="002C26AC">
              <w:t xml:space="preserve"> den Relativsatz stellen: Die Güter, die sie…</w:t>
            </w:r>
          </w:p>
          <w:p w14:paraId="349DB7D9" w14:textId="77777777" w:rsidR="002C26AC" w:rsidRPr="002C26AC" w:rsidRDefault="002C26AC" w:rsidP="002C26AC">
            <w:pPr>
              <w:pStyle w:val="vokangabe2"/>
            </w:pPr>
            <w:r w:rsidRPr="002C26AC">
              <w:t>suppedit</w:t>
            </w:r>
            <w:r w:rsidR="00090F14" w:rsidRPr="00090F14">
              <w:t>ā</w:t>
            </w:r>
            <w:r w:rsidRPr="002C26AC">
              <w:t>re: jemandem etwas zur Verfügung stellen</w:t>
            </w:r>
          </w:p>
          <w:p w14:paraId="21A2D9F9" w14:textId="77777777" w:rsidR="002C26AC" w:rsidRDefault="00090F14" w:rsidP="009E5879">
            <w:pPr>
              <w:pStyle w:val="vokangabe2"/>
            </w:pPr>
            <w:r w:rsidRPr="00090F14">
              <w:t>relinquere, relinquō, relīquī, relictum</w:t>
            </w:r>
            <w:r w:rsidR="002C26AC" w:rsidRPr="002C26AC">
              <w:t xml:space="preserve"> (hier:) jemandem etwas hinterlassen, d.h. vererben</w:t>
            </w:r>
          </w:p>
        </w:tc>
      </w:tr>
      <w:tr w:rsidR="002C26AC" w14:paraId="6B528F17" w14:textId="77777777" w:rsidTr="002C26AC">
        <w:tc>
          <w:tcPr>
            <w:tcW w:w="4809" w:type="dxa"/>
          </w:tcPr>
          <w:p w14:paraId="75D3187B" w14:textId="77777777" w:rsidR="002C26AC" w:rsidRPr="002C26AC" w:rsidRDefault="002C26AC" w:rsidP="002C26AC">
            <w:pPr>
              <w:rPr>
                <w:lang w:val="la-Latn"/>
              </w:rPr>
            </w:pPr>
            <w:r w:rsidRPr="002C26AC">
              <w:rPr>
                <w:lang w:val="la-Latn"/>
              </w:rPr>
              <w:t>Inest autem in tali liberalitate cupiditas plerumque rapiendi et auferendi per iniuriam, ut ad largiendum suppetant copiae. Videre etiam licet plerosque non tam natura liberales quam quadam gloria ductos, ut benefici videantur facere multa, quae proficisci ab ostentatione magis quam a voluntate videantur.</w:t>
            </w:r>
          </w:p>
          <w:p w14:paraId="3E5F1CD9" w14:textId="77777777" w:rsidR="002C26AC" w:rsidRDefault="002C26AC" w:rsidP="002C26AC">
            <w:pPr>
              <w:rPr>
                <w:lang w:val="la-Latn"/>
              </w:rPr>
            </w:pPr>
          </w:p>
        </w:tc>
        <w:tc>
          <w:tcPr>
            <w:tcW w:w="4809" w:type="dxa"/>
          </w:tcPr>
          <w:p w14:paraId="61E2758A" w14:textId="77777777" w:rsidR="002C26AC" w:rsidRPr="002C26AC" w:rsidRDefault="00090F14" w:rsidP="002C26AC">
            <w:pPr>
              <w:pStyle w:val="vokangabe2"/>
            </w:pPr>
            <w:r w:rsidRPr="00090F14">
              <w:t>auferre, auferō, abstulī, ablātum</w:t>
            </w:r>
            <w:r w:rsidR="002C26AC" w:rsidRPr="002C26AC">
              <w:t>: wegnehmen</w:t>
            </w:r>
          </w:p>
          <w:p w14:paraId="47C41EA0" w14:textId="77777777" w:rsidR="002C26AC" w:rsidRPr="002C26AC" w:rsidRDefault="00090F14" w:rsidP="002C26AC">
            <w:pPr>
              <w:pStyle w:val="vokangabe2"/>
            </w:pPr>
            <w:r>
              <w:rPr>
                <w:lang w:val="de-DE"/>
              </w:rPr>
              <w:t>s</w:t>
            </w:r>
            <w:r w:rsidRPr="00090F14">
              <w:t>uppetere, suppetō, suppetīvī, suppetītum</w:t>
            </w:r>
            <w:r w:rsidR="002C26AC" w:rsidRPr="002C26AC">
              <w:t>: ausreichen</w:t>
            </w:r>
          </w:p>
          <w:p w14:paraId="49D7C4C1" w14:textId="77777777" w:rsidR="002C26AC" w:rsidRPr="002C26AC" w:rsidRDefault="002C26AC" w:rsidP="002C26AC">
            <w:pPr>
              <w:pStyle w:val="vokangabe2"/>
            </w:pPr>
            <w:r w:rsidRPr="002C26AC">
              <w:t>largiri: siehe oben bei 1, 43</w:t>
            </w:r>
          </w:p>
          <w:p w14:paraId="75A3F7C7" w14:textId="77777777" w:rsidR="002C26AC" w:rsidRPr="002C26AC" w:rsidRDefault="002C26AC" w:rsidP="002C26AC">
            <w:pPr>
              <w:pStyle w:val="vokangabe2"/>
            </w:pPr>
            <w:r w:rsidRPr="002C26AC">
              <w:t>plerique: die meisten</w:t>
            </w:r>
          </w:p>
          <w:p w14:paraId="2E657B10" w14:textId="77777777" w:rsidR="002C26AC" w:rsidRPr="002C26AC" w:rsidRDefault="00090F14" w:rsidP="002C26AC">
            <w:pPr>
              <w:pStyle w:val="vokangabe2"/>
            </w:pPr>
            <w:r w:rsidRPr="00090F14">
              <w:t xml:space="preserve">proficīscī, proficīscor, profectus/profecta sum </w:t>
            </w:r>
            <w:r w:rsidR="002C26AC" w:rsidRPr="002C26AC">
              <w:t>(Deponens): von etwas ausgehen, sich aus einer Sache heraus entwickeln</w:t>
            </w:r>
          </w:p>
          <w:p w14:paraId="062EF2B4" w14:textId="77777777" w:rsidR="002C26AC" w:rsidRPr="002C26AC" w:rsidRDefault="00090F14" w:rsidP="002C26AC">
            <w:pPr>
              <w:pStyle w:val="vokangabe2"/>
            </w:pPr>
            <w:r w:rsidRPr="00090F14">
              <w:t>ostentātiō, ostentātiōnis</w:t>
            </w:r>
            <w:r w:rsidR="002C26AC" w:rsidRPr="002C26AC">
              <w:t>, f.: die Prahlerei, die Angeberei</w:t>
            </w:r>
          </w:p>
          <w:p w14:paraId="5221875B" w14:textId="77777777" w:rsidR="002C26AC" w:rsidRDefault="002C26AC" w:rsidP="002C26AC">
            <w:pPr>
              <w:rPr>
                <w:lang w:val="la-Latn"/>
              </w:rPr>
            </w:pPr>
          </w:p>
        </w:tc>
      </w:tr>
      <w:tr w:rsidR="002C26AC" w14:paraId="45D6646F" w14:textId="77777777" w:rsidTr="002C26AC">
        <w:tc>
          <w:tcPr>
            <w:tcW w:w="4809" w:type="dxa"/>
          </w:tcPr>
          <w:p w14:paraId="594847CF" w14:textId="77777777" w:rsidR="002C26AC" w:rsidRDefault="002C26AC" w:rsidP="002C26AC">
            <w:pPr>
              <w:spacing w:after="160"/>
              <w:rPr>
                <w:lang w:val="la-Latn"/>
              </w:rPr>
            </w:pPr>
            <w:r w:rsidRPr="002C26AC">
              <w:rPr>
                <w:lang w:val="la-Latn"/>
              </w:rPr>
              <w:t>Talis autem simulatio vanitati est coniunctior quam aut liberalitati aut honestati.</w:t>
            </w:r>
          </w:p>
        </w:tc>
        <w:tc>
          <w:tcPr>
            <w:tcW w:w="4809" w:type="dxa"/>
          </w:tcPr>
          <w:p w14:paraId="44F7C41D" w14:textId="77777777" w:rsidR="002C26AC" w:rsidRPr="002C26AC" w:rsidRDefault="002C26AC" w:rsidP="002C26AC">
            <w:pPr>
              <w:pStyle w:val="vokangabe2"/>
              <w:rPr>
                <w:lang w:bidi="hi-IN"/>
              </w:rPr>
            </w:pPr>
            <w:r w:rsidRPr="002C26AC">
              <w:rPr>
                <w:lang w:bidi="hi-IN"/>
              </w:rPr>
              <w:t>s</w:t>
            </w:r>
            <w:r w:rsidR="00090F14" w:rsidRPr="00090F14">
              <w:rPr>
                <w:lang w:bidi="hi-IN"/>
              </w:rPr>
              <w:t>imulātiō, simulātiōnis,</w:t>
            </w:r>
            <w:r w:rsidRPr="002C26AC">
              <w:rPr>
                <w:lang w:bidi="hi-IN"/>
              </w:rPr>
              <w:t>: die Heuchelei</w:t>
            </w:r>
          </w:p>
          <w:p w14:paraId="702B664C" w14:textId="77777777" w:rsidR="002C26AC" w:rsidRPr="002C26AC" w:rsidRDefault="00090F14" w:rsidP="002C26AC">
            <w:pPr>
              <w:pStyle w:val="vokangabe2"/>
              <w:rPr>
                <w:lang w:bidi="hi-IN"/>
              </w:rPr>
            </w:pPr>
            <w:r w:rsidRPr="00090F14">
              <w:rPr>
                <w:lang w:bidi="hi-IN"/>
              </w:rPr>
              <w:t>vānitās, vānitātis</w:t>
            </w:r>
            <w:r w:rsidR="002C26AC" w:rsidRPr="002C26AC">
              <w:rPr>
                <w:lang w:bidi="hi-IN"/>
              </w:rPr>
              <w:t>, f.: die Eitelkeit, das sinnlose Streben nach einer Sache</w:t>
            </w:r>
          </w:p>
          <w:p w14:paraId="4C0062AD" w14:textId="77777777" w:rsidR="002C26AC" w:rsidRDefault="002C26AC" w:rsidP="002C26AC">
            <w:pPr>
              <w:pStyle w:val="vokangabe2"/>
            </w:pPr>
            <w:r w:rsidRPr="002C26AC">
              <w:rPr>
                <w:lang w:bidi="hi-IN"/>
              </w:rPr>
              <w:t>coniunctus: verbunden, ähnlich</w:t>
            </w:r>
          </w:p>
        </w:tc>
      </w:tr>
    </w:tbl>
    <w:p w14:paraId="4CD7CB25" w14:textId="77777777" w:rsidR="002C26AC" w:rsidRPr="002C26AC" w:rsidRDefault="002C26AC" w:rsidP="002C26AC">
      <w:pPr>
        <w:spacing w:before="240"/>
      </w:pPr>
      <w:r w:rsidRPr="002C26AC">
        <w:t>Verdient jedermann Wohltätigkeit?</w:t>
      </w:r>
    </w:p>
    <w:p w14:paraId="0D991599" w14:textId="77777777" w:rsidR="002C26AC" w:rsidRDefault="002C26AC" w:rsidP="002C26AC">
      <w:pPr>
        <w:rPr>
          <w:lang w:val="la-Latn"/>
        </w:rPr>
      </w:pPr>
      <w:r w:rsidRPr="002C26AC">
        <w:rPr>
          <w:lang w:val="la-Latn"/>
        </w:rPr>
        <w:t>[</w:t>
      </w:r>
      <w:bookmarkStart w:id="2" w:name="45"/>
      <w:bookmarkEnd w:id="2"/>
      <w:r w:rsidRPr="002C26AC">
        <w:rPr>
          <w:lang w:val="la-Latn"/>
        </w:rPr>
        <w:t>1, 45]</w:t>
      </w:r>
    </w:p>
    <w:tbl>
      <w:tblPr>
        <w:tblStyle w:val="Tabellenraster"/>
        <w:tblW w:w="0" w:type="auto"/>
        <w:tblLook w:val="04A0" w:firstRow="1" w:lastRow="0" w:firstColumn="1" w:lastColumn="0" w:noHBand="0" w:noVBand="1"/>
      </w:tblPr>
      <w:tblGrid>
        <w:gridCol w:w="4809"/>
        <w:gridCol w:w="4809"/>
      </w:tblGrid>
      <w:tr w:rsidR="002C26AC" w14:paraId="63317559" w14:textId="77777777" w:rsidTr="002C26AC">
        <w:tc>
          <w:tcPr>
            <w:tcW w:w="4809" w:type="dxa"/>
          </w:tcPr>
          <w:p w14:paraId="44DE492D" w14:textId="77777777" w:rsidR="006C0B65" w:rsidRDefault="002C26AC" w:rsidP="002C26AC">
            <w:pPr>
              <w:rPr>
                <w:lang w:val="la-Latn"/>
              </w:rPr>
            </w:pPr>
            <w:r w:rsidRPr="002C26AC">
              <w:rPr>
                <w:lang w:val="la-Latn"/>
              </w:rPr>
              <w:t>Tertium est propositum, ut in beneficentia dilectus</w:t>
            </w:r>
            <w:r w:rsidR="006C0B65">
              <w:t>*</w:t>
            </w:r>
            <w:r w:rsidRPr="002C26AC">
              <w:rPr>
                <w:lang w:val="la-Latn"/>
              </w:rPr>
              <w:t xml:space="preserve"> esset dignitatis;</w:t>
            </w:r>
          </w:p>
          <w:p w14:paraId="1EAA1ED6" w14:textId="77777777" w:rsidR="006C0B65" w:rsidRDefault="006C0B65" w:rsidP="002C26AC">
            <w:pPr>
              <w:rPr>
                <w:lang w:val="la-Latn"/>
              </w:rPr>
            </w:pPr>
          </w:p>
          <w:p w14:paraId="7F6DC943" w14:textId="77777777" w:rsidR="002C26AC" w:rsidRDefault="002C26AC" w:rsidP="002C26AC">
            <w:pPr>
              <w:rPr>
                <w:lang w:val="la-Latn"/>
              </w:rPr>
            </w:pPr>
            <w:r w:rsidRPr="002C26AC">
              <w:rPr>
                <w:lang w:val="la-Latn"/>
              </w:rPr>
              <w:t>in quo et mores eius erunt spectandi, in quem beneficium</w:t>
            </w:r>
            <w:r w:rsidR="006C0B65">
              <w:t>*</w:t>
            </w:r>
            <w:r w:rsidRPr="002C26AC">
              <w:rPr>
                <w:lang w:val="la-Latn"/>
              </w:rPr>
              <w:t xml:space="preserve"> conferetur, et animus erga</w:t>
            </w:r>
            <w:r w:rsidR="006C0B65">
              <w:t>*</w:t>
            </w:r>
            <w:r w:rsidRPr="002C26AC">
              <w:rPr>
                <w:lang w:val="la-Latn"/>
              </w:rPr>
              <w:t xml:space="preserve"> nos et communitas ac societas vitae et ad nostras utilitates officia</w:t>
            </w:r>
            <w:r w:rsidR="006C0B65">
              <w:t>*</w:t>
            </w:r>
            <w:r w:rsidRPr="002C26AC">
              <w:rPr>
                <w:lang w:val="la-Latn"/>
              </w:rPr>
              <w:t xml:space="preserve"> ante collata.</w:t>
            </w:r>
          </w:p>
        </w:tc>
        <w:tc>
          <w:tcPr>
            <w:tcW w:w="4809" w:type="dxa"/>
          </w:tcPr>
          <w:p w14:paraId="31CF0128" w14:textId="77777777" w:rsidR="002C26AC" w:rsidRPr="002C26AC" w:rsidRDefault="00090F14" w:rsidP="002C26AC">
            <w:pPr>
              <w:pStyle w:val="vokangabe2"/>
            </w:pPr>
            <w:r w:rsidRPr="00090F14">
              <w:t>dilēctus, dilēctūs</w:t>
            </w:r>
            <w:r w:rsidR="002C26AC" w:rsidRPr="002C26AC">
              <w:t>, m.: die Auswahl</w:t>
            </w:r>
          </w:p>
          <w:p w14:paraId="6D6C3212" w14:textId="77777777" w:rsidR="002C26AC" w:rsidRPr="002C26AC" w:rsidRDefault="002C26AC" w:rsidP="002C26AC">
            <w:pPr>
              <w:pStyle w:val="vokangabe2"/>
            </w:pPr>
            <w:r w:rsidRPr="002C26AC">
              <w:t>officia / beneficia conferre (confero, contuli, collatum): Dienste/Gefälligkeiten erweisen</w:t>
            </w:r>
          </w:p>
          <w:p w14:paraId="6AC9D4DF" w14:textId="77777777" w:rsidR="002C26AC" w:rsidRPr="002C26AC" w:rsidRDefault="00090F14" w:rsidP="002C26AC">
            <w:pPr>
              <w:pStyle w:val="vokangabe2"/>
            </w:pPr>
            <w:r w:rsidRPr="00090F14">
              <w:t xml:space="preserve">ergā </w:t>
            </w:r>
            <w:r w:rsidR="002C26AC" w:rsidRPr="002C26AC">
              <w:t>(Präposition m. Akk.): gegen, gegenüber</w:t>
            </w:r>
          </w:p>
          <w:p w14:paraId="5BF8646C" w14:textId="77777777" w:rsidR="002C26AC" w:rsidRPr="006C0B65" w:rsidRDefault="002C26AC" w:rsidP="002C26AC">
            <w:pPr>
              <w:pStyle w:val="vokangabe2"/>
              <w:rPr>
                <w:lang w:val="de-DE"/>
              </w:rPr>
            </w:pPr>
            <w:r w:rsidRPr="002C26AC">
              <w:t>officia … collata: Achten Sie auf die syntaktische Konstruktion</w:t>
            </w:r>
            <w:r w:rsidR="006C0B65">
              <w:rPr>
                <w:lang w:val="de-DE"/>
              </w:rPr>
              <w:t>.</w:t>
            </w:r>
          </w:p>
        </w:tc>
      </w:tr>
      <w:tr w:rsidR="002C26AC" w14:paraId="4F8763A2" w14:textId="77777777" w:rsidTr="002C26AC">
        <w:tc>
          <w:tcPr>
            <w:tcW w:w="4809" w:type="dxa"/>
          </w:tcPr>
          <w:p w14:paraId="7B6FC9AB" w14:textId="77777777" w:rsidR="002C26AC" w:rsidRDefault="002C26AC" w:rsidP="002C26AC">
            <w:pPr>
              <w:rPr>
                <w:lang w:val="la-Latn"/>
              </w:rPr>
            </w:pPr>
            <w:r w:rsidRPr="002C26AC">
              <w:rPr>
                <w:lang w:val="la-Latn"/>
              </w:rPr>
              <w:t>Quae ut concurrant</w:t>
            </w:r>
            <w:r w:rsidR="006C0B65">
              <w:t>*</w:t>
            </w:r>
            <w:r w:rsidRPr="002C26AC">
              <w:rPr>
                <w:lang w:val="la-Latn"/>
              </w:rPr>
              <w:t xml:space="preserve"> omnia, optabile est; si minus, plures maioresque causae plus ponderis</w:t>
            </w:r>
            <w:r w:rsidR="006C0B65">
              <w:t>*</w:t>
            </w:r>
            <w:r w:rsidRPr="002C26AC">
              <w:rPr>
                <w:lang w:val="la-Latn"/>
              </w:rPr>
              <w:t xml:space="preserve"> habebunt.</w:t>
            </w:r>
          </w:p>
        </w:tc>
        <w:tc>
          <w:tcPr>
            <w:tcW w:w="4809" w:type="dxa"/>
          </w:tcPr>
          <w:p w14:paraId="0A98AC5F" w14:textId="77777777" w:rsidR="002C26AC" w:rsidRPr="002C26AC" w:rsidRDefault="00090F14" w:rsidP="002C26AC">
            <w:pPr>
              <w:pStyle w:val="vokangabe2"/>
            </w:pPr>
            <w:r w:rsidRPr="00090F14">
              <w:t>concurrere, concurrō, concurrī, concursu</w:t>
            </w:r>
            <w:r w:rsidR="002C26AC" w:rsidRPr="002C26AC">
              <w:t>: zusammenkommen (hier im übertragenen Sinne von den Gründen für die Wohltätigkeit gesagt)</w:t>
            </w:r>
          </w:p>
          <w:p w14:paraId="1E1966BF" w14:textId="77777777" w:rsidR="002C26AC" w:rsidRDefault="00090F14" w:rsidP="002C26AC">
            <w:pPr>
              <w:pStyle w:val="vokangabe2"/>
            </w:pPr>
            <w:r w:rsidRPr="00090F14">
              <w:t>plūs</w:t>
            </w:r>
            <w:r>
              <w:rPr>
                <w:lang w:val="de-DE"/>
              </w:rPr>
              <w:t xml:space="preserve"> </w:t>
            </w:r>
            <w:r w:rsidR="002C26AC" w:rsidRPr="002C26AC">
              <w:t xml:space="preserve">ponderis: pondus, ponderis, n.: das Gewicht. </w:t>
            </w:r>
            <w:r w:rsidR="002C26AC" w:rsidRPr="002C26AC">
              <w:rPr>
                <w:i/>
              </w:rPr>
              <w:t>Ponderis</w:t>
            </w:r>
            <w:r w:rsidR="002C26AC" w:rsidRPr="002C26AC">
              <w:t xml:space="preserve"> steht hier im Genitivus partitivus, abhängig von </w:t>
            </w:r>
            <w:r w:rsidR="002C26AC" w:rsidRPr="002C26AC">
              <w:rPr>
                <w:i/>
              </w:rPr>
              <w:t>plus</w:t>
            </w:r>
            <w:r w:rsidR="002C26AC" w:rsidRPr="002C26AC">
              <w:t>.</w:t>
            </w:r>
          </w:p>
        </w:tc>
      </w:tr>
    </w:tbl>
    <w:p w14:paraId="18062B2D" w14:textId="77777777" w:rsidR="002C26AC" w:rsidRPr="005240FC" w:rsidRDefault="002C26AC" w:rsidP="002C26AC">
      <w:pPr>
        <w:spacing w:before="240"/>
      </w:pPr>
      <w:r w:rsidRPr="002C26AC">
        <w:rPr>
          <w:lang w:val="la-Latn"/>
        </w:rPr>
        <w:lastRenderedPageBreak/>
        <w:t>[</w:t>
      </w:r>
      <w:bookmarkStart w:id="3" w:name="46"/>
      <w:bookmarkEnd w:id="3"/>
      <w:r w:rsidRPr="002C26AC">
        <w:rPr>
          <w:lang w:val="la-Latn"/>
        </w:rPr>
        <w:t>1, 46]</w:t>
      </w:r>
      <w:r w:rsidR="005240FC">
        <w:t xml:space="preserve"> Man darf keine übertriebenen Erwartungen an die Mitmenschen haben.</w:t>
      </w:r>
    </w:p>
    <w:tbl>
      <w:tblPr>
        <w:tblStyle w:val="Tabellenraster"/>
        <w:tblW w:w="0" w:type="auto"/>
        <w:tblLook w:val="04A0" w:firstRow="1" w:lastRow="0" w:firstColumn="1" w:lastColumn="0" w:noHBand="0" w:noVBand="1"/>
      </w:tblPr>
      <w:tblGrid>
        <w:gridCol w:w="4809"/>
        <w:gridCol w:w="4809"/>
      </w:tblGrid>
      <w:tr w:rsidR="002C26AC" w14:paraId="278FD38B" w14:textId="77777777" w:rsidTr="002C26AC">
        <w:tc>
          <w:tcPr>
            <w:tcW w:w="4809" w:type="dxa"/>
          </w:tcPr>
          <w:p w14:paraId="3FB31159" w14:textId="77777777" w:rsidR="002C26AC" w:rsidRDefault="002C26AC" w:rsidP="006C0B65">
            <w:pPr>
              <w:rPr>
                <w:lang w:val="la-Latn"/>
              </w:rPr>
            </w:pPr>
            <w:r w:rsidRPr="002C26AC">
              <w:rPr>
                <w:lang w:val="la-Latn"/>
              </w:rPr>
              <w:t>Quoniam autem vivitur non cum perfectis hominibus planeque sapientibus, sed cum iis, in quibus praeclare agitur, si sunt simulacra</w:t>
            </w:r>
            <w:r w:rsidR="006C0B65">
              <w:t>*</w:t>
            </w:r>
            <w:r w:rsidRPr="002C26AC">
              <w:rPr>
                <w:lang w:val="la-Latn"/>
              </w:rPr>
              <w:t xml:space="preserve"> virtutis, etiam hoc intellegendum puto, neminem omnino esse neglegendum, in quo aliqua significatio</w:t>
            </w:r>
            <w:r w:rsidR="006C0B65">
              <w:t>*</w:t>
            </w:r>
            <w:r w:rsidRPr="002C26AC">
              <w:rPr>
                <w:lang w:val="la-Latn"/>
              </w:rPr>
              <w:t xml:space="preserve"> virtutis appareat.</w:t>
            </w:r>
          </w:p>
        </w:tc>
        <w:tc>
          <w:tcPr>
            <w:tcW w:w="4809" w:type="dxa"/>
          </w:tcPr>
          <w:p w14:paraId="53AD5F6B" w14:textId="77777777" w:rsidR="002C26AC" w:rsidRDefault="00090F14" w:rsidP="002C26AC">
            <w:pPr>
              <w:pStyle w:val="vokangabe2"/>
            </w:pPr>
            <w:r w:rsidRPr="00090F14">
              <w:t>simulācrum, simulācrī</w:t>
            </w:r>
            <w:r>
              <w:rPr>
                <w:lang w:val="de-DE"/>
              </w:rPr>
              <w:t>, n.</w:t>
            </w:r>
            <w:r w:rsidR="002C26AC" w:rsidRPr="002C26AC">
              <w:t>: das Abbild</w:t>
            </w:r>
          </w:p>
          <w:p w14:paraId="3D326EC7" w14:textId="77777777" w:rsidR="002C26AC" w:rsidRPr="002C26AC" w:rsidRDefault="00090F14" w:rsidP="002C26AC">
            <w:pPr>
              <w:pStyle w:val="vokangabe2"/>
            </w:pPr>
            <w:r w:rsidRPr="00090F14">
              <w:t>sīgnificātiō, sīgnificātiōnis, f</w:t>
            </w:r>
            <w:r>
              <w:rPr>
                <w:lang w:val="de-DE"/>
              </w:rPr>
              <w:t>.</w:t>
            </w:r>
            <w:r w:rsidR="002C26AC" w:rsidRPr="002C26AC">
              <w:t>: das Anzeichen</w:t>
            </w:r>
          </w:p>
          <w:p w14:paraId="52D09924" w14:textId="77777777" w:rsidR="002C26AC" w:rsidRDefault="002C26AC" w:rsidP="002C26AC">
            <w:pPr>
              <w:pStyle w:val="vokangabe2"/>
            </w:pPr>
          </w:p>
        </w:tc>
      </w:tr>
      <w:tr w:rsidR="002C26AC" w14:paraId="4E88F91C" w14:textId="77777777" w:rsidTr="002C26AC">
        <w:trPr>
          <w:trHeight w:val="2792"/>
        </w:trPr>
        <w:tc>
          <w:tcPr>
            <w:tcW w:w="4809" w:type="dxa"/>
          </w:tcPr>
          <w:p w14:paraId="53B350B0" w14:textId="77777777" w:rsidR="002C26AC" w:rsidRDefault="002C26AC" w:rsidP="002C26AC">
            <w:pPr>
              <w:rPr>
                <w:lang w:val="la-Latn"/>
              </w:rPr>
            </w:pPr>
            <w:r w:rsidRPr="002C26AC">
              <w:rPr>
                <w:lang w:val="la-Latn"/>
              </w:rPr>
              <w:t>Existimo autem colendum esse ita quemque maxime, ut quisque maxime virtutibus his lenioribus erit ornatus, modestia, temperantia, hac ipsa, de qua multa iam dicta sunt, iustitia.</w:t>
            </w:r>
          </w:p>
          <w:p w14:paraId="212B5DEF" w14:textId="77777777" w:rsidR="002C26AC" w:rsidRDefault="002C26AC" w:rsidP="002C26AC">
            <w:pPr>
              <w:rPr>
                <w:lang w:val="la-Latn"/>
              </w:rPr>
            </w:pPr>
          </w:p>
          <w:p w14:paraId="17BF662E" w14:textId="77777777" w:rsidR="005240FC" w:rsidRDefault="002C26AC" w:rsidP="002C26AC">
            <w:pPr>
              <w:rPr>
                <w:lang w:val="la-Latn"/>
              </w:rPr>
            </w:pPr>
            <w:r w:rsidRPr="002C26AC">
              <w:rPr>
                <w:lang w:val="la-Latn"/>
              </w:rPr>
              <w:t>Nam fortis animus et magnus in homine non perfecto nec sapiente ferventior plerumque est, illae virtutes autem bonum virum videntur potius attingere.</w:t>
            </w:r>
          </w:p>
          <w:p w14:paraId="24BFA9B6" w14:textId="77777777" w:rsidR="002C26AC" w:rsidRPr="002C26AC" w:rsidRDefault="002C26AC" w:rsidP="002C26AC">
            <w:pPr>
              <w:rPr>
                <w:lang w:val="la-Latn"/>
              </w:rPr>
            </w:pPr>
            <w:r w:rsidRPr="002C26AC">
              <w:rPr>
                <w:lang w:val="la-Latn"/>
              </w:rPr>
              <w:t>Atque haec in moribus.</w:t>
            </w:r>
          </w:p>
          <w:p w14:paraId="67DE6B07" w14:textId="77777777" w:rsidR="002C26AC" w:rsidRDefault="002C26AC" w:rsidP="002C26AC">
            <w:pPr>
              <w:spacing w:before="240"/>
              <w:rPr>
                <w:lang w:val="la-Latn"/>
              </w:rPr>
            </w:pPr>
          </w:p>
        </w:tc>
        <w:tc>
          <w:tcPr>
            <w:tcW w:w="4809" w:type="dxa"/>
          </w:tcPr>
          <w:p w14:paraId="5ABCE96C" w14:textId="77777777" w:rsidR="002C26AC" w:rsidRDefault="002C26AC" w:rsidP="002C26AC">
            <w:pPr>
              <w:pStyle w:val="vokangabe2"/>
            </w:pPr>
            <w:r w:rsidRPr="002C26AC">
              <w:t>quisque: jeder</w:t>
            </w:r>
          </w:p>
          <w:p w14:paraId="1C53B412" w14:textId="77777777" w:rsidR="002C26AC" w:rsidRPr="002C26AC" w:rsidRDefault="002C26AC" w:rsidP="002C26AC">
            <w:pPr>
              <w:pStyle w:val="vokangabe2"/>
            </w:pPr>
            <w:r w:rsidRPr="002C26AC">
              <w:t>ita maxime … ut: umso mehr, je mehr</w:t>
            </w:r>
          </w:p>
          <w:p w14:paraId="522FD63A" w14:textId="77777777" w:rsidR="002C26AC" w:rsidRDefault="00090F14" w:rsidP="002C26AC">
            <w:pPr>
              <w:pStyle w:val="vokangabe2"/>
            </w:pPr>
            <w:r w:rsidRPr="00090F14">
              <w:t>lēnis, lēne</w:t>
            </w:r>
            <w:r w:rsidR="002C26AC" w:rsidRPr="002C26AC">
              <w:t>: sanft</w:t>
            </w:r>
          </w:p>
          <w:p w14:paraId="103A580C" w14:textId="77777777" w:rsidR="002C26AC" w:rsidRPr="002C26AC" w:rsidRDefault="002C26AC" w:rsidP="002C26AC">
            <w:pPr>
              <w:pStyle w:val="vokangabe2"/>
            </w:pPr>
            <w:r w:rsidRPr="002C26AC">
              <w:t>fer</w:t>
            </w:r>
            <w:r w:rsidR="00F45702">
              <w:t>vēns, ferventis</w:t>
            </w:r>
            <w:r w:rsidRPr="002C26AC">
              <w:t>: ungestüm, wild, aufbrausend</w:t>
            </w:r>
          </w:p>
          <w:p w14:paraId="29508A32" w14:textId="77777777" w:rsidR="002C26AC" w:rsidRPr="002C26AC" w:rsidRDefault="002C26AC" w:rsidP="002C26AC">
            <w:pPr>
              <w:pStyle w:val="vokangabe2"/>
            </w:pPr>
            <w:r w:rsidRPr="002C26AC">
              <w:t>attingere: berühren, angehen</w:t>
            </w:r>
          </w:p>
          <w:p w14:paraId="11D25EBB" w14:textId="77777777" w:rsidR="002C26AC" w:rsidRDefault="002C26AC" w:rsidP="002C26AC">
            <w:pPr>
              <w:pStyle w:val="vokangabe2"/>
            </w:pPr>
            <w:r w:rsidRPr="002C26AC">
              <w:t>haec in moribus: ergänze „sunt“. Mores: die Charaktereigenschaften</w:t>
            </w:r>
          </w:p>
        </w:tc>
      </w:tr>
    </w:tbl>
    <w:p w14:paraId="77C98474" w14:textId="77777777" w:rsidR="002C26AC" w:rsidRDefault="002C26AC" w:rsidP="006C0B65">
      <w:pPr>
        <w:spacing w:before="240"/>
        <w:rPr>
          <w:lang w:val="la-Latn"/>
        </w:rPr>
      </w:pPr>
      <w:bookmarkStart w:id="4" w:name="47"/>
      <w:bookmarkEnd w:id="4"/>
      <w:r w:rsidRPr="002C26AC">
        <w:rPr>
          <w:lang w:val="la-Latn"/>
        </w:rPr>
        <w:t>[1, 47]</w:t>
      </w:r>
      <w:r w:rsidR="006C0B65" w:rsidRPr="006C0B65">
        <w:t xml:space="preserve"> </w:t>
      </w:r>
      <w:r w:rsidR="006C0B65" w:rsidRPr="002C26AC">
        <w:t>Wohltätigkeiten müssen zurückerstattet werden</w:t>
      </w:r>
      <w:r w:rsidR="006C0B65">
        <w:t>.</w:t>
      </w:r>
    </w:p>
    <w:tbl>
      <w:tblPr>
        <w:tblStyle w:val="Tabellenraster"/>
        <w:tblW w:w="0" w:type="auto"/>
        <w:tblLook w:val="04A0" w:firstRow="1" w:lastRow="0" w:firstColumn="1" w:lastColumn="0" w:noHBand="0" w:noVBand="1"/>
      </w:tblPr>
      <w:tblGrid>
        <w:gridCol w:w="4809"/>
        <w:gridCol w:w="4809"/>
      </w:tblGrid>
      <w:tr w:rsidR="002C26AC" w14:paraId="19858A20" w14:textId="77777777" w:rsidTr="002C26AC">
        <w:tc>
          <w:tcPr>
            <w:tcW w:w="4809" w:type="dxa"/>
          </w:tcPr>
          <w:p w14:paraId="08EB5BD1" w14:textId="77777777" w:rsidR="002C26AC" w:rsidRDefault="002C26AC" w:rsidP="002C26AC">
            <w:pPr>
              <w:rPr>
                <w:lang w:val="la-Latn"/>
              </w:rPr>
            </w:pPr>
            <w:r w:rsidRPr="002C26AC">
              <w:rPr>
                <w:lang w:val="la-Latn"/>
              </w:rPr>
              <w:t>De benivolentia autem, quam quisque habeat erga nos, primum illud est in officio, ut ei plurimum tribuamus, a quo plurimum diligamur, sed benivolentiam non adulescentulorum more ardore quodam amoris, sed stabilitate potius et constantia iudicemus.</w:t>
            </w:r>
          </w:p>
        </w:tc>
        <w:tc>
          <w:tcPr>
            <w:tcW w:w="4809" w:type="dxa"/>
          </w:tcPr>
          <w:p w14:paraId="482E1633" w14:textId="77777777" w:rsidR="002C26AC" w:rsidRPr="002C26AC" w:rsidRDefault="002C26AC" w:rsidP="002C26AC">
            <w:pPr>
              <w:pStyle w:val="vokangabe2"/>
            </w:pPr>
            <w:r w:rsidRPr="002C26AC">
              <w:t>adulescentulus (Deminutiv [Verkleinerungsform] zu adulescens): der junge Mann, der Jugendliche. Das Wort ist hier spöttisch gemeint; im Deutschen ist das schwer wiederzugeben.</w:t>
            </w:r>
          </w:p>
          <w:p w14:paraId="2B1681FD" w14:textId="77777777" w:rsidR="002C26AC" w:rsidRDefault="002C26AC" w:rsidP="002C26AC">
            <w:pPr>
              <w:pStyle w:val="vokangabe2"/>
            </w:pPr>
            <w:r w:rsidRPr="002C26AC">
              <w:t xml:space="preserve">ardor, </w:t>
            </w:r>
            <w:r w:rsidR="00F45702">
              <w:t>adōris</w:t>
            </w:r>
            <w:r w:rsidRPr="002C26AC">
              <w:t>, m.: das Glühen, die Leidenschaft</w:t>
            </w:r>
          </w:p>
        </w:tc>
      </w:tr>
      <w:tr w:rsidR="002C26AC" w14:paraId="0DC10C5A" w14:textId="77777777" w:rsidTr="002C26AC">
        <w:tc>
          <w:tcPr>
            <w:tcW w:w="4809" w:type="dxa"/>
          </w:tcPr>
          <w:p w14:paraId="33109E7B" w14:textId="77777777" w:rsidR="005240FC" w:rsidRDefault="002C26AC" w:rsidP="002C26AC">
            <w:pPr>
              <w:rPr>
                <w:lang w:val="la-Latn"/>
              </w:rPr>
            </w:pPr>
            <w:r w:rsidRPr="002C26AC">
              <w:rPr>
                <w:lang w:val="la-Latn"/>
              </w:rPr>
              <w:t>Sin erunt merita, ut non ineunda, sed referenda sit gratia, maior quaedam cura adhibenda est;</w:t>
            </w:r>
          </w:p>
          <w:p w14:paraId="1F9C98A5" w14:textId="77777777" w:rsidR="002C26AC" w:rsidRDefault="002C26AC" w:rsidP="002C26AC">
            <w:pPr>
              <w:rPr>
                <w:lang w:val="la-Latn"/>
              </w:rPr>
            </w:pPr>
            <w:r w:rsidRPr="002C26AC">
              <w:rPr>
                <w:lang w:val="la-Latn"/>
              </w:rPr>
              <w:t>nullum enim officium referenda gratia magis necessarium est.</w:t>
            </w:r>
          </w:p>
        </w:tc>
        <w:tc>
          <w:tcPr>
            <w:tcW w:w="4809" w:type="dxa"/>
          </w:tcPr>
          <w:p w14:paraId="5598C21D" w14:textId="77777777" w:rsidR="002C26AC" w:rsidRPr="002C26AC" w:rsidRDefault="002C26AC" w:rsidP="002C26AC">
            <w:pPr>
              <w:pStyle w:val="vokangabe2"/>
            </w:pPr>
            <w:r w:rsidRPr="002C26AC">
              <w:t xml:space="preserve">sin erunt merita: Mit den </w:t>
            </w:r>
            <w:r w:rsidRPr="002C26AC">
              <w:rPr>
                <w:i/>
              </w:rPr>
              <w:t>merita</w:t>
            </w:r>
            <w:r w:rsidRPr="002C26AC">
              <w:t xml:space="preserve"> sind die Verdienste gemeint, die der andere einem selbst gegenüber geleistet hat.</w:t>
            </w:r>
          </w:p>
          <w:p w14:paraId="605BBA02" w14:textId="77777777" w:rsidR="002C26AC" w:rsidRPr="002C26AC" w:rsidRDefault="00F45702" w:rsidP="002C26AC">
            <w:pPr>
              <w:pStyle w:val="vokangabe2"/>
            </w:pPr>
            <w:r>
              <w:t>grātiam inīre</w:t>
            </w:r>
            <w:r>
              <w:rPr>
                <w:lang w:val="de-DE"/>
              </w:rPr>
              <w:t xml:space="preserve"> </w:t>
            </w:r>
            <w:r w:rsidR="002C26AC" w:rsidRPr="002C26AC">
              <w:t>/ referre: eine Gunst erweisen / zurückerstatten</w:t>
            </w:r>
          </w:p>
          <w:p w14:paraId="39FBD903" w14:textId="77777777" w:rsidR="002C26AC" w:rsidRDefault="002C26AC" w:rsidP="002C26AC">
            <w:pPr>
              <w:pStyle w:val="vokangabe2"/>
            </w:pPr>
            <w:r w:rsidRPr="002C26AC">
              <w:t>referenda gratia steht im Ablativus comparationis (Ablativ des Vergleichs)</w:t>
            </w:r>
          </w:p>
        </w:tc>
      </w:tr>
    </w:tbl>
    <w:p w14:paraId="42039E61" w14:textId="77777777" w:rsidR="002C26AC" w:rsidRPr="002C26AC" w:rsidRDefault="002C26AC" w:rsidP="002C26AC"/>
    <w:p w14:paraId="1FDFC63B" w14:textId="77777777" w:rsidR="002C26AC" w:rsidRPr="002C26AC" w:rsidRDefault="002C26AC" w:rsidP="002C26AC">
      <w:pPr>
        <w:pStyle w:val="berschrift3"/>
      </w:pPr>
      <w:r w:rsidRPr="002C26AC">
        <w:t>Schlüsselwörter</w:t>
      </w:r>
    </w:p>
    <w:p w14:paraId="66C49ADA" w14:textId="77777777" w:rsidR="002C26AC" w:rsidRPr="002C26AC" w:rsidRDefault="002C26AC" w:rsidP="002C26AC">
      <w:pPr>
        <w:rPr>
          <w:lang w:val="la-Latn"/>
        </w:rPr>
      </w:pPr>
      <w:r w:rsidRPr="002C26AC">
        <w:rPr>
          <w:lang w:val="la-Latn"/>
        </w:rPr>
        <w:t>benignitas, benignitatis, f.: die Wohltätigkeit</w:t>
      </w:r>
    </w:p>
    <w:p w14:paraId="1F7579BC" w14:textId="77777777" w:rsidR="002C26AC" w:rsidRPr="002C26AC" w:rsidRDefault="002C26AC" w:rsidP="002C26AC">
      <w:pPr>
        <w:rPr>
          <w:lang w:val="la-Latn"/>
        </w:rPr>
      </w:pPr>
      <w:r w:rsidRPr="002C26AC">
        <w:rPr>
          <w:lang w:val="la-Latn"/>
        </w:rPr>
        <w:t>benignus, benigna, benignum / beneficus, benefica, beneficum: wohltätig</w:t>
      </w:r>
    </w:p>
    <w:p w14:paraId="78CBE148" w14:textId="77777777" w:rsidR="002C26AC" w:rsidRPr="002C26AC" w:rsidRDefault="002C26AC" w:rsidP="002C26AC">
      <w:pPr>
        <w:rPr>
          <w:lang w:val="la-Latn"/>
        </w:rPr>
      </w:pPr>
      <w:r w:rsidRPr="002C26AC">
        <w:rPr>
          <w:lang w:val="la-Latn"/>
        </w:rPr>
        <w:lastRenderedPageBreak/>
        <w:t>copiae, copiarum, f. (Pluralwort): die Vorräte, der Besitz</w:t>
      </w:r>
    </w:p>
    <w:p w14:paraId="408E8C01" w14:textId="77777777" w:rsidR="002C26AC" w:rsidRPr="002C26AC" w:rsidRDefault="002C26AC" w:rsidP="002C26AC">
      <w:pPr>
        <w:rPr>
          <w:lang w:val="la-Latn"/>
        </w:rPr>
      </w:pPr>
      <w:r w:rsidRPr="002C26AC">
        <w:rPr>
          <w:lang w:val="la-Latn"/>
        </w:rPr>
        <w:t>facultas, facultatis, f.: die Fähigkeit, die Möglichkeit</w:t>
      </w:r>
    </w:p>
    <w:p w14:paraId="379DDE27" w14:textId="77777777" w:rsidR="002C26AC" w:rsidRPr="002C26AC" w:rsidRDefault="002C26AC" w:rsidP="002C26AC">
      <w:pPr>
        <w:rPr>
          <w:lang w:val="la-Latn"/>
        </w:rPr>
      </w:pPr>
      <w:r w:rsidRPr="002C26AC">
        <w:rPr>
          <w:lang w:val="la-Latn"/>
        </w:rPr>
        <w:t>liberalitas, liberalitatis, f.: die Freigebigkeit</w:t>
      </w:r>
    </w:p>
    <w:p w14:paraId="3E604533" w14:textId="77777777" w:rsidR="002C26AC" w:rsidRPr="002C26AC" w:rsidRDefault="002C26AC" w:rsidP="002C26AC">
      <w:pPr>
        <w:rPr>
          <w:lang w:val="la-Latn"/>
        </w:rPr>
      </w:pPr>
      <w:r w:rsidRPr="002C26AC">
        <w:rPr>
          <w:lang w:val="la-Latn"/>
        </w:rPr>
        <w:t>liberalis, liberale: wohltätig</w:t>
      </w:r>
    </w:p>
    <w:p w14:paraId="0E4B96DD" w14:textId="77777777" w:rsidR="002C26AC" w:rsidRDefault="002C26AC" w:rsidP="002C26AC">
      <w:pPr>
        <w:rPr>
          <w:lang w:val="la-Latn"/>
        </w:rPr>
      </w:pPr>
      <w:r w:rsidRPr="002C26AC">
        <w:rPr>
          <w:lang w:val="la-Latn"/>
        </w:rPr>
        <w:t>meritum, meriti, n.: das Verdienst, der Gefallen (den man jemandem erweist)</w:t>
      </w:r>
    </w:p>
    <w:p w14:paraId="04E74DE4" w14:textId="77777777" w:rsidR="00F45702" w:rsidRDefault="00F45702" w:rsidP="002C26AC">
      <w:pPr>
        <w:rPr>
          <w:lang w:val="la-Latn"/>
        </w:rPr>
      </w:pPr>
    </w:p>
    <w:p w14:paraId="38A3E0BF" w14:textId="77777777" w:rsidR="00F45702" w:rsidRPr="002C26AC" w:rsidRDefault="00F45702" w:rsidP="002C26AC"/>
    <w:p w14:paraId="01F1CCB8" w14:textId="77777777" w:rsidR="0087587A" w:rsidRDefault="0087587A" w:rsidP="0087587A">
      <w:pPr>
        <w:pStyle w:val="lbs-dokumente"/>
        <w:spacing w:after="160" w:line="312" w:lineRule="auto"/>
      </w:pPr>
      <w:bookmarkStart w:id="5" w:name="_Hlk532063751"/>
      <w:bookmarkEnd w:id="0"/>
      <w:bookmarkEnd w:id="5"/>
      <w:r>
        <w:t xml:space="preserve">URL dieser Seite: </w:t>
      </w:r>
    </w:p>
    <w:p w14:paraId="34474D57" w14:textId="77777777" w:rsidR="007F7923" w:rsidRDefault="000771CD" w:rsidP="007F7923">
      <w:pPr>
        <w:pStyle w:val="lbs-dokumente"/>
        <w:spacing w:after="160" w:line="312" w:lineRule="auto"/>
      </w:pPr>
      <w:hyperlink r:id="rId8" w:history="1">
        <w:r w:rsidR="007F7923">
          <w:rPr>
            <w:rFonts w:asciiTheme="minorHAnsi" w:hAnsiTheme="minorHAnsi"/>
            <w:color w:val="0000FF"/>
            <w:u w:val="single"/>
          </w:rPr>
          <w:t>www.schule-bw.de/faecher-und-schularten/sprachen-und-literatur/latein/texte-und-medien/cicero-philosophie/de-officiis/1/cicero-de-officiis-1-42-wohltaetigkeit.html</w:t>
        </w:r>
      </w:hyperlink>
    </w:p>
    <w:p w14:paraId="2E6ED9AD" w14:textId="77777777" w:rsidR="0087587A" w:rsidRPr="007706D1" w:rsidRDefault="0087587A" w:rsidP="007F7923">
      <w:pPr>
        <w:pStyle w:val="lbs-dokumente"/>
        <w:spacing w:after="160" w:line="312" w:lineRule="auto"/>
      </w:pPr>
      <w:r>
        <w:t>Dort sind auch Links zu den Deklinations- und Konjugationstabellen eingefügt.</w:t>
      </w:r>
    </w:p>
    <w:sectPr w:rsidR="0087587A" w:rsidRPr="007706D1">
      <w:headerReference w:type="default" r:id="rId9"/>
      <w:footerReference w:type="default" r:id="rId10"/>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7EA60" w14:textId="77777777" w:rsidR="000771CD" w:rsidRDefault="000771CD">
      <w:r>
        <w:separator/>
      </w:r>
    </w:p>
  </w:endnote>
  <w:endnote w:type="continuationSeparator" w:id="0">
    <w:p w14:paraId="058E4089" w14:textId="77777777" w:rsidR="000771CD" w:rsidRDefault="0007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90015" w14:textId="77777777" w:rsidR="009423E5" w:rsidRPr="009423E5" w:rsidRDefault="009423E5" w:rsidP="009423E5">
    <w:pPr>
      <w:pStyle w:val="Fuzeile"/>
      <w:spacing w:after="0" w:line="240" w:lineRule="auto"/>
      <w:rPr>
        <w:sz w:val="8"/>
        <w:szCs w:val="8"/>
      </w:rPr>
    </w:pPr>
  </w:p>
  <w:p w14:paraId="7D94D68E" w14:textId="77777777" w:rsidR="00202DA3" w:rsidRDefault="000771CD">
    <w:pPr>
      <w:pStyle w:val="Fuzeile"/>
    </w:pPr>
    <w:hyperlink r:id="rId1" w:history="1">
      <w:r w:rsidR="009423E5" w:rsidRPr="00473E88">
        <w:rPr>
          <w:rStyle w:val="Hyperlink"/>
          <w:rFonts w:ascii="Verdana" w:hAnsi="Verdana"/>
          <w:sz w:val="20"/>
          <w:szCs w:val="20"/>
        </w:rPr>
        <w:t>www.latein-bw.de</w:t>
      </w:r>
    </w:hyperlink>
    <w:r w:rsidR="00F44721" w:rsidRPr="001A1D2B">
      <w:rPr>
        <w:rFonts w:ascii="Verdana" w:hAnsi="Verdana"/>
        <w:color w:val="0070C0"/>
        <w:sz w:val="20"/>
        <w:szCs w:val="20"/>
      </w:rPr>
      <w:t xml:space="preserve"> </w:t>
    </w:r>
    <w:r w:rsidR="00F44721">
      <w:rPr>
        <w:rFonts w:ascii="Verdana" w:hAnsi="Verdana"/>
        <w:sz w:val="20"/>
        <w:szCs w:val="20"/>
      </w:rPr>
      <w:tab/>
    </w:r>
    <w:r w:rsidR="00F44721">
      <w:rPr>
        <w:rFonts w:ascii="Verdana" w:hAnsi="Verdana"/>
        <w:sz w:val="20"/>
        <w:szCs w:val="20"/>
      </w:rPr>
      <w:tab/>
      <w:t xml:space="preserve">Seite </w:t>
    </w:r>
    <w:r w:rsidR="00F44721">
      <w:rPr>
        <w:rFonts w:ascii="Verdana" w:hAnsi="Verdana"/>
        <w:sz w:val="20"/>
        <w:szCs w:val="20"/>
      </w:rPr>
      <w:fldChar w:fldCharType="begin"/>
    </w:r>
    <w:r w:rsidR="00F44721">
      <w:rPr>
        <w:rFonts w:ascii="Verdana" w:hAnsi="Verdana"/>
        <w:sz w:val="20"/>
        <w:szCs w:val="20"/>
      </w:rPr>
      <w:instrText xml:space="preserve"> PAGE </w:instrText>
    </w:r>
    <w:r w:rsidR="00F44721">
      <w:rPr>
        <w:rFonts w:ascii="Verdana" w:hAnsi="Verdana"/>
        <w:sz w:val="20"/>
        <w:szCs w:val="20"/>
      </w:rPr>
      <w:fldChar w:fldCharType="separate"/>
    </w:r>
    <w:r w:rsidR="00B30055">
      <w:rPr>
        <w:rFonts w:ascii="Verdana" w:hAnsi="Verdana"/>
        <w:noProof/>
        <w:sz w:val="20"/>
        <w:szCs w:val="20"/>
      </w:rPr>
      <w:t>1</w:t>
    </w:r>
    <w:r w:rsidR="00F44721">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56A64" w14:textId="77777777" w:rsidR="000771CD" w:rsidRDefault="000771CD">
      <w:r>
        <w:rPr>
          <w:color w:val="000000"/>
        </w:rPr>
        <w:separator/>
      </w:r>
    </w:p>
  </w:footnote>
  <w:footnote w:type="continuationSeparator" w:id="0">
    <w:p w14:paraId="0BF35106" w14:textId="77777777" w:rsidR="000771CD" w:rsidRDefault="00077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202DA3" w14:paraId="48E385E3" w14:textId="77777777">
      <w:trPr>
        <w:trHeight w:val="794"/>
      </w:trPr>
      <w:tc>
        <w:tcPr>
          <w:tcW w:w="3213" w:type="dxa"/>
          <w:tcMar>
            <w:top w:w="0" w:type="dxa"/>
            <w:left w:w="0" w:type="dxa"/>
            <w:bottom w:w="0" w:type="dxa"/>
            <w:right w:w="0" w:type="dxa"/>
          </w:tcMar>
          <w:vAlign w:val="center"/>
        </w:tcPr>
        <w:p w14:paraId="2645F13E" w14:textId="77777777" w:rsidR="00202DA3" w:rsidRDefault="00F44721" w:rsidP="00B30055">
          <w:pPr>
            <w:pStyle w:val="TableContents"/>
            <w:spacing w:after="0" w:line="240" w:lineRule="auto"/>
          </w:pPr>
          <w:r>
            <w:rPr>
              <w:noProof/>
            </w:rPr>
            <w:drawing>
              <wp:anchor distT="0" distB="0" distL="114300" distR="114300" simplePos="0" relativeHeight="251659264" behindDoc="0" locked="0" layoutInCell="1" allowOverlap="1" wp14:anchorId="58D0EA3B" wp14:editId="61B6D031">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14:paraId="6444A7C5" w14:textId="77777777" w:rsidR="00202DA3" w:rsidRDefault="000771CD" w:rsidP="00B30055">
          <w:pPr>
            <w:pStyle w:val="TableContents"/>
            <w:spacing w:after="0" w:line="240" w:lineRule="auto"/>
          </w:pPr>
        </w:p>
      </w:tc>
      <w:tc>
        <w:tcPr>
          <w:tcW w:w="3213" w:type="dxa"/>
          <w:tcMar>
            <w:top w:w="0" w:type="dxa"/>
            <w:left w:w="0" w:type="dxa"/>
            <w:bottom w:w="0" w:type="dxa"/>
            <w:right w:w="0" w:type="dxa"/>
          </w:tcMar>
          <w:vAlign w:val="center"/>
        </w:tcPr>
        <w:p w14:paraId="38E51F03" w14:textId="77777777" w:rsidR="00202DA3" w:rsidRDefault="008C2639" w:rsidP="00B30055">
          <w:pPr>
            <w:pStyle w:val="TableContents"/>
            <w:spacing w:after="0" w:line="240" w:lineRule="auto"/>
            <w:jc w:val="right"/>
            <w:rPr>
              <w:rFonts w:ascii="Arial Rounded MT Bold" w:hAnsi="Arial Rounded MT Bold"/>
            </w:rPr>
          </w:pPr>
          <w:r>
            <w:rPr>
              <w:rFonts w:ascii="Arial Rounded MT Bold" w:hAnsi="Arial Rounded MT Bold"/>
            </w:rPr>
            <w:t>Lateinp</w:t>
          </w:r>
          <w:r w:rsidR="00337058">
            <w:rPr>
              <w:rFonts w:ascii="Arial Rounded MT Bold" w:hAnsi="Arial Rounded MT Bold"/>
            </w:rPr>
            <w:t>ortal</w:t>
          </w:r>
          <w:r w:rsidR="00337058">
            <w:rPr>
              <w:rFonts w:ascii="Arial Rounded MT Bold" w:hAnsi="Arial Rounded MT Bold"/>
            </w:rPr>
            <w:br/>
          </w:r>
          <w:r w:rsidR="0087587A">
            <w:rPr>
              <w:rFonts w:ascii="Arial Rounded MT Bold" w:hAnsi="Arial Rounded MT Bold"/>
            </w:rPr>
            <w:t>Grundwortschatz</w:t>
          </w:r>
          <w:r w:rsidR="00337058">
            <w:rPr>
              <w:rFonts w:ascii="Arial Rounded MT Bold" w:hAnsi="Arial Rounded MT Bold"/>
            </w:rPr>
            <w:br/>
          </w:r>
        </w:p>
      </w:tc>
    </w:tr>
  </w:tbl>
  <w:p w14:paraId="5B944076" w14:textId="77777777" w:rsidR="00202DA3" w:rsidRDefault="000771CD" w:rsidP="00B30055">
    <w:pPr>
      <w:pStyle w:val="Kopfzeile"/>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C323F"/>
    <w:multiLevelType w:val="hybridMultilevel"/>
    <w:tmpl w:val="8A649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4245126F"/>
    <w:multiLevelType w:val="hybridMultilevel"/>
    <w:tmpl w:val="9EFA5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FBA36D5"/>
    <w:multiLevelType w:val="hybridMultilevel"/>
    <w:tmpl w:val="870EBCDC"/>
    <w:lvl w:ilvl="0" w:tplc="D0FE3A24">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6805C1"/>
    <w:multiLevelType w:val="hybridMultilevel"/>
    <w:tmpl w:val="C5E2F37C"/>
    <w:lvl w:ilvl="0" w:tplc="3F8681A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3972BBF"/>
    <w:multiLevelType w:val="hybridMultilevel"/>
    <w:tmpl w:val="E822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AC"/>
    <w:rsid w:val="000771CD"/>
    <w:rsid w:val="00090F14"/>
    <w:rsid w:val="00095FAF"/>
    <w:rsid w:val="000B1C26"/>
    <w:rsid w:val="000C339D"/>
    <w:rsid w:val="000E3BBF"/>
    <w:rsid w:val="00106877"/>
    <w:rsid w:val="0011066F"/>
    <w:rsid w:val="00145691"/>
    <w:rsid w:val="00166926"/>
    <w:rsid w:val="00183C37"/>
    <w:rsid w:val="001A1D2B"/>
    <w:rsid w:val="001C4C76"/>
    <w:rsid w:val="00233A5B"/>
    <w:rsid w:val="00236A27"/>
    <w:rsid w:val="00244475"/>
    <w:rsid w:val="002C26AC"/>
    <w:rsid w:val="00307B4B"/>
    <w:rsid w:val="003113F1"/>
    <w:rsid w:val="00321E09"/>
    <w:rsid w:val="00337058"/>
    <w:rsid w:val="00351F90"/>
    <w:rsid w:val="003C11DC"/>
    <w:rsid w:val="003F4688"/>
    <w:rsid w:val="00441EF8"/>
    <w:rsid w:val="004548BE"/>
    <w:rsid w:val="004B7822"/>
    <w:rsid w:val="005240FC"/>
    <w:rsid w:val="005363FB"/>
    <w:rsid w:val="005B59AE"/>
    <w:rsid w:val="0064466F"/>
    <w:rsid w:val="006636B4"/>
    <w:rsid w:val="006C0B65"/>
    <w:rsid w:val="00703501"/>
    <w:rsid w:val="00713F75"/>
    <w:rsid w:val="00715A15"/>
    <w:rsid w:val="00725323"/>
    <w:rsid w:val="007378B4"/>
    <w:rsid w:val="007405FE"/>
    <w:rsid w:val="007706D1"/>
    <w:rsid w:val="00777322"/>
    <w:rsid w:val="007B0B47"/>
    <w:rsid w:val="007C4648"/>
    <w:rsid w:val="007F7923"/>
    <w:rsid w:val="00844928"/>
    <w:rsid w:val="0087372C"/>
    <w:rsid w:val="0087587A"/>
    <w:rsid w:val="00885D32"/>
    <w:rsid w:val="008867CF"/>
    <w:rsid w:val="008C2639"/>
    <w:rsid w:val="00913DD3"/>
    <w:rsid w:val="00933128"/>
    <w:rsid w:val="009423E5"/>
    <w:rsid w:val="009A6696"/>
    <w:rsid w:val="009E3034"/>
    <w:rsid w:val="009E5879"/>
    <w:rsid w:val="00A731B3"/>
    <w:rsid w:val="00A74429"/>
    <w:rsid w:val="00B14434"/>
    <w:rsid w:val="00B30055"/>
    <w:rsid w:val="00B447D9"/>
    <w:rsid w:val="00B87D12"/>
    <w:rsid w:val="00BA1A03"/>
    <w:rsid w:val="00C403FE"/>
    <w:rsid w:val="00D5601F"/>
    <w:rsid w:val="00DF1DE7"/>
    <w:rsid w:val="00DF3B9F"/>
    <w:rsid w:val="00E67FDB"/>
    <w:rsid w:val="00EB58F4"/>
    <w:rsid w:val="00F103ED"/>
    <w:rsid w:val="00F152EB"/>
    <w:rsid w:val="00F35936"/>
    <w:rsid w:val="00F44721"/>
    <w:rsid w:val="00F45702"/>
    <w:rsid w:val="00F63340"/>
    <w:rsid w:val="00F646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7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6AC"/>
    <w:pPr>
      <w:spacing w:line="312" w:lineRule="auto"/>
    </w:pPr>
  </w:style>
  <w:style w:type="paragraph" w:styleId="berschrift1">
    <w:name w:val="heading 1"/>
    <w:basedOn w:val="Standard"/>
    <w:next w:val="Standard"/>
    <w:link w:val="berschrift1Zchn"/>
    <w:uiPriority w:val="9"/>
    <w:qFormat/>
    <w:rsid w:val="00A731B3"/>
    <w:pPr>
      <w:keepNext/>
      <w:keepLines/>
      <w:spacing w:before="240" w:after="240"/>
      <w:outlineLvl w:val="0"/>
    </w:pPr>
    <w:rPr>
      <w:rFonts w:asciiTheme="majorHAnsi" w:eastAsiaTheme="majorEastAsia" w:hAnsiTheme="majorHAnsi" w:cstheme="majorBidi"/>
      <w:color w:val="404040" w:themeColor="text1" w:themeTint="BF"/>
      <w:sz w:val="36"/>
      <w:szCs w:val="32"/>
    </w:rPr>
  </w:style>
  <w:style w:type="paragraph" w:styleId="berschrift2">
    <w:name w:val="heading 2"/>
    <w:basedOn w:val="Standard"/>
    <w:next w:val="Standard"/>
    <w:link w:val="berschrift2Zchn"/>
    <w:uiPriority w:val="9"/>
    <w:unhideWhenUsed/>
    <w:rsid w:val="00703501"/>
    <w:pPr>
      <w:keepNext/>
      <w:keepLines/>
      <w:spacing w:before="240" w:after="2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F63340"/>
    <w:pPr>
      <w:keepNext/>
      <w:keepLines/>
      <w:spacing w:before="240" w:after="24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7706D1"/>
    <w:pPr>
      <w:keepNext/>
      <w:keepLines/>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7706D1"/>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7706D1"/>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7706D1"/>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7706D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7706D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next w:val="Standard"/>
    <w:uiPriority w:val="35"/>
    <w:unhideWhenUsed/>
    <w:qFormat/>
    <w:rsid w:val="007706D1"/>
    <w:pPr>
      <w:spacing w:after="200" w:line="240" w:lineRule="auto"/>
    </w:pPr>
    <w:rPr>
      <w:i/>
      <w:iCs/>
      <w:color w:val="242852" w:themeColor="text2"/>
      <w:sz w:val="18"/>
      <w:szCs w:val="18"/>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spacing w:after="198" w:line="360" w:lineRule="auto"/>
    </w:pPr>
    <w:rPr>
      <w:rFonts w:ascii="Arial" w:hAnsi="Arial"/>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uiPriority w:val="20"/>
    <w:qFormat/>
    <w:rsid w:val="007706D1"/>
    <w:rPr>
      <w:i/>
      <w:iCs/>
      <w:color w:val="auto"/>
    </w:rPr>
  </w:style>
  <w:style w:type="character" w:customStyle="1" w:styleId="berschrift2Zchn">
    <w:name w:val="Überschrift 2 Zchn"/>
    <w:basedOn w:val="Absatz-Standardschriftart"/>
    <w:link w:val="berschrift2"/>
    <w:uiPriority w:val="9"/>
    <w:rsid w:val="00703501"/>
    <w:rPr>
      <w:rFonts w:asciiTheme="majorHAnsi" w:eastAsiaTheme="majorEastAsia" w:hAnsiTheme="majorHAnsi" w:cstheme="majorBidi"/>
      <w:color w:val="262626" w:themeColor="text1" w:themeTint="D9"/>
      <w:sz w:val="28"/>
      <w:szCs w:val="28"/>
    </w:rPr>
  </w:style>
  <w:style w:type="character" w:customStyle="1" w:styleId="berschrift4Zchn">
    <w:name w:val="Überschrift 4 Zchn"/>
    <w:basedOn w:val="Absatz-Standardschriftart"/>
    <w:link w:val="berschrift4"/>
    <w:uiPriority w:val="9"/>
    <w:semiHidden/>
    <w:rsid w:val="007706D1"/>
    <w:rPr>
      <w:rFonts w:asciiTheme="majorHAnsi" w:eastAsiaTheme="majorEastAsia" w:hAnsiTheme="majorHAnsi" w:cstheme="majorBidi"/>
      <w:i/>
      <w:iCs/>
      <w:color w:val="404040" w:themeColor="text1" w:themeTint="BF"/>
    </w:rPr>
  </w:style>
  <w:style w:type="character" w:customStyle="1" w:styleId="berschrift1Zchn">
    <w:name w:val="Überschrift 1 Zchn"/>
    <w:basedOn w:val="Absatz-Standardschriftart"/>
    <w:link w:val="berschrift1"/>
    <w:uiPriority w:val="9"/>
    <w:rsid w:val="00A731B3"/>
    <w:rPr>
      <w:rFonts w:asciiTheme="majorHAnsi" w:eastAsiaTheme="majorEastAsia" w:hAnsiTheme="majorHAnsi" w:cstheme="majorBidi"/>
      <w:color w:val="404040" w:themeColor="text1" w:themeTint="BF"/>
      <w:sz w:val="36"/>
      <w:szCs w:val="32"/>
    </w:rPr>
  </w:style>
  <w:style w:type="character" w:customStyle="1" w:styleId="berschrift3Zchn">
    <w:name w:val="Überschrift 3 Zchn"/>
    <w:basedOn w:val="Absatz-Standardschriftart"/>
    <w:link w:val="berschrift3"/>
    <w:uiPriority w:val="9"/>
    <w:rsid w:val="00F63340"/>
    <w:rPr>
      <w:rFonts w:asciiTheme="majorHAnsi" w:eastAsiaTheme="majorEastAsia" w:hAnsiTheme="majorHAnsi" w:cstheme="majorBidi"/>
      <w:color w:val="0D0D0D" w:themeColor="text1" w:themeTint="F2"/>
      <w:sz w:val="24"/>
      <w:szCs w:val="24"/>
    </w:rPr>
  </w:style>
  <w:style w:type="character" w:customStyle="1" w:styleId="berschrift5Zchn">
    <w:name w:val="Überschrift 5 Zchn"/>
    <w:basedOn w:val="Absatz-Standardschriftart"/>
    <w:link w:val="berschrift5"/>
    <w:uiPriority w:val="9"/>
    <w:semiHidden/>
    <w:rsid w:val="007706D1"/>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7706D1"/>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7706D1"/>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7706D1"/>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7706D1"/>
    <w:rPr>
      <w:rFonts w:asciiTheme="majorHAnsi" w:eastAsiaTheme="majorEastAsia" w:hAnsiTheme="majorHAnsi" w:cstheme="majorBidi"/>
      <w:i/>
      <w:iCs/>
      <w:color w:val="262626" w:themeColor="text1" w:themeTint="D9"/>
      <w:sz w:val="21"/>
      <w:szCs w:val="21"/>
    </w:rPr>
  </w:style>
  <w:style w:type="paragraph" w:styleId="Titel">
    <w:name w:val="Title"/>
    <w:basedOn w:val="Standard"/>
    <w:next w:val="Standard"/>
    <w:link w:val="TitelZchn"/>
    <w:uiPriority w:val="10"/>
    <w:qFormat/>
    <w:rsid w:val="007706D1"/>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7706D1"/>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7706D1"/>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7706D1"/>
    <w:rPr>
      <w:color w:val="5A5A5A" w:themeColor="text1" w:themeTint="A5"/>
      <w:spacing w:val="15"/>
    </w:rPr>
  </w:style>
  <w:style w:type="character" w:styleId="Fett">
    <w:name w:val="Strong"/>
    <w:basedOn w:val="Absatz-Standardschriftart"/>
    <w:uiPriority w:val="22"/>
    <w:qFormat/>
    <w:rsid w:val="007706D1"/>
    <w:rPr>
      <w:b/>
      <w:bCs/>
      <w:color w:val="auto"/>
    </w:rPr>
  </w:style>
  <w:style w:type="paragraph" w:styleId="KeinLeerraum">
    <w:name w:val="No Spacing"/>
    <w:uiPriority w:val="1"/>
    <w:qFormat/>
    <w:rsid w:val="007706D1"/>
    <w:pPr>
      <w:spacing w:after="0" w:line="240" w:lineRule="auto"/>
    </w:pPr>
  </w:style>
  <w:style w:type="paragraph" w:styleId="Zitat">
    <w:name w:val="Quote"/>
    <w:basedOn w:val="Standard"/>
    <w:next w:val="Standard"/>
    <w:link w:val="ZitatZchn"/>
    <w:uiPriority w:val="29"/>
    <w:qFormat/>
    <w:rsid w:val="007706D1"/>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7706D1"/>
    <w:rPr>
      <w:i/>
      <w:iCs/>
      <w:color w:val="404040" w:themeColor="text1" w:themeTint="BF"/>
    </w:rPr>
  </w:style>
  <w:style w:type="paragraph" w:styleId="IntensivesZitat">
    <w:name w:val="Intense Quote"/>
    <w:basedOn w:val="Standard"/>
    <w:next w:val="Standard"/>
    <w:link w:val="IntensivesZitatZchn"/>
    <w:uiPriority w:val="30"/>
    <w:qFormat/>
    <w:rsid w:val="007706D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7706D1"/>
    <w:rPr>
      <w:i/>
      <w:iCs/>
      <w:color w:val="404040" w:themeColor="text1" w:themeTint="BF"/>
    </w:rPr>
  </w:style>
  <w:style w:type="character" w:styleId="SchwacheHervorhebung">
    <w:name w:val="Subtle Emphasis"/>
    <w:basedOn w:val="Absatz-Standardschriftart"/>
    <w:uiPriority w:val="19"/>
    <w:qFormat/>
    <w:rsid w:val="007706D1"/>
    <w:rPr>
      <w:i/>
      <w:iCs/>
      <w:color w:val="404040" w:themeColor="text1" w:themeTint="BF"/>
    </w:rPr>
  </w:style>
  <w:style w:type="character" w:styleId="IntensiveHervorhebung">
    <w:name w:val="Intense Emphasis"/>
    <w:basedOn w:val="Absatz-Standardschriftart"/>
    <w:uiPriority w:val="21"/>
    <w:qFormat/>
    <w:rsid w:val="007706D1"/>
    <w:rPr>
      <w:b/>
      <w:bCs/>
      <w:i/>
      <w:iCs/>
      <w:color w:val="auto"/>
    </w:rPr>
  </w:style>
  <w:style w:type="character" w:styleId="SchwacherVerweis">
    <w:name w:val="Subtle Reference"/>
    <w:basedOn w:val="Absatz-Standardschriftart"/>
    <w:uiPriority w:val="31"/>
    <w:qFormat/>
    <w:rsid w:val="007706D1"/>
    <w:rPr>
      <w:smallCaps/>
      <w:color w:val="404040" w:themeColor="text1" w:themeTint="BF"/>
    </w:rPr>
  </w:style>
  <w:style w:type="character" w:styleId="IntensiverVerweis">
    <w:name w:val="Intense Reference"/>
    <w:basedOn w:val="Absatz-Standardschriftart"/>
    <w:uiPriority w:val="32"/>
    <w:qFormat/>
    <w:rsid w:val="007706D1"/>
    <w:rPr>
      <w:b/>
      <w:bCs/>
      <w:smallCaps/>
      <w:color w:val="404040" w:themeColor="text1" w:themeTint="BF"/>
      <w:spacing w:val="5"/>
    </w:rPr>
  </w:style>
  <w:style w:type="character" w:styleId="Buchtitel">
    <w:name w:val="Book Title"/>
    <w:basedOn w:val="Absatz-Standardschriftart"/>
    <w:uiPriority w:val="33"/>
    <w:qFormat/>
    <w:rsid w:val="007706D1"/>
    <w:rPr>
      <w:b/>
      <w:bCs/>
      <w:i/>
      <w:iCs/>
      <w:spacing w:val="5"/>
    </w:rPr>
  </w:style>
  <w:style w:type="paragraph" w:styleId="Inhaltsverzeichnisberschrift">
    <w:name w:val="TOC Heading"/>
    <w:basedOn w:val="berschrift1"/>
    <w:next w:val="Standard"/>
    <w:uiPriority w:val="39"/>
    <w:semiHidden/>
    <w:unhideWhenUsed/>
    <w:qFormat/>
    <w:rsid w:val="007706D1"/>
    <w:pPr>
      <w:outlineLvl w:val="9"/>
    </w:pPr>
  </w:style>
  <w:style w:type="paragraph" w:styleId="Listenabsatz">
    <w:name w:val="List Paragraph"/>
    <w:basedOn w:val="Standard"/>
    <w:uiPriority w:val="34"/>
    <w:qFormat/>
    <w:rsid w:val="007706D1"/>
    <w:pPr>
      <w:ind w:left="720"/>
      <w:contextualSpacing/>
    </w:pPr>
  </w:style>
  <w:style w:type="character" w:styleId="Hyperlink">
    <w:name w:val="Hyperlink"/>
    <w:basedOn w:val="Absatz-Standardschriftart"/>
    <w:uiPriority w:val="99"/>
    <w:unhideWhenUsed/>
    <w:rsid w:val="009423E5"/>
    <w:rPr>
      <w:color w:val="9454C3" w:themeColor="hyperlink"/>
      <w:u w:val="single"/>
    </w:rPr>
  </w:style>
  <w:style w:type="character" w:styleId="NichtaufgelsteErwhnung">
    <w:name w:val="Unresolved Mention"/>
    <w:basedOn w:val="Absatz-Standardschriftart"/>
    <w:uiPriority w:val="99"/>
    <w:semiHidden/>
    <w:unhideWhenUsed/>
    <w:rsid w:val="009423E5"/>
    <w:rPr>
      <w:color w:val="808080"/>
      <w:shd w:val="clear" w:color="auto" w:fill="E6E6E6"/>
    </w:rPr>
  </w:style>
  <w:style w:type="paragraph" w:customStyle="1" w:styleId="vokangabe2">
    <w:name w:val="vokangabe2"/>
    <w:basedOn w:val="Standard"/>
    <w:link w:val="vokangabe2Zchn"/>
    <w:autoRedefine/>
    <w:qFormat/>
    <w:rsid w:val="00A74429"/>
    <w:pPr>
      <w:spacing w:after="60" w:line="264" w:lineRule="auto"/>
      <w:ind w:left="284" w:hanging="284"/>
    </w:pPr>
    <w:rPr>
      <w:rFonts w:ascii="Arial" w:eastAsia="Calibri" w:hAnsi="Arial" w:cs="Calibri"/>
      <w:noProof/>
      <w:sz w:val="20"/>
      <w:szCs w:val="20"/>
      <w:lang w:val="la-Latn" w:eastAsia="de-DE" w:bidi="ar-SA"/>
    </w:rPr>
  </w:style>
  <w:style w:type="character" w:customStyle="1" w:styleId="vokangabe2Zchn">
    <w:name w:val="vokangabe2 Zchn"/>
    <w:basedOn w:val="Absatz-Standardschriftart"/>
    <w:link w:val="vokangabe2"/>
    <w:rsid w:val="00A74429"/>
    <w:rPr>
      <w:rFonts w:ascii="Arial" w:eastAsia="Calibri" w:hAnsi="Arial" w:cs="Calibri"/>
      <w:noProof/>
      <w:sz w:val="20"/>
      <w:szCs w:val="20"/>
      <w:lang w:val="la-Latn" w:eastAsia="de-DE" w:bidi="ar-SA"/>
    </w:rPr>
  </w:style>
  <w:style w:type="paragraph" w:customStyle="1" w:styleId="Erluterung1">
    <w:name w:val="Erläuterung1"/>
    <w:basedOn w:val="Standard"/>
    <w:autoRedefine/>
    <w:qFormat/>
    <w:rsid w:val="00E67FDB"/>
    <w:pPr>
      <w:spacing w:before="240" w:after="240" w:line="288" w:lineRule="auto"/>
      <w:jc w:val="both"/>
    </w:pPr>
    <w:rPr>
      <w:rFonts w:ascii="Verdana" w:eastAsia="Calibri" w:hAnsi="Verdana" w:cs="Arial"/>
      <w:noProof/>
      <w:sz w:val="20"/>
      <w:szCs w:val="20"/>
      <w:lang w:eastAsia="de-DE" w:bidi="ar-SA"/>
    </w:rPr>
  </w:style>
  <w:style w:type="table" w:styleId="TabellemithellemGitternetz">
    <w:name w:val="Grid Table Light"/>
    <w:basedOn w:val="NormaleTabelle"/>
    <w:uiPriority w:val="40"/>
    <w:rsid w:val="00321E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style>
  <w:style w:type="table" w:styleId="Tabellenraster">
    <w:name w:val="Table Grid"/>
    <w:aliases w:val="Tabellenraster-Übersetzung"/>
    <w:basedOn w:val="NormaleTabelle"/>
    <w:uiPriority w:val="39"/>
    <w:rsid w:val="002C26AC"/>
    <w:pPr>
      <w:spacing w:after="0" w:line="240" w:lineRule="auto"/>
    </w:p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57" w:type="dxa"/>
        <w:bottom w:w="57" w:type="dxa"/>
      </w:tblCellMar>
    </w:tblPr>
    <w:trPr>
      <w:cantSplit/>
    </w:trPr>
    <w:tcPr>
      <w:shd w:val="clear" w:color="auto" w:fill="auto"/>
    </w:tcPr>
  </w:style>
  <w:style w:type="table" w:customStyle="1" w:styleId="Formatvorlage1">
    <w:name w:val="Formatvorlage1"/>
    <w:basedOn w:val="Tabellenraster"/>
    <w:uiPriority w:val="99"/>
    <w:rsid w:val="002C26AC"/>
    <w:tblPr>
      <w:tblCellMar>
        <w:top w:w="85" w:type="dxa"/>
        <w:bottom w:w="8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70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bw.de/faecher-und-schularten/sprachen-und-literatur/latein/texte-und-medien/cicero-philosophie/de-officiis/1/cicero-de-officiis-1-42-wohltaetigkei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ocuments\landesbildungsserver-2019\lbs-dateien%20neu\vorlagen\vorlage-latein.dotx" TargetMode="External"/></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E68D9-7374-4F23-BB0C-BAAECB60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vorlage-latein.dotx</Template>
  <TotalTime>0</TotalTime>
  <Pages>1</Pages>
  <Words>1233</Words>
  <Characters>7771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Grundwortschatz</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Grundwortschatz</dc:title>
  <dc:creator/>
  <cp:lastModifiedBy/>
  <cp:revision>1</cp:revision>
  <dcterms:created xsi:type="dcterms:W3CDTF">2019-05-15T16:21:00Z</dcterms:created>
  <dcterms:modified xsi:type="dcterms:W3CDTF">2019-05-15T18:59:00Z</dcterms:modified>
</cp:coreProperties>
</file>