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7707" w14:textId="77777777" w:rsidR="00BC3CA1" w:rsidRPr="00BC3CA1" w:rsidRDefault="00BC3CA1" w:rsidP="00BC3CA1">
      <w:pPr>
        <w:pStyle w:val="berschrift1"/>
        <w:rPr>
          <w:rFonts w:asciiTheme="minorHAnsi" w:hAnsiTheme="minorHAnsi" w:cstheme="minorHAnsi"/>
        </w:rPr>
      </w:pPr>
      <w:r w:rsidRPr="00BC3CA1">
        <w:rPr>
          <w:rFonts w:asciiTheme="minorHAnsi" w:hAnsiTheme="minorHAnsi" w:cstheme="minorHAnsi"/>
        </w:rPr>
        <w:t>Cicero, De Officiis 1, 93 – 98</w:t>
      </w:r>
    </w:p>
    <w:p w14:paraId="02542EB9" w14:textId="77777777" w:rsidR="00BC3CA1" w:rsidRPr="00BC3CA1" w:rsidRDefault="00BC3CA1" w:rsidP="001F0B8F">
      <w:pPr>
        <w:pStyle w:val="berschrift3"/>
      </w:pPr>
      <w:r w:rsidRPr="00BC3CA1">
        <w:t xml:space="preserve">Über das </w:t>
      </w:r>
      <w:proofErr w:type="spellStart"/>
      <w:r w:rsidRPr="00BC3CA1">
        <w:rPr>
          <w:rStyle w:val="Hervorhebung"/>
          <w:rFonts w:asciiTheme="minorHAnsi" w:hAnsiTheme="minorHAnsi" w:cstheme="minorHAnsi"/>
        </w:rPr>
        <w:t>decorum</w:t>
      </w:r>
      <w:proofErr w:type="spellEnd"/>
      <w:r w:rsidRPr="00BC3CA1">
        <w:rPr>
          <w:rStyle w:val="Hervorhebung"/>
          <w:rFonts w:asciiTheme="minorHAnsi" w:hAnsiTheme="minorHAnsi" w:cstheme="minorHAnsi"/>
        </w:rPr>
        <w:t xml:space="preserve"> </w:t>
      </w:r>
      <w:r w:rsidRPr="00BC3CA1">
        <w:t>(das Schickliche, das moralisch Gebotene)</w:t>
      </w:r>
    </w:p>
    <w:p w14:paraId="459BBD5C" w14:textId="09CA7531" w:rsidR="00BC3CA1" w:rsidRDefault="00BC3CA1" w:rsidP="00A941F0">
      <w:pPr>
        <w:jc w:val="both"/>
        <w:rPr>
          <w:rFonts w:cstheme="minorHAnsi"/>
        </w:rPr>
      </w:pPr>
      <w:r w:rsidRPr="00BC3CA1">
        <w:rPr>
          <w:rFonts w:cstheme="minorHAnsi"/>
        </w:rPr>
        <w:t xml:space="preserve">In diesem Abschnitt erläutert und definiert Cicero einen der zentralen Begriffe des Werks </w:t>
      </w:r>
      <w:r w:rsidRPr="00BC3CA1">
        <w:rPr>
          <w:rFonts w:cstheme="minorHAnsi"/>
          <w:i/>
          <w:iCs/>
        </w:rPr>
        <w:t>De officiis</w:t>
      </w:r>
      <w:r w:rsidRPr="00BC3CA1">
        <w:rPr>
          <w:rFonts w:cstheme="minorHAnsi"/>
        </w:rPr>
        <w:t xml:space="preserve">: das </w:t>
      </w:r>
      <w:bookmarkStart w:id="0" w:name="_GoBack"/>
      <w:proofErr w:type="spellStart"/>
      <w:r w:rsidRPr="001F0B8F">
        <w:rPr>
          <w:rFonts w:cstheme="minorHAnsi"/>
          <w:i/>
        </w:rPr>
        <w:t>decorum</w:t>
      </w:r>
      <w:bookmarkEnd w:id="0"/>
      <w:proofErr w:type="spellEnd"/>
      <w:r w:rsidRPr="00BC3CA1">
        <w:rPr>
          <w:rFonts w:cstheme="minorHAnsi"/>
        </w:rPr>
        <w:t>, das mit „das Schickliche, das moralisch Gebotene“ übersetzt werden kann. Er ver</w:t>
      </w:r>
      <w:r w:rsidR="00A941F0">
        <w:rPr>
          <w:rFonts w:cstheme="minorHAnsi"/>
        </w:rPr>
        <w:softHyphen/>
      </w:r>
      <w:r w:rsidRPr="00BC3CA1">
        <w:rPr>
          <w:rFonts w:cstheme="minorHAnsi"/>
        </w:rPr>
        <w:t xml:space="preserve">gleicht es mit der </w:t>
      </w:r>
      <w:proofErr w:type="spellStart"/>
      <w:r w:rsidRPr="00BC3CA1">
        <w:rPr>
          <w:rFonts w:cstheme="minorHAnsi"/>
          <w:i/>
          <w:iCs/>
        </w:rPr>
        <w:t>modestia</w:t>
      </w:r>
      <w:proofErr w:type="spellEnd"/>
      <w:r w:rsidRPr="00BC3CA1">
        <w:rPr>
          <w:rFonts w:cstheme="minorHAnsi"/>
        </w:rPr>
        <w:t xml:space="preserve"> (Mäßigung), einer der vier Kardinaltugenden.</w:t>
      </w:r>
    </w:p>
    <w:p w14:paraId="57F191B3" w14:textId="1EDC5900" w:rsidR="00583A6F" w:rsidRPr="00BC3CA1" w:rsidRDefault="00583A6F" w:rsidP="00BC3CA1">
      <w:pPr>
        <w:rPr>
          <w:rFonts w:cstheme="minorHAnsi"/>
        </w:rPr>
      </w:pPr>
      <w:r>
        <w:t>*-Symbol: Zu jedem mit einem * gekennzeichneten Wort gibt es eine Übersetzungshilfe am Rand.</w:t>
      </w:r>
      <w:r w:rsidR="00A941F0">
        <w:t xml:space="preserve"> Das HTML-Dokument (Adresse am Ende dieses Dokuments) enthält weitere Übersetzungshilfen.</w:t>
      </w:r>
    </w:p>
    <w:p w14:paraId="6B5C6571" w14:textId="2FFD4B17" w:rsidR="00BC3CA1" w:rsidRDefault="00BC3CA1" w:rsidP="00BC3CA1">
      <w:pPr>
        <w:pStyle w:val="StandardWeb"/>
        <w:rPr>
          <w:rFonts w:asciiTheme="minorHAnsi" w:hAnsiTheme="minorHAnsi" w:cstheme="minorHAnsi"/>
        </w:rPr>
      </w:pPr>
      <w:r w:rsidRPr="00BC3CA1">
        <w:rPr>
          <w:rFonts w:asciiTheme="minorHAnsi" w:hAnsiTheme="minorHAnsi" w:cstheme="minorHAnsi"/>
        </w:rPr>
        <w:t xml:space="preserve"> [1, 93]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2"/>
        <w:gridCol w:w="4246"/>
      </w:tblGrid>
      <w:tr w:rsidR="006E2009" w14:paraId="77317E4C" w14:textId="77777777" w:rsidTr="006E0D2C">
        <w:trPr>
          <w:cantSplit/>
        </w:trPr>
        <w:tc>
          <w:tcPr>
            <w:tcW w:w="5382" w:type="dxa"/>
          </w:tcPr>
          <w:p w14:paraId="543E0A99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Sequitur*,</w:t>
            </w:r>
          </w:p>
          <w:p w14:paraId="6B2960F4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ut de una reliqua parte honestatis dicendum* sit,</w:t>
            </w:r>
          </w:p>
          <w:p w14:paraId="1374C361" w14:textId="2D795486" w:rsidR="006E2009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in qua verecundia et quasi quidam ornatus vitae, temperantia* et modestia omnisque sedatio* perturbationum* animi et rerum modus cernitur.</w:t>
            </w:r>
          </w:p>
        </w:tc>
        <w:tc>
          <w:tcPr>
            <w:tcW w:w="4246" w:type="dxa"/>
          </w:tcPr>
          <w:p w14:paraId="27A5F362" w14:textId="77777777" w:rsidR="00E72C73" w:rsidRDefault="00E72C73" w:rsidP="00E72C73">
            <w:pPr>
              <w:pStyle w:val="vokangabe2"/>
              <w:framePr w:wrap="around"/>
            </w:pPr>
            <w:r w:rsidRPr="00BC3CA1">
              <w:t>sequitur: es bleibt übrig</w:t>
            </w:r>
          </w:p>
          <w:p w14:paraId="2476BD69" w14:textId="77777777" w:rsidR="00E72C73" w:rsidRPr="00BC3CA1" w:rsidRDefault="00E72C73" w:rsidP="00E72C73">
            <w:pPr>
              <w:pStyle w:val="vokangabe2"/>
              <w:framePr w:wrap="around"/>
            </w:pPr>
            <w:r>
              <w:t xml:space="preserve">dicendum: attributives </w:t>
            </w:r>
            <w:r w:rsidRPr="00BC3CA1">
              <w:t>Gerundivum</w:t>
            </w:r>
            <w:r>
              <w:t>, zu übersetzen mit „müssen“</w:t>
            </w:r>
          </w:p>
          <w:p w14:paraId="7A4D3191" w14:textId="77777777" w:rsidR="00E72C73" w:rsidRPr="00BC3CA1" w:rsidRDefault="00E72C73" w:rsidP="00E72C73">
            <w:pPr>
              <w:pStyle w:val="vokangabe2"/>
              <w:framePr w:wrap="around"/>
            </w:pPr>
            <w:r w:rsidRPr="00BC3CA1">
              <w:t>temperantia, temperantiae, f.: die Selbstbeherrschung</w:t>
            </w:r>
          </w:p>
          <w:p w14:paraId="7E73925D" w14:textId="77777777" w:rsidR="00E72C73" w:rsidRPr="00BC3CA1" w:rsidRDefault="00E72C73" w:rsidP="00E72C73">
            <w:pPr>
              <w:pStyle w:val="vokangabe2"/>
              <w:framePr w:wrap="around"/>
            </w:pPr>
            <w:r w:rsidRPr="00BC3CA1">
              <w:t>sēdātiō, sēdātiōnis, f.: die Beruhigung</w:t>
            </w:r>
          </w:p>
          <w:p w14:paraId="017817B0" w14:textId="32C30261" w:rsidR="006E2009" w:rsidRDefault="00E72C73" w:rsidP="00E72C73">
            <w:pPr>
              <w:pStyle w:val="vokangabe2"/>
              <w:framePr w:wrap="around"/>
              <w:rPr>
                <w:rFonts w:asciiTheme="minorHAnsi" w:hAnsiTheme="minorHAnsi" w:cstheme="minorHAnsi"/>
              </w:rPr>
            </w:pPr>
            <w:r w:rsidRPr="00BC3CA1">
              <w:t>perturbātiō, perturbātiōnis, f.: die Beunruhigung, die Verwirrung</w:t>
            </w:r>
          </w:p>
        </w:tc>
      </w:tr>
      <w:tr w:rsidR="006E2009" w14:paraId="7EB24ABD" w14:textId="77777777" w:rsidTr="006E0D2C">
        <w:trPr>
          <w:cantSplit/>
        </w:trPr>
        <w:tc>
          <w:tcPr>
            <w:tcW w:w="5382" w:type="dxa"/>
          </w:tcPr>
          <w:p w14:paraId="3B994B68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Hōc loco continetur* id,</w:t>
            </w:r>
          </w:p>
          <w:p w14:paraId="02EE9633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quod dici latine decorum* potest;</w:t>
            </w:r>
          </w:p>
          <w:p w14:paraId="40C70EC4" w14:textId="1604C599" w:rsidR="006E2009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Graece enim πρέπον (</w:t>
            </w:r>
            <w:r w:rsidRPr="001F0B8F">
              <w:rPr>
                <w:rStyle w:val="Hervorhebung"/>
                <w:rFonts w:asciiTheme="minorHAnsi" w:hAnsiTheme="minorHAnsi" w:cstheme="minorHAnsi"/>
                <w:color w:val="000000" w:themeColor="text1"/>
                <w:lang w:val="la-Latn"/>
              </w:rPr>
              <w:t>prepon</w:t>
            </w: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) dicitur*.</w:t>
            </w:r>
          </w:p>
        </w:tc>
        <w:tc>
          <w:tcPr>
            <w:tcW w:w="4246" w:type="dxa"/>
          </w:tcPr>
          <w:p w14:paraId="205CBEBD" w14:textId="77777777" w:rsidR="00E72C73" w:rsidRPr="00815310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815310">
              <w:t>continēre: enthalten</w:t>
            </w:r>
          </w:p>
          <w:p w14:paraId="210E1069" w14:textId="77777777" w:rsidR="00E72C73" w:rsidRPr="00815310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815310">
              <w:t>decōrum, decōrī, n.: das Anständige, das Schickliche, das moralisch Korrekte</w:t>
            </w:r>
          </w:p>
          <w:p w14:paraId="2F8E3C76" w14:textId="33984504" w:rsidR="006E2009" w:rsidRDefault="00E72C73" w:rsidP="00E72C73">
            <w:pPr>
              <w:pStyle w:val="StandardWeb"/>
              <w:rPr>
                <w:rFonts w:asciiTheme="minorHAnsi" w:hAnsiTheme="minorHAnsi" w:cstheme="minorHAnsi"/>
              </w:rPr>
            </w:pPr>
            <w:proofErr w:type="spellStart"/>
            <w:r w:rsidRPr="00815310">
              <w:t>dicitur</w:t>
            </w:r>
            <w:proofErr w:type="spellEnd"/>
            <w:r w:rsidRPr="00815310">
              <w:t>: es wird genannt</w:t>
            </w:r>
          </w:p>
        </w:tc>
      </w:tr>
      <w:tr w:rsidR="00E72C73" w14:paraId="07B5C1AC" w14:textId="77777777" w:rsidTr="006E0D2C">
        <w:trPr>
          <w:cantSplit/>
        </w:trPr>
        <w:tc>
          <w:tcPr>
            <w:tcW w:w="5382" w:type="dxa"/>
          </w:tcPr>
          <w:p w14:paraId="03501614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>[1, 94]</w:t>
            </w:r>
          </w:p>
          <w:p w14:paraId="326BA3A1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Huius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vis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est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66713154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ut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ab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honesto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non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possit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separari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F7E4C31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nam</w:t>
            </w:r>
            <w:proofErr w:type="spellEnd"/>
          </w:p>
          <w:p w14:paraId="4B3DC420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et quod*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decet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1B99CEAD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honestum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est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769A8E86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et quod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honestum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est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2B730D83" w14:textId="225A960E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decet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246" w:type="dxa"/>
          </w:tcPr>
          <w:p w14:paraId="77DA2B22" w14:textId="22AAD0CF" w:rsidR="00E72C73" w:rsidRPr="00815310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815310">
              <w:t>quod decet: Das Relativpronomen kann hier mit „was“ übersetzt werden, also: „was sich ziemt/was moralisch in Ordnung ist“</w:t>
            </w:r>
          </w:p>
        </w:tc>
      </w:tr>
      <w:tr w:rsidR="00E72C73" w14:paraId="59B75835" w14:textId="77777777" w:rsidTr="006E0D2C">
        <w:trPr>
          <w:cantSplit/>
        </w:trPr>
        <w:tc>
          <w:tcPr>
            <w:tcW w:w="5382" w:type="dxa"/>
          </w:tcPr>
          <w:p w14:paraId="158F7CCF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lastRenderedPageBreak/>
              <w:t>Qualis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autem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differentia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sit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honesti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et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decori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*,</w:t>
            </w:r>
          </w:p>
          <w:p w14:paraId="3CB3C81F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facilius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intellegi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quam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explanari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potest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8112C92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Quicquid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est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enim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*,</w:t>
            </w:r>
          </w:p>
          <w:p w14:paraId="25E7B8AE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ind w:left="900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quod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deceat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*,</w:t>
            </w:r>
          </w:p>
          <w:p w14:paraId="45A4A44E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id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tum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apparet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229AEE61" w14:textId="308443A3" w:rsidR="00E72C73" w:rsidRPr="001F0B8F" w:rsidRDefault="00E72C73" w:rsidP="006E0D2C">
            <w:pPr>
              <w:pStyle w:val="StandardWeb"/>
              <w:spacing w:before="0" w:before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cum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antegressa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est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honestas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B37A975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6" w:type="dxa"/>
          </w:tcPr>
          <w:p w14:paraId="2F62A157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quālis: was für ein</w:t>
            </w:r>
          </w:p>
          <w:p w14:paraId="75D44E16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differentia steht mit dem Genitiv (honesti und decori); von honestum und decorum. Beim Übersetzen kommt man so auf „der Unterschied des Ehrenhaften und des Schicklichen“. Besser ist die Übersetzung mit „zwischen ... und ...“.</w:t>
            </w:r>
          </w:p>
          <w:p w14:paraId="6CC486C5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 xml:space="preserve">facilius: Komparativ zum Adverb </w:t>
            </w:r>
            <w:r w:rsidRPr="00BC3CA1">
              <w:rPr>
                <w:i/>
                <w:iCs/>
              </w:rPr>
              <w:t>facile</w:t>
            </w:r>
          </w:p>
          <w:p w14:paraId="4A73193E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 xml:space="preserve">Quidquid est enim: </w:t>
            </w:r>
            <w:r w:rsidRPr="00BC3CA1">
              <w:rPr>
                <w:rStyle w:val="Hervorhebung"/>
                <w:rFonts w:asciiTheme="minorHAnsi" w:hAnsiTheme="minorHAnsi" w:cstheme="minorHAnsi"/>
              </w:rPr>
              <w:t>est</w:t>
            </w:r>
            <w:r w:rsidRPr="00BC3CA1">
              <w:t xml:space="preserve"> bedeutet hier „es gibt“. Also: Was auch immer es gibt ...</w:t>
            </w:r>
          </w:p>
          <w:p w14:paraId="516CE5C3" w14:textId="3C9C4C18" w:rsidR="00E72C73" w:rsidRPr="00815310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antegredī, antegredior, antegressus/antegressa sum: vorausgehen</w:t>
            </w:r>
          </w:p>
        </w:tc>
      </w:tr>
      <w:tr w:rsidR="00E72C73" w14:paraId="5C6035E3" w14:textId="77777777" w:rsidTr="006E0D2C">
        <w:trPr>
          <w:cantSplit/>
        </w:trPr>
        <w:tc>
          <w:tcPr>
            <w:tcW w:w="5382" w:type="dxa"/>
          </w:tcPr>
          <w:p w14:paraId="578175CD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Nam et*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ratione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uti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atque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oratione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prudenter</w:t>
            </w:r>
            <w:proofErr w:type="spellEnd"/>
          </w:p>
          <w:p w14:paraId="1C9116FC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et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agere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052B8F67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quod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agas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73290B53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considerate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*,</w:t>
            </w:r>
          </w:p>
          <w:p w14:paraId="08A4761A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omnique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in re,</w:t>
            </w:r>
          </w:p>
          <w:p w14:paraId="28537C2B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quid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sit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veri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25CF445B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videre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et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tueri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decet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303AAE44" w14:textId="1B7E1C85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contraque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falli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, errare,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labi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*, decipi*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tam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dedecet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quam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delirare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et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mente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esse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captum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246" w:type="dxa"/>
          </w:tcPr>
          <w:p w14:paraId="5C41CCF3" w14:textId="77777777" w:rsidR="00E72C73" w:rsidRPr="00C213B4" w:rsidRDefault="00E72C73" w:rsidP="00E72C73">
            <w:pPr>
              <w:pStyle w:val="vokangabe2"/>
              <w:framePr w:hSpace="0" w:wrap="auto" w:vAnchor="margin" w:hAnchor="text" w:xAlign="left" w:yAlign="inline"/>
              <w:rPr>
                <w:lang w:val="de-DE"/>
              </w:rPr>
            </w:pPr>
            <w:r w:rsidRPr="00BC3CA1">
              <w:t xml:space="preserve">Nam et ... : Das Prädikat des ganzen Satzes ist </w:t>
            </w:r>
            <w:r w:rsidRPr="00BC3CA1">
              <w:rPr>
                <w:rStyle w:val="Hervorhebung"/>
                <w:rFonts w:asciiTheme="minorHAnsi" w:hAnsiTheme="minorHAnsi" w:cstheme="minorHAnsi"/>
              </w:rPr>
              <w:t>decet</w:t>
            </w:r>
            <w:r w:rsidRPr="00BC3CA1">
              <w:t xml:space="preserve">. Das, was sich ziemt/in Ordnung ist, steht in den Infinitiven </w:t>
            </w:r>
            <w:r w:rsidRPr="00BC3CA1">
              <w:rPr>
                <w:rStyle w:val="Hervorhebung"/>
                <w:rFonts w:asciiTheme="minorHAnsi" w:hAnsiTheme="minorHAnsi" w:cstheme="minorHAnsi"/>
              </w:rPr>
              <w:t>uti, agere, videre, tueri</w:t>
            </w:r>
            <w:r w:rsidRPr="00BC3CA1">
              <w:t xml:space="preserve">. Im zweiten Satz ist das Prädikat das Gegenteil von </w:t>
            </w:r>
            <w:r w:rsidRPr="00BC3CA1">
              <w:rPr>
                <w:rStyle w:val="Hervorhebung"/>
                <w:rFonts w:asciiTheme="minorHAnsi" w:hAnsiTheme="minorHAnsi" w:cstheme="minorHAnsi"/>
              </w:rPr>
              <w:t>decet</w:t>
            </w:r>
            <w:r w:rsidRPr="00BC3CA1">
              <w:t xml:space="preserve">, nämlich </w:t>
            </w:r>
            <w:r w:rsidRPr="00BC3CA1">
              <w:rPr>
                <w:rStyle w:val="Hervorhebung"/>
                <w:rFonts w:asciiTheme="minorHAnsi" w:hAnsiTheme="minorHAnsi" w:cstheme="minorHAnsi"/>
              </w:rPr>
              <w:t>dedecet</w:t>
            </w:r>
            <w:r w:rsidRPr="00BC3CA1">
              <w:t xml:space="preserve"> („Es ist nicht in Ordnung“)</w:t>
            </w:r>
            <w:r>
              <w:rPr>
                <w:lang w:val="de-DE"/>
              </w:rPr>
              <w:t>.</w:t>
            </w:r>
          </w:p>
          <w:p w14:paraId="6360717F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consideratē: mit Bedacht, überlegt</w:t>
            </w:r>
          </w:p>
          <w:p w14:paraId="05EF1292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tuērī, tueor, tuitus/tuita sum (tūtus/tūta sum): beachten</w:t>
            </w:r>
          </w:p>
          <w:p w14:paraId="3FA82110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contrā: im Gegenteil</w:t>
            </w:r>
          </w:p>
          <w:p w14:paraId="30093B3B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fallī: sich täuschen (ein so genannten Mediopassiv)</w:t>
            </w:r>
          </w:p>
          <w:p w14:paraId="6D3206CB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lābī , lābor, lāpsus/lapsa sum: sich irren</w:t>
            </w:r>
          </w:p>
          <w:p w14:paraId="333B9B13" w14:textId="77777777" w:rsidR="00E72C73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dēcipere, dēcipiō, dēcēpī, dēceptum: jemanden täuschen</w:t>
            </w:r>
          </w:p>
          <w:p w14:paraId="10B8EF2A" w14:textId="77777777" w:rsidR="00E72C73" w:rsidRPr="00FA0D3C" w:rsidRDefault="00E72C73" w:rsidP="00E72C73">
            <w:pPr>
              <w:pStyle w:val="vokangabe2"/>
              <w:framePr w:hSpace="0" w:wrap="auto" w:vAnchor="margin" w:hAnchor="text" w:xAlign="left" w:yAlign="inline"/>
            </w:pPr>
            <w:r>
              <w:t>dedecet: es gehört sich nicht</w:t>
            </w:r>
          </w:p>
          <w:p w14:paraId="563C24E5" w14:textId="21BBC7C5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dēlīrāre, dēlīrō, dēlīrāvī, dēlīrātum: wahnsinnig sein</w:t>
            </w:r>
          </w:p>
        </w:tc>
      </w:tr>
      <w:tr w:rsidR="00E72C73" w14:paraId="32EA6D7F" w14:textId="77777777" w:rsidTr="006E0D2C">
        <w:trPr>
          <w:cantSplit/>
        </w:trPr>
        <w:tc>
          <w:tcPr>
            <w:tcW w:w="5382" w:type="dxa"/>
          </w:tcPr>
          <w:p w14:paraId="55C77F9A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lastRenderedPageBreak/>
              <w:t>Iusta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omnia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decora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sunt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iniusta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contra*,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ut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turpia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, sic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indecora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1771BCC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Similis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est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ratio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fortitudinis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1724DAF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Quod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enim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viriliter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*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animoque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magno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fit,</w:t>
            </w:r>
          </w:p>
          <w:p w14:paraId="091AED9F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id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dignum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viro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et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decorum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videtur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691AA555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>quod contra*,</w:t>
            </w:r>
          </w:p>
          <w:p w14:paraId="3201894E" w14:textId="3E458D0A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id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ut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turpe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 xml:space="preserve">, sic </w:t>
            </w:r>
            <w:proofErr w:type="spellStart"/>
            <w:r w:rsidRPr="001F0B8F">
              <w:rPr>
                <w:rFonts w:asciiTheme="minorHAnsi" w:hAnsiTheme="minorHAnsi" w:cstheme="minorHAnsi"/>
                <w:color w:val="000000" w:themeColor="text1"/>
              </w:rPr>
              <w:t>indecorum</w:t>
            </w:r>
            <w:proofErr w:type="spellEnd"/>
            <w:r w:rsidRPr="001F0B8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246" w:type="dxa"/>
          </w:tcPr>
          <w:p w14:paraId="4BC62C2F" w14:textId="77777777" w:rsidR="00E72C73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contrā: Übersetzen Sie dieses Adverb mit dem Substantiv „das Gegenteil“.</w:t>
            </w:r>
          </w:p>
          <w:p w14:paraId="0C99F0E0" w14:textId="77777777" w:rsidR="00E72C73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ut</w:t>
            </w:r>
            <w:r>
              <w:rPr>
                <w:lang w:val="de-DE"/>
              </w:rPr>
              <w:t xml:space="preserve"> turpia</w:t>
            </w:r>
            <w:r w:rsidRPr="00BC3CA1">
              <w:t>: wie; Übersetzung: so schändlich wie moralisch falsch. Die gleiche Übersetzung passt auch in der letzten Zeile des Satzes</w:t>
            </w:r>
          </w:p>
          <w:p w14:paraId="08BA8723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rPr>
                <w:rStyle w:val="Hervorhebung"/>
                <w:rFonts w:asciiTheme="minorHAnsi" w:hAnsiTheme="minorHAnsi" w:cstheme="minorHAnsi"/>
              </w:rPr>
              <w:t>ratio</w:t>
            </w:r>
            <w:r w:rsidRPr="00BC3CA1">
              <w:t xml:space="preserve"> bedeutet hier „das Wesen“</w:t>
            </w:r>
          </w:p>
          <w:p w14:paraId="76DF014F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virīlis, virīle: männlich, tapfer</w:t>
            </w:r>
          </w:p>
          <w:p w14:paraId="7FFD491A" w14:textId="64422B5C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quod contra: das Gegenteil</w:t>
            </w:r>
          </w:p>
        </w:tc>
      </w:tr>
      <w:tr w:rsidR="00E72C73" w14:paraId="28EBAC13" w14:textId="77777777" w:rsidTr="006E0D2C">
        <w:trPr>
          <w:cantSplit/>
        </w:trPr>
        <w:tc>
          <w:tcPr>
            <w:tcW w:w="5382" w:type="dxa"/>
          </w:tcPr>
          <w:p w14:paraId="578DC400" w14:textId="74A5164E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t>[1, 95]</w:t>
            </w:r>
          </w:p>
          <w:p w14:paraId="15461DE7" w14:textId="48ED6D7A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Quare pertinet* quidem ad omnem honestatem hoc, quod dico, decorum,</w:t>
            </w:r>
          </w:p>
          <w:p w14:paraId="19F50453" w14:textId="77777777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et ita pertinet,</w:t>
            </w:r>
          </w:p>
          <w:p w14:paraId="67B3A1F7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ut non recondita* quadam ratione cernatur,</w:t>
            </w:r>
          </w:p>
          <w:p w14:paraId="01FC7748" w14:textId="71597B4F" w:rsidR="00E72C73" w:rsidRPr="001F0B8F" w:rsidRDefault="00E72C73" w:rsidP="006E0D2C">
            <w:pPr>
              <w:pStyle w:val="StandardWeb"/>
              <w:spacing w:before="0" w:beforeAutospacing="0" w:line="312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 xml:space="preserve"> sed sit in promptu*.</w:t>
            </w:r>
          </w:p>
        </w:tc>
        <w:tc>
          <w:tcPr>
            <w:tcW w:w="4246" w:type="dxa"/>
          </w:tcPr>
          <w:p w14:paraId="3A9A0F06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 xml:space="preserve">pertinēre, pertineō ad: sich auf etwas erstrecken; sich beziehen; hier passt „für etwas gelten“  </w:t>
            </w:r>
          </w:p>
          <w:p w14:paraId="433F25FB" w14:textId="77777777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t>reconditus/in promptū: versteckt/offensichtlich</w:t>
            </w:r>
          </w:p>
          <w:p w14:paraId="4D78A8AC" w14:textId="68A0EEFD" w:rsidR="00E72C73" w:rsidRPr="00BC3CA1" w:rsidRDefault="00E72C73" w:rsidP="00E72C73">
            <w:pPr>
              <w:pStyle w:val="vokangabe2"/>
              <w:framePr w:hSpace="0" w:wrap="auto" w:vAnchor="margin" w:hAnchor="text" w:xAlign="left" w:yAlign="inline"/>
            </w:pPr>
            <w:r w:rsidRPr="00BC3CA1">
              <w:rPr>
                <w:rStyle w:val="Hervorhebung"/>
                <w:rFonts w:asciiTheme="minorHAnsi" w:hAnsiTheme="minorHAnsi" w:cstheme="minorHAnsi"/>
              </w:rPr>
              <w:t>ratio</w:t>
            </w:r>
            <w:r w:rsidRPr="00BC3CA1">
              <w:t xml:space="preserve"> hier: die Weise</w:t>
            </w:r>
          </w:p>
        </w:tc>
      </w:tr>
      <w:tr w:rsidR="00E72C73" w14:paraId="5387E8DB" w14:textId="77777777" w:rsidTr="006E0D2C">
        <w:trPr>
          <w:cantSplit/>
        </w:trPr>
        <w:tc>
          <w:tcPr>
            <w:tcW w:w="5382" w:type="dxa"/>
          </w:tcPr>
          <w:p w14:paraId="68C70296" w14:textId="77777777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Est enim quiddam*, idque* intellegitur in omni virtute, quod deceat;</w:t>
            </w:r>
          </w:p>
          <w:p w14:paraId="1439E1C9" w14:textId="35BB245C" w:rsidR="00E72C73" w:rsidRPr="001F0B8F" w:rsidRDefault="00E72C73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quod* cogitatione* magis a virtute potest quam re separari.</w:t>
            </w:r>
          </w:p>
        </w:tc>
        <w:tc>
          <w:tcPr>
            <w:tcW w:w="4246" w:type="dxa"/>
          </w:tcPr>
          <w:p w14:paraId="18D4AA59" w14:textId="77777777" w:rsidR="00E72C73" w:rsidRPr="00E72C73" w:rsidRDefault="00E72C73" w:rsidP="00E72C73">
            <w:pPr>
              <w:pStyle w:val="vokangabe2"/>
              <w:framePr w:wrap="around"/>
            </w:pPr>
            <w:r w:rsidRPr="00E72C73">
              <w:t>quiddam: etwas Bestimmtes, etwas Gewisses</w:t>
            </w:r>
          </w:p>
          <w:p w14:paraId="3197C8E3" w14:textId="77777777" w:rsidR="00E72C73" w:rsidRPr="00E72C73" w:rsidRDefault="00E72C73" w:rsidP="00E72C73">
            <w:pPr>
              <w:pStyle w:val="vokangabe2"/>
              <w:framePr w:wrap="around"/>
            </w:pPr>
            <w:r w:rsidRPr="00E72C73">
              <w:t xml:space="preserve">idque = et id </w:t>
            </w:r>
          </w:p>
          <w:p w14:paraId="27027AEB" w14:textId="77777777" w:rsidR="00E72C73" w:rsidRPr="00E72C73" w:rsidRDefault="00E72C73" w:rsidP="00E72C73">
            <w:pPr>
              <w:pStyle w:val="vokangabe2"/>
              <w:framePr w:wrap="around"/>
            </w:pPr>
            <w:r w:rsidRPr="00E72C73">
              <w:t>Erläuterungen zum Satzbau:</w:t>
            </w:r>
          </w:p>
          <w:p w14:paraId="253243AB" w14:textId="77777777" w:rsidR="00E72C73" w:rsidRPr="00E72C73" w:rsidRDefault="00E72C73" w:rsidP="00E72C73">
            <w:pPr>
              <w:pStyle w:val="vokangabe2"/>
              <w:framePr w:wrap="around"/>
            </w:pPr>
            <w:r w:rsidRPr="00E72C73">
              <w:t>quod ... potest: relativischer Satzanschluss</w:t>
            </w:r>
          </w:p>
          <w:p w14:paraId="0B97A454" w14:textId="145AB6BD" w:rsidR="00E72C73" w:rsidRDefault="00E72C73" w:rsidP="00E72C73">
            <w:pPr>
              <w:pStyle w:val="vokangabe2"/>
              <w:framePr w:wrap="around"/>
              <w:rPr>
                <w:rFonts w:asciiTheme="minorHAnsi" w:hAnsiTheme="minorHAnsi" w:cstheme="minorHAnsi"/>
              </w:rPr>
            </w:pPr>
            <w:r w:rsidRPr="00E72C73">
              <w:rPr>
                <w:rStyle w:val="Hervorhebung"/>
                <w:i w:val="0"/>
                <w:iCs w:val="0"/>
              </w:rPr>
              <w:t>cogitatione</w:t>
            </w:r>
            <w:r w:rsidRPr="00E72C73">
              <w:t xml:space="preserve"> und </w:t>
            </w:r>
            <w:r w:rsidRPr="00E72C73">
              <w:rPr>
                <w:rStyle w:val="Hervorhebung"/>
                <w:i w:val="0"/>
                <w:iCs w:val="0"/>
              </w:rPr>
              <w:t>re</w:t>
            </w:r>
            <w:r w:rsidRPr="00E72C73">
              <w:t xml:space="preserve"> stehen in Gegensatz zueinander; also: mehr in Gedanken als in der Realität</w:t>
            </w:r>
          </w:p>
        </w:tc>
      </w:tr>
      <w:tr w:rsidR="006E0D2C" w14:paraId="77A81724" w14:textId="77777777" w:rsidTr="006E0D2C">
        <w:trPr>
          <w:cantSplit/>
        </w:trPr>
        <w:tc>
          <w:tcPr>
            <w:tcW w:w="5382" w:type="dxa"/>
          </w:tcPr>
          <w:p w14:paraId="7299FD74" w14:textId="77777777" w:rsidR="006E0D2C" w:rsidRPr="001F0B8F" w:rsidRDefault="006E0D2C" w:rsidP="006E0D2C">
            <w:pPr>
              <w:pStyle w:val="StandardWeb"/>
              <w:spacing w:before="120" w:beforeAutospacing="0" w:after="120" w:afterAutospacing="0"/>
              <w:ind w:left="448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Ut venustas* et pulchritudo corporis secerni* non potest a valitudine*,</w:t>
            </w:r>
          </w:p>
          <w:p w14:paraId="189D5264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sic hoc,</w:t>
            </w:r>
          </w:p>
          <w:p w14:paraId="666E748F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de quo loquimur,</w:t>
            </w:r>
          </w:p>
          <w:p w14:paraId="367A6E90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decorum totum illud quidem est cum virtute confusum*,</w:t>
            </w:r>
          </w:p>
          <w:p w14:paraId="5F3D1189" w14:textId="11F05146" w:rsidR="006E0D2C" w:rsidRPr="001F0B8F" w:rsidRDefault="006E0D2C" w:rsidP="006E0D2C">
            <w:pPr>
              <w:pStyle w:val="StandardWeb"/>
              <w:spacing w:before="0" w:beforeAutospacing="0" w:after="120" w:afterAutospacing="0" w:line="312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sed mente et cogitatione distinguitur.</w:t>
            </w:r>
          </w:p>
        </w:tc>
        <w:tc>
          <w:tcPr>
            <w:tcW w:w="4246" w:type="dxa"/>
          </w:tcPr>
          <w:p w14:paraId="0EB94FFD" w14:textId="77777777" w:rsidR="006E0D2C" w:rsidRPr="009B630D" w:rsidRDefault="006E0D2C" w:rsidP="006E0D2C">
            <w:pPr>
              <w:pStyle w:val="vokangabe2"/>
              <w:framePr w:hSpace="0" w:wrap="auto" w:vAnchor="margin" w:hAnchor="text" w:xAlign="left" w:yAlign="inline"/>
              <w:spacing w:line="240" w:lineRule="auto"/>
            </w:pPr>
            <w:r w:rsidRPr="009B630D">
              <w:t>venustās, venustātis, f.: der Liebrreiz</w:t>
            </w:r>
          </w:p>
          <w:p w14:paraId="763E50C2" w14:textId="77777777" w:rsidR="006E0D2C" w:rsidRPr="009B630D" w:rsidRDefault="006E0D2C" w:rsidP="006E0D2C">
            <w:pPr>
              <w:pStyle w:val="vokangabe2"/>
              <w:framePr w:hSpace="0" w:wrap="auto" w:vAnchor="margin" w:hAnchor="text" w:xAlign="left" w:yAlign="inline"/>
              <w:spacing w:line="240" w:lineRule="auto"/>
            </w:pPr>
            <w:r w:rsidRPr="009B630D">
              <w:t>sēcernere, sēcernō, sēcrēvī, sēcrētum: trennen</w:t>
            </w:r>
          </w:p>
          <w:p w14:paraId="4FAD16FD" w14:textId="77777777" w:rsidR="006E0D2C" w:rsidRPr="009B630D" w:rsidRDefault="006E0D2C" w:rsidP="006E0D2C">
            <w:pPr>
              <w:pStyle w:val="vokangabe2"/>
              <w:framePr w:hSpace="0" w:wrap="auto" w:vAnchor="margin" w:hAnchor="text" w:xAlign="left" w:yAlign="inline"/>
              <w:spacing w:line="240" w:lineRule="auto"/>
            </w:pPr>
            <w:r w:rsidRPr="009B630D">
              <w:t>valētūdō, valētūdinis, f.: die Gesundheit</w:t>
            </w:r>
          </w:p>
          <w:p w14:paraId="44D69893" w14:textId="3E57D322" w:rsidR="006E0D2C" w:rsidRPr="00E72C73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9B630D">
              <w:t>cōnfundere, cōnfundō, cōnfūdī, cōnfūsum: vermischen</w:t>
            </w:r>
          </w:p>
        </w:tc>
      </w:tr>
      <w:tr w:rsidR="006E0D2C" w14:paraId="140FF60D" w14:textId="77777777" w:rsidTr="006E0D2C">
        <w:trPr>
          <w:cantSplit/>
        </w:trPr>
        <w:tc>
          <w:tcPr>
            <w:tcW w:w="5382" w:type="dxa"/>
          </w:tcPr>
          <w:p w14:paraId="609F07AB" w14:textId="77777777" w:rsidR="006E0D2C" w:rsidRPr="001F0B8F" w:rsidRDefault="006E0D2C" w:rsidP="006E0D2C">
            <w:pPr>
              <w:pStyle w:val="StandardWeb"/>
              <w:rPr>
                <w:rFonts w:asciiTheme="minorHAnsi" w:hAnsiTheme="minorHAnsi" w:cstheme="minorHAnsi"/>
                <w:color w:val="000000" w:themeColor="text1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</w:rPr>
              <w:lastRenderedPageBreak/>
              <w:t>[1, 96]</w:t>
            </w:r>
          </w:p>
          <w:p w14:paraId="4FF610F3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Est autem eius discriptio duplex*;</w:t>
            </w:r>
          </w:p>
          <w:p w14:paraId="2DF50E59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nam et generale* quoddam decorum intellegimus*,</w:t>
            </w:r>
          </w:p>
          <w:p w14:paraId="2D343E88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quod in omni honestate versatur*,</w:t>
            </w:r>
          </w:p>
          <w:p w14:paraId="484FA4D9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et aliud huic subiectum*,</w:t>
            </w:r>
          </w:p>
          <w:p w14:paraId="3273F093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quod pertinet ad singulas partes honestatis.</w:t>
            </w:r>
          </w:p>
          <w:p w14:paraId="24E105C8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Atque illud superius sic fere definiri solet</w:t>
            </w:r>
          </w:p>
          <w:p w14:paraId="67A77CFB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decorum* id esse,</w:t>
            </w:r>
          </w:p>
          <w:p w14:paraId="1F729349" w14:textId="77777777" w:rsidR="006E0D2C" w:rsidRPr="001F0B8F" w:rsidRDefault="006E0D2C" w:rsidP="006E0D2C">
            <w:pPr>
              <w:pStyle w:val="StandardWeb"/>
              <w:spacing w:before="0" w:beforeAutospacing="0" w:after="120" w:afterAutospacing="0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quod consentaneum* sit hominis excellentiae* in eo,</w:t>
            </w:r>
          </w:p>
          <w:p w14:paraId="4BAAB364" w14:textId="098912CB" w:rsidR="006E0D2C" w:rsidRPr="001F0B8F" w:rsidRDefault="006E0D2C" w:rsidP="006E0D2C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in quo natura eius a reliquis animantibus* differat*.</w:t>
            </w:r>
          </w:p>
        </w:tc>
        <w:tc>
          <w:tcPr>
            <w:tcW w:w="4246" w:type="dxa"/>
          </w:tcPr>
          <w:p w14:paraId="5A0DADBD" w14:textId="77777777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duplex: doppelt</w:t>
            </w:r>
          </w:p>
          <w:p w14:paraId="59CF209F" w14:textId="77777777" w:rsidR="006E0D2C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generālis, generāle: allgemein</w:t>
            </w:r>
          </w:p>
          <w:p w14:paraId="7A23625A" w14:textId="77777777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 xml:space="preserve">Von </w:t>
            </w:r>
            <w:r w:rsidRPr="00BC3CA1">
              <w:rPr>
                <w:i/>
                <w:iCs/>
              </w:rPr>
              <w:t>intellegimus</w:t>
            </w:r>
            <w:r w:rsidRPr="00BC3CA1">
              <w:t xml:space="preserve"> ist hier kein AcI abhängig. Übersetzen Sie „wir erkennen“.  </w:t>
            </w:r>
          </w:p>
          <w:p w14:paraId="3A811ACB" w14:textId="77777777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versatur ~ est</w:t>
            </w:r>
          </w:p>
          <w:p w14:paraId="05EDC095" w14:textId="77777777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subiectum: untergeordnet</w:t>
            </w:r>
          </w:p>
          <w:p w14:paraId="0D01B7A6" w14:textId="77777777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pertinēre, pertineō, pertinuī: sich auf etwas erstrecken/beziehen</w:t>
            </w:r>
          </w:p>
          <w:p w14:paraId="15EF1288" w14:textId="77777777" w:rsidR="006E0D2C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ferē: ungefähr</w:t>
            </w:r>
          </w:p>
          <w:p w14:paraId="0FA699DD" w14:textId="77777777" w:rsidR="006E0D2C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decorum id esse: Aci, abhängig von definiri. Verwenden Sie wie immer einen dass-Sa</w:t>
            </w:r>
            <w:r>
              <w:t>tz.</w:t>
            </w:r>
          </w:p>
          <w:p w14:paraId="05697E71" w14:textId="77777777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cōnsentāneus: entsprechend, zu etwas passend (mit Dativ)</w:t>
            </w:r>
          </w:p>
          <w:p w14:paraId="3B246FA5" w14:textId="77777777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excellentia, excellentiae, f.: der Vorrang</w:t>
            </w:r>
          </w:p>
          <w:p w14:paraId="7FDBE86D" w14:textId="77777777" w:rsidR="006E0D2C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animantes, animantium, f.</w:t>
            </w:r>
            <w:r>
              <w:rPr>
                <w:lang w:val="de-DE"/>
              </w:rPr>
              <w:t xml:space="preserve"> (Pluralwort)</w:t>
            </w:r>
            <w:r w:rsidRPr="00BC3CA1">
              <w:t>: die Lebewesen</w:t>
            </w:r>
          </w:p>
          <w:p w14:paraId="6EB0EA0D" w14:textId="3270957C" w:rsidR="006E0D2C" w:rsidRPr="009B630D" w:rsidRDefault="006E0D2C" w:rsidP="006E0D2C">
            <w:pPr>
              <w:pStyle w:val="vokangabe2"/>
              <w:framePr w:hSpace="0" w:wrap="auto" w:vAnchor="margin" w:hAnchor="text" w:xAlign="left" w:yAlign="inline"/>
              <w:spacing w:line="240" w:lineRule="auto"/>
            </w:pPr>
            <w:r w:rsidRPr="00BC3CA1">
              <w:t>differre, differō, distulī, dīlātum: sich unterscheiden</w:t>
            </w:r>
          </w:p>
        </w:tc>
      </w:tr>
      <w:tr w:rsidR="006E0D2C" w14:paraId="2B3841B7" w14:textId="77777777" w:rsidTr="006E0D2C">
        <w:trPr>
          <w:cantSplit/>
        </w:trPr>
        <w:tc>
          <w:tcPr>
            <w:tcW w:w="5382" w:type="dxa"/>
          </w:tcPr>
          <w:p w14:paraId="33F46A3C" w14:textId="77777777" w:rsidR="006E0D2C" w:rsidRPr="001F0B8F" w:rsidRDefault="006E0D2C" w:rsidP="006E0D2C">
            <w:pPr>
              <w:pStyle w:val="StandardWeb"/>
              <w:spacing w:before="0" w:beforeAutospacing="0" w:after="120" w:afterAutospacing="0" w:line="264" w:lineRule="auto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Quae autem pars subiecta* generi est,</w:t>
            </w:r>
          </w:p>
          <w:p w14:paraId="429C44E2" w14:textId="77777777" w:rsidR="006E0D2C" w:rsidRPr="001F0B8F" w:rsidRDefault="006E0D2C" w:rsidP="006E0D2C">
            <w:pPr>
              <w:pStyle w:val="StandardWeb"/>
              <w:spacing w:before="0" w:beforeAutospacing="0" w:after="120" w:afterAutospacing="0" w:line="264" w:lineRule="auto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eam sic definiunt,</w:t>
            </w:r>
          </w:p>
          <w:p w14:paraId="000B57B7" w14:textId="77777777" w:rsidR="006E0D2C" w:rsidRPr="001F0B8F" w:rsidRDefault="006E0D2C" w:rsidP="006E0D2C">
            <w:pPr>
              <w:pStyle w:val="StandardWeb"/>
              <w:spacing w:before="0" w:beforeAutospacing="0" w:after="120" w:afterAutospacing="0" w:line="264" w:lineRule="auto"/>
              <w:ind w:left="4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ut id decorum velint esse,</w:t>
            </w:r>
          </w:p>
          <w:p w14:paraId="4E30B124" w14:textId="77777777" w:rsidR="006E0D2C" w:rsidRPr="001F0B8F" w:rsidRDefault="006E0D2C" w:rsidP="006E0D2C">
            <w:pPr>
              <w:pStyle w:val="StandardWeb"/>
              <w:spacing w:before="0" w:beforeAutospacing="0" w:after="120" w:afterAutospacing="0" w:line="264" w:lineRule="auto"/>
              <w:ind w:left="90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quod ita naturae consentaneum sit,</w:t>
            </w:r>
          </w:p>
          <w:p w14:paraId="3D088B9F" w14:textId="77777777" w:rsidR="006E0D2C" w:rsidRPr="001F0B8F" w:rsidRDefault="006E0D2C" w:rsidP="006E0D2C">
            <w:pPr>
              <w:pStyle w:val="StandardWeb"/>
              <w:spacing w:before="0" w:beforeAutospacing="0" w:after="120" w:afterAutospacing="0" w:line="264" w:lineRule="auto"/>
              <w:ind w:left="1350"/>
              <w:rPr>
                <w:rFonts w:asciiTheme="minorHAnsi" w:hAnsiTheme="minorHAnsi" w:cstheme="minorHAnsi"/>
                <w:color w:val="000000" w:themeColor="text1"/>
                <w:lang w:val="la-Latn"/>
              </w:rPr>
            </w:pP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>ut in eo moderatio et temperantia appareat cum specie</w:t>
            </w:r>
            <w:r w:rsidRPr="001F0B8F">
              <w:rPr>
                <w:rFonts w:asciiTheme="minorHAnsi" w:hAnsiTheme="minorHAnsi" w:cstheme="minorHAnsi"/>
                <w:color w:val="000000" w:themeColor="text1"/>
              </w:rPr>
              <w:t>*</w:t>
            </w:r>
            <w:r w:rsidRPr="001F0B8F">
              <w:rPr>
                <w:rFonts w:asciiTheme="minorHAnsi" w:hAnsiTheme="minorHAnsi" w:cstheme="minorHAnsi"/>
                <w:color w:val="000000" w:themeColor="text1"/>
                <w:lang w:val="la-Latn"/>
              </w:rPr>
              <w:t xml:space="preserve"> quadam liberali.</w:t>
            </w:r>
          </w:p>
          <w:p w14:paraId="5E103B15" w14:textId="77777777" w:rsidR="006E0D2C" w:rsidRPr="001F0B8F" w:rsidRDefault="006E0D2C" w:rsidP="006E0D2C">
            <w:pPr>
              <w:pStyle w:val="Standard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6" w:type="dxa"/>
          </w:tcPr>
          <w:p w14:paraId="7E802317" w14:textId="77777777" w:rsidR="006E0D2C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Quae autem pars: Dieser Relativsatz enthält sein eigenes Bezugswort (</w:t>
            </w:r>
            <w:hyperlink r:id="rId8" w:anchor="bezugswortimrelativsatz" w:tgtFrame="_blank" w:history="1">
              <w:r w:rsidRPr="00BC3CA1">
                <w:rPr>
                  <w:rStyle w:val="Hyperlink"/>
                  <w:rFonts w:asciiTheme="minorHAnsi" w:hAnsiTheme="minorHAnsi" w:cstheme="minorHAnsi"/>
                </w:rPr>
                <w:t>Hinweise zum Relativsatz</w:t>
              </w:r>
            </w:hyperlink>
            <w:r w:rsidRPr="00BC3CA1">
              <w:t xml:space="preserve">). Beim Übersetzen müssen Sie das Bezugswort </w:t>
            </w:r>
            <w:r w:rsidRPr="00BC3CA1">
              <w:rPr>
                <w:rStyle w:val="Hervorhebung"/>
                <w:rFonts w:asciiTheme="minorHAnsi" w:hAnsiTheme="minorHAnsi" w:cstheme="minorHAnsi"/>
              </w:rPr>
              <w:t>pars</w:t>
            </w:r>
            <w:r w:rsidRPr="00BC3CA1">
              <w:t xml:space="preserve"> voranstellen: Den Teil aber, der ..., den definieren sie so ...</w:t>
            </w:r>
          </w:p>
          <w:p w14:paraId="14CF328D" w14:textId="77777777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subiectus: untergeordnet</w:t>
            </w:r>
          </w:p>
          <w:p w14:paraId="2FB76F5E" w14:textId="6BD3152D" w:rsidR="006E0D2C" w:rsidRPr="00BC3CA1" w:rsidRDefault="006E0D2C" w:rsidP="006E0D2C">
            <w:pPr>
              <w:pStyle w:val="vokangabe2"/>
              <w:framePr w:hSpace="0" w:wrap="auto" w:vAnchor="margin" w:hAnchor="text" w:xAlign="left" w:yAlign="inline"/>
            </w:pPr>
            <w:r w:rsidRPr="00BC3CA1">
              <w:t>species liberalis: der vornehme Eindruck</w:t>
            </w:r>
          </w:p>
        </w:tc>
      </w:tr>
    </w:tbl>
    <w:p w14:paraId="0DA4A071" w14:textId="7FABC2E6" w:rsidR="00E72C73" w:rsidRDefault="00E72C73" w:rsidP="00A11184">
      <w:pPr>
        <w:pStyle w:val="StandardWeb"/>
        <w:spacing w:before="0" w:beforeAutospacing="0" w:after="120" w:afterAutospacing="0"/>
        <w:rPr>
          <w:rFonts w:asciiTheme="minorHAnsi" w:hAnsiTheme="minorHAnsi" w:cstheme="minorHAnsi"/>
          <w:lang w:val="la-Latn"/>
        </w:rPr>
      </w:pPr>
    </w:p>
    <w:p w14:paraId="4328E4BF" w14:textId="77777777" w:rsidR="00BC3CA1" w:rsidRPr="00A11184" w:rsidRDefault="00BC3CA1" w:rsidP="00BC3CA1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11184">
        <w:rPr>
          <w:rFonts w:asciiTheme="minorHAnsi" w:hAnsiTheme="minorHAnsi" w:cstheme="minorHAnsi"/>
          <w:sz w:val="22"/>
          <w:szCs w:val="22"/>
        </w:rPr>
        <w:t>In den ausgelassenen Sätzen spricht Cicero über die Dichtung: In Theaterstücken können die Figuren falsche Dinge tun, ohne dass man den Dichter deswegen kritisiert.</w:t>
      </w:r>
    </w:p>
    <w:p w14:paraId="28661D6D" w14:textId="62F414AC" w:rsidR="00BC3CA1" w:rsidRDefault="00BC3CA1" w:rsidP="00BC3CA1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11184">
        <w:rPr>
          <w:rFonts w:asciiTheme="minorHAnsi" w:hAnsiTheme="minorHAnsi" w:cstheme="minorHAnsi"/>
          <w:sz w:val="22"/>
          <w:szCs w:val="22"/>
        </w:rPr>
        <w:t>Cicero vergleicht im Folgenden die Freiheit der Dichter, die auch unpassendes Verhalten bei ihren Bühnenfiguren erfinden können, mit dem realen Leben, in dem wir zu korrektem Verhalten veranlasst sind.</w:t>
      </w:r>
    </w:p>
    <w:tbl>
      <w:tblPr>
        <w:tblStyle w:val="Uebersetzungstabell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0D2C" w14:paraId="4EBE1C25" w14:textId="77777777" w:rsidTr="006E0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AE690EB" w14:textId="77777777" w:rsidR="006E0D2C" w:rsidRPr="00BC3CA1" w:rsidRDefault="006E0D2C" w:rsidP="006E0D2C">
            <w:pPr>
              <w:pStyle w:val="StandardWeb"/>
              <w:spacing w:line="312" w:lineRule="auto"/>
              <w:rPr>
                <w:rFonts w:asciiTheme="minorHAnsi" w:hAnsiTheme="minorHAnsi" w:cstheme="minorHAnsi"/>
              </w:rPr>
            </w:pPr>
            <w:r w:rsidRPr="00BC3CA1">
              <w:rPr>
                <w:rFonts w:asciiTheme="minorHAnsi" w:hAnsiTheme="minorHAnsi" w:cstheme="minorHAnsi"/>
              </w:rPr>
              <w:lastRenderedPageBreak/>
              <w:t>[1, 97]</w:t>
            </w:r>
          </w:p>
          <w:p w14:paraId="1A524DE2" w14:textId="77777777" w:rsidR="006E0D2C" w:rsidRPr="00634D1A" w:rsidRDefault="006E0D2C" w:rsidP="006E0D2C">
            <w:pPr>
              <w:pStyle w:val="StandardWeb"/>
              <w:spacing w:line="312" w:lineRule="auto"/>
              <w:rPr>
                <w:rFonts w:asciiTheme="minorHAnsi" w:hAnsiTheme="minorHAnsi" w:cstheme="minorHAnsi"/>
                <w:lang w:val="la-Latn"/>
              </w:rPr>
            </w:pPr>
            <w:r w:rsidRPr="00634D1A">
              <w:rPr>
                <w:rFonts w:asciiTheme="minorHAnsi" w:hAnsiTheme="minorHAnsi" w:cstheme="minorHAnsi"/>
                <w:lang w:val="la-Latn"/>
              </w:rPr>
              <w:t>Sed poetae,</w:t>
            </w:r>
          </w:p>
          <w:p w14:paraId="628287A7" w14:textId="77777777" w:rsidR="006E0D2C" w:rsidRPr="00634D1A" w:rsidRDefault="006E0D2C" w:rsidP="006E0D2C">
            <w:pPr>
              <w:pStyle w:val="StandardWeb"/>
              <w:spacing w:line="312" w:lineRule="auto"/>
              <w:ind w:left="450"/>
              <w:rPr>
                <w:rFonts w:asciiTheme="minorHAnsi" w:hAnsiTheme="minorHAnsi" w:cstheme="minorHAnsi"/>
                <w:lang w:val="la-Latn"/>
              </w:rPr>
            </w:pPr>
            <w:r w:rsidRPr="00634D1A">
              <w:rPr>
                <w:rFonts w:asciiTheme="minorHAnsi" w:hAnsiTheme="minorHAnsi" w:cstheme="minorHAnsi"/>
                <w:color w:val="997F7F"/>
                <w:lang w:val="la-Latn"/>
              </w:rPr>
              <w:t xml:space="preserve">quid </w:t>
            </w:r>
            <w:r w:rsidRPr="00634D1A">
              <w:rPr>
                <w:rFonts w:asciiTheme="minorHAnsi" w:hAnsiTheme="minorHAnsi" w:cstheme="minorHAnsi"/>
                <w:lang w:val="la-Latn"/>
              </w:rPr>
              <w:t>quemque deceat*,</w:t>
            </w:r>
          </w:p>
          <w:p w14:paraId="449B067B" w14:textId="11C1C6D4" w:rsidR="006E0D2C" w:rsidRDefault="006E0D2C" w:rsidP="006E0D2C">
            <w:pPr>
              <w:pStyle w:val="StandardWeb"/>
              <w:spacing w:line="312" w:lineRule="auto"/>
              <w:rPr>
                <w:rFonts w:asciiTheme="minorHAnsi" w:hAnsiTheme="minorHAnsi" w:cstheme="minorHAnsi"/>
                <w:lang w:val="la-Latn"/>
              </w:rPr>
            </w:pPr>
            <w:r w:rsidRPr="00634D1A">
              <w:rPr>
                <w:rFonts w:asciiTheme="minorHAnsi" w:hAnsiTheme="minorHAnsi" w:cstheme="minorHAnsi"/>
                <w:lang w:val="la-Latn"/>
              </w:rPr>
              <w:t>ex persona iudicabunt.</w:t>
            </w:r>
          </w:p>
          <w:p w14:paraId="51F57507" w14:textId="77777777" w:rsidR="001F0B8F" w:rsidRPr="00BC3CA1" w:rsidRDefault="001F0B8F" w:rsidP="006E0D2C">
            <w:pPr>
              <w:pStyle w:val="StandardWeb"/>
              <w:spacing w:line="312" w:lineRule="auto"/>
              <w:rPr>
                <w:rFonts w:asciiTheme="minorHAnsi" w:hAnsiTheme="minorHAnsi" w:cstheme="minorHAnsi"/>
              </w:rPr>
            </w:pPr>
          </w:p>
          <w:p w14:paraId="4CCF0025" w14:textId="0A547D58" w:rsidR="006E0D2C" w:rsidRDefault="006E0D2C" w:rsidP="006E0D2C">
            <w:pPr>
              <w:pStyle w:val="StandardWeb"/>
              <w:spacing w:line="312" w:lineRule="auto"/>
              <w:rPr>
                <w:rFonts w:asciiTheme="minorHAnsi" w:hAnsiTheme="minorHAnsi" w:cstheme="minorHAnsi"/>
              </w:rPr>
            </w:pPr>
            <w:r w:rsidRPr="00634D1A">
              <w:rPr>
                <w:rFonts w:asciiTheme="minorHAnsi" w:hAnsiTheme="minorHAnsi" w:cstheme="minorHAnsi"/>
                <w:lang w:val="la-Latn"/>
              </w:rPr>
              <w:t>Nobis autem ipsa natura* personam imposuit* magna cum excellentia praestantiaque animantium reliquarum</w:t>
            </w:r>
            <w:r w:rsidRPr="00BC3C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14" w:type="dxa"/>
          </w:tcPr>
          <w:p w14:paraId="48C60E4D" w14:textId="77777777" w:rsidR="006E0D2C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 xml:space="preserve">quid quemque deceat: dieser </w:t>
            </w:r>
            <w:hyperlink r:id="rId9" w:anchor="indirekt" w:tgtFrame="_blank" w:tooltip="Erläuterungen zur Grammatik: indirekte Fragesätze" w:history="1">
              <w:r w:rsidRPr="00BC3CA1">
                <w:rPr>
                  <w:rStyle w:val="Hyperlink"/>
                  <w:rFonts w:asciiTheme="minorHAnsi" w:hAnsiTheme="minorHAnsi" w:cstheme="minorHAnsi"/>
                </w:rPr>
                <w:t>indirekte Fragesatz</w:t>
              </w:r>
            </w:hyperlink>
            <w:r w:rsidRPr="00BC3CA1">
              <w:t xml:space="preserve"> ist von </w:t>
            </w:r>
            <w:r w:rsidRPr="00BC3CA1">
              <w:rPr>
                <w:i/>
                <w:iCs/>
              </w:rPr>
              <w:t>iudicabunt</w:t>
            </w:r>
            <w:r w:rsidRPr="00BC3CA1">
              <w:t xml:space="preserve"> abhängig.</w:t>
            </w:r>
          </w:p>
          <w:p w14:paraId="711F735D" w14:textId="77777777" w:rsidR="006E0D2C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 xml:space="preserve">ipsa natura: </w:t>
            </w:r>
            <w:r w:rsidRPr="00BC3CA1">
              <w:rPr>
                <w:rStyle w:val="Hervorhebung"/>
                <w:rFonts w:asciiTheme="minorHAnsi" w:hAnsiTheme="minorHAnsi" w:cstheme="minorHAnsi"/>
              </w:rPr>
              <w:t>ipsa</w:t>
            </w:r>
            <w:r w:rsidRPr="00BC3CA1">
              <w:t xml:space="preserve"> und natura sind kongruent und stehen beide im Nominativ. </w:t>
            </w:r>
            <w:r w:rsidRPr="00BC3CA1">
              <w:rPr>
                <w:i/>
                <w:iCs/>
              </w:rPr>
              <w:t>Magna</w:t>
            </w:r>
            <w:r w:rsidRPr="00BC3CA1">
              <w:t xml:space="preserve">, </w:t>
            </w:r>
            <w:r w:rsidRPr="00BC3CA1">
              <w:rPr>
                <w:i/>
                <w:iCs/>
              </w:rPr>
              <w:t>excellentia</w:t>
            </w:r>
            <w:r w:rsidRPr="00BC3CA1">
              <w:t xml:space="preserve"> und </w:t>
            </w:r>
            <w:r w:rsidRPr="00BC3CA1">
              <w:rPr>
                <w:i/>
                <w:iCs/>
              </w:rPr>
              <w:t>praestantia</w:t>
            </w:r>
            <w:r w:rsidRPr="00BC3CA1">
              <w:t xml:space="preserve"> stehen im Ablativ. Den Genitiv </w:t>
            </w:r>
            <w:r w:rsidRPr="00BC3CA1">
              <w:rPr>
                <w:i/>
                <w:iCs/>
              </w:rPr>
              <w:t>animantium</w:t>
            </w:r>
            <w:r w:rsidRPr="00BC3CA1">
              <w:t xml:space="preserve"> übersetzt man mit „Überlegenheit gegenüber den anderen Lebewesen“.</w:t>
            </w:r>
          </w:p>
          <w:p w14:paraId="5E99BD5B" w14:textId="77777777" w:rsidR="006E0D2C" w:rsidRPr="00306B8E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B8E">
              <w:t>personam impōnere (impōnō, imposuī, impositum ): eine Rolle zuweisen</w:t>
            </w:r>
          </w:p>
          <w:p w14:paraId="4B022E97" w14:textId="77777777" w:rsidR="006E0D2C" w:rsidRPr="00306B8E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B8E">
              <w:t>excellentia, excellentiae, f.: die herausragende Stellung</w:t>
            </w:r>
          </w:p>
          <w:p w14:paraId="3C456EF2" w14:textId="2DC22B3A" w:rsidR="006E0D2C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306B8E">
              <w:t>praestantia</w:t>
            </w:r>
            <w:proofErr w:type="spellEnd"/>
            <w:r w:rsidRPr="00306B8E">
              <w:t xml:space="preserve">, </w:t>
            </w:r>
            <w:proofErr w:type="spellStart"/>
            <w:r w:rsidRPr="00306B8E">
              <w:t>praestantiae</w:t>
            </w:r>
            <w:proofErr w:type="spellEnd"/>
            <w:r w:rsidRPr="00306B8E">
              <w:t>, f.: die Überlegenheit</w:t>
            </w:r>
          </w:p>
        </w:tc>
      </w:tr>
    </w:tbl>
    <w:p w14:paraId="7DD45397" w14:textId="7E4EE6CD" w:rsidR="00BC3CA1" w:rsidRDefault="00BC3CA1" w:rsidP="00BC3CA1">
      <w:pPr>
        <w:pStyle w:val="StandardWeb"/>
        <w:rPr>
          <w:rFonts w:asciiTheme="minorHAnsi" w:hAnsiTheme="minorHAnsi" w:cstheme="minorHAnsi"/>
        </w:rPr>
      </w:pPr>
      <w:r w:rsidRPr="00BC3CA1">
        <w:rPr>
          <w:rFonts w:asciiTheme="minorHAnsi" w:hAnsiTheme="minorHAnsi" w:cstheme="minorHAnsi"/>
        </w:rPr>
        <w:t xml:space="preserve">Der folgende Satz wurde verändert und gekürzt. Original bei </w:t>
      </w:r>
      <w:hyperlink r:id="rId10" w:tgtFrame="_blank" w:history="1">
        <w:r w:rsidRPr="00BC3CA1">
          <w:rPr>
            <w:rStyle w:val="Hyperlink"/>
            <w:rFonts w:asciiTheme="minorHAnsi" w:hAnsiTheme="minorHAnsi" w:cstheme="minorHAnsi"/>
          </w:rPr>
          <w:t>Perseus</w:t>
        </w:r>
      </w:hyperlink>
      <w:r w:rsidRPr="00BC3CA1">
        <w:rPr>
          <w:rFonts w:asciiTheme="minorHAnsi" w:hAnsiTheme="minorHAnsi" w:cstheme="minorHAnsi"/>
        </w:rPr>
        <w:t>.</w:t>
      </w:r>
    </w:p>
    <w:tbl>
      <w:tblPr>
        <w:tblStyle w:val="Uebersetzungstabell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0D2C" w14:paraId="4847123A" w14:textId="77777777" w:rsidTr="006E0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0C399D7" w14:textId="77777777" w:rsidR="006E0D2C" w:rsidRPr="00BC3CA1" w:rsidRDefault="006E0D2C" w:rsidP="006E0D2C">
            <w:pPr>
              <w:pStyle w:val="StandardWeb"/>
              <w:spacing w:before="0" w:beforeAutospacing="0" w:after="0" w:afterAutospacing="0" w:line="312" w:lineRule="auto"/>
              <w:rPr>
                <w:rFonts w:asciiTheme="minorHAnsi" w:hAnsiTheme="minorHAnsi" w:cstheme="minorHAnsi"/>
              </w:rPr>
            </w:pPr>
            <w:r w:rsidRPr="00BC3CA1">
              <w:rPr>
                <w:rFonts w:asciiTheme="minorHAnsi" w:hAnsiTheme="minorHAnsi" w:cstheme="minorHAnsi"/>
              </w:rPr>
              <w:t>[1, 98]</w:t>
            </w:r>
          </w:p>
          <w:p w14:paraId="5F0C8B3B" w14:textId="2221A5D9" w:rsidR="006E0D2C" w:rsidRPr="003A2733" w:rsidRDefault="006E0D2C" w:rsidP="006E0D2C">
            <w:pPr>
              <w:pStyle w:val="StandardWeb"/>
              <w:spacing w:before="0" w:beforeAutospacing="0" w:after="0" w:afterAutospacing="0" w:line="312" w:lineRule="auto"/>
              <w:rPr>
                <w:rFonts w:asciiTheme="minorHAnsi" w:hAnsiTheme="minorHAnsi" w:cstheme="minorHAnsi"/>
                <w:lang w:val="la-Latn"/>
              </w:rPr>
            </w:pPr>
            <w:r w:rsidRPr="003A2733">
              <w:rPr>
                <w:rFonts w:asciiTheme="minorHAnsi" w:hAnsiTheme="minorHAnsi" w:cstheme="minorHAnsi"/>
                <w:lang w:val="la-Latn"/>
              </w:rPr>
              <w:t>Quocirca* poetae in magna varietate personarum etiam,</w:t>
            </w:r>
          </w:p>
          <w:p w14:paraId="7F465030" w14:textId="77777777" w:rsidR="006E0D2C" w:rsidRPr="003A2733" w:rsidRDefault="006E0D2C" w:rsidP="006E0D2C">
            <w:pPr>
              <w:pStyle w:val="StandardWeb"/>
              <w:spacing w:before="0" w:beforeAutospacing="0" w:after="0" w:afterAutospacing="0" w:line="312" w:lineRule="auto"/>
              <w:ind w:left="450"/>
              <w:rPr>
                <w:rFonts w:asciiTheme="minorHAnsi" w:hAnsiTheme="minorHAnsi" w:cstheme="minorHAnsi"/>
                <w:lang w:val="la-Latn"/>
              </w:rPr>
            </w:pPr>
            <w:r w:rsidRPr="003A2733">
              <w:rPr>
                <w:rFonts w:asciiTheme="minorHAnsi" w:hAnsiTheme="minorHAnsi" w:cstheme="minorHAnsi"/>
                <w:color w:val="997F7F"/>
                <w:lang w:val="la-Latn"/>
              </w:rPr>
              <w:t xml:space="preserve">quid </w:t>
            </w:r>
            <w:r w:rsidRPr="003A2733">
              <w:rPr>
                <w:rFonts w:asciiTheme="minorHAnsi" w:hAnsiTheme="minorHAnsi" w:cstheme="minorHAnsi"/>
                <w:lang w:val="la-Latn"/>
              </w:rPr>
              <w:t xml:space="preserve">vitiosis* conveniat et </w:t>
            </w:r>
            <w:r w:rsidRPr="003A2733">
              <w:rPr>
                <w:rFonts w:asciiTheme="minorHAnsi" w:hAnsiTheme="minorHAnsi" w:cstheme="minorHAnsi"/>
                <w:color w:val="997F7F"/>
                <w:lang w:val="la-Latn"/>
              </w:rPr>
              <w:t xml:space="preserve">quid </w:t>
            </w:r>
            <w:r w:rsidRPr="003A2733">
              <w:rPr>
                <w:rFonts w:asciiTheme="minorHAnsi" w:hAnsiTheme="minorHAnsi" w:cstheme="minorHAnsi"/>
                <w:lang w:val="la-Latn"/>
              </w:rPr>
              <w:t>deceat*</w:t>
            </w:r>
          </w:p>
          <w:p w14:paraId="477F4802" w14:textId="77777777" w:rsidR="006E0D2C" w:rsidRPr="003A2733" w:rsidRDefault="006E0D2C" w:rsidP="006E0D2C">
            <w:pPr>
              <w:pStyle w:val="StandardWeb"/>
              <w:spacing w:before="0" w:beforeAutospacing="0" w:after="0" w:afterAutospacing="0" w:line="312" w:lineRule="auto"/>
              <w:rPr>
                <w:rFonts w:asciiTheme="minorHAnsi" w:hAnsiTheme="minorHAnsi" w:cstheme="minorHAnsi"/>
                <w:lang w:val="la-Latn"/>
              </w:rPr>
            </w:pPr>
            <w:r w:rsidRPr="003A2733">
              <w:rPr>
                <w:rFonts w:asciiTheme="minorHAnsi" w:hAnsiTheme="minorHAnsi" w:cstheme="minorHAnsi"/>
                <w:lang w:val="la-Latn"/>
              </w:rPr>
              <w:t>videbunt,</w:t>
            </w:r>
          </w:p>
          <w:p w14:paraId="7EECD59C" w14:textId="78FA5741" w:rsidR="006E0D2C" w:rsidRDefault="006E0D2C" w:rsidP="006E0D2C">
            <w:pPr>
              <w:pStyle w:val="StandardWeb"/>
              <w:spacing w:before="0" w:beforeAutospacing="0" w:after="0" w:afterAutospacing="0" w:line="312" w:lineRule="auto"/>
              <w:rPr>
                <w:rFonts w:asciiTheme="minorHAnsi" w:hAnsiTheme="minorHAnsi" w:cstheme="minorHAnsi"/>
              </w:rPr>
            </w:pPr>
            <w:r w:rsidRPr="003A2733">
              <w:rPr>
                <w:rFonts w:asciiTheme="minorHAnsi" w:hAnsiTheme="minorHAnsi" w:cstheme="minorHAnsi"/>
                <w:lang w:val="la-Latn"/>
              </w:rPr>
              <w:t>nobis autem a natura constantiae, moderationis, temperantiae, verecundiae partes datae sunt.</w:t>
            </w:r>
          </w:p>
        </w:tc>
        <w:tc>
          <w:tcPr>
            <w:tcW w:w="4814" w:type="dxa"/>
          </w:tcPr>
          <w:p w14:paraId="25FAF6AC" w14:textId="77777777" w:rsidR="006E0D2C" w:rsidRPr="00BC3CA1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>quōcircā: daher</w:t>
            </w:r>
          </w:p>
          <w:p w14:paraId="27D5D916" w14:textId="77777777" w:rsidR="006E0D2C" w:rsidRPr="00BC3CA1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>vitiōsus: die schlechten Charaktere (in den Theaterstücken)</w:t>
            </w:r>
          </w:p>
          <w:p w14:paraId="59C6550B" w14:textId="77777777" w:rsidR="006E0D2C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>decet (unpersönliches Verb): hier: es ist angemessen</w:t>
            </w:r>
          </w:p>
          <w:p w14:paraId="5ECBB762" w14:textId="2C627F9C" w:rsidR="001F0B8F" w:rsidRDefault="001F0B8F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E0D2C" w14:paraId="0F053F1F" w14:textId="77777777" w:rsidTr="006E0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0BE7D50" w14:textId="77777777" w:rsidR="006E0D2C" w:rsidRPr="003A2733" w:rsidRDefault="006E0D2C" w:rsidP="006E0D2C">
            <w:pPr>
              <w:pStyle w:val="StandardWeb"/>
              <w:spacing w:before="0" w:beforeAutospacing="0" w:after="0" w:afterAutospacing="0" w:line="312" w:lineRule="auto"/>
              <w:rPr>
                <w:rFonts w:asciiTheme="minorHAnsi" w:hAnsiTheme="minorHAnsi" w:cstheme="minorHAnsi"/>
                <w:lang w:val="la-Latn"/>
              </w:rPr>
            </w:pPr>
            <w:r w:rsidRPr="003A2733">
              <w:rPr>
                <w:rFonts w:asciiTheme="minorHAnsi" w:hAnsiTheme="minorHAnsi" w:cstheme="minorHAnsi"/>
                <w:lang w:val="la-Latn"/>
              </w:rPr>
              <w:t>Eadem natura nos etiam docet non neglegere,</w:t>
            </w:r>
          </w:p>
          <w:p w14:paraId="69931CED" w14:textId="26DA0D7A" w:rsidR="006E0D2C" w:rsidRDefault="006E0D2C" w:rsidP="001F0B8F">
            <w:pPr>
              <w:pStyle w:val="StandardWeb"/>
              <w:spacing w:before="0" w:beforeAutospacing="0" w:after="0" w:afterAutospacing="0" w:line="312" w:lineRule="auto"/>
              <w:ind w:left="709"/>
              <w:rPr>
                <w:rFonts w:asciiTheme="minorHAnsi" w:hAnsiTheme="minorHAnsi" w:cstheme="minorHAnsi"/>
              </w:rPr>
            </w:pPr>
            <w:r w:rsidRPr="003A2733">
              <w:rPr>
                <w:rFonts w:asciiTheme="minorHAnsi" w:hAnsiTheme="minorHAnsi" w:cstheme="minorHAnsi"/>
                <w:lang w:val="la-Latn"/>
              </w:rPr>
              <w:t>quemadmodum* nos adversus* homines geramus. …</w:t>
            </w:r>
          </w:p>
        </w:tc>
        <w:tc>
          <w:tcPr>
            <w:tcW w:w="4814" w:type="dxa"/>
          </w:tcPr>
          <w:p w14:paraId="68421094" w14:textId="77777777" w:rsidR="006E0D2C" w:rsidRPr="00BC3CA1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>quemadmodum: wie, auf welche Weise</w:t>
            </w:r>
          </w:p>
          <w:p w14:paraId="4BC9927A" w14:textId="4982E1F2" w:rsidR="006E0D2C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BC3CA1">
              <w:t>adversus</w:t>
            </w:r>
            <w:proofErr w:type="spellEnd"/>
            <w:r w:rsidRPr="00BC3CA1">
              <w:t>: gegenüber</w:t>
            </w:r>
          </w:p>
        </w:tc>
      </w:tr>
      <w:tr w:rsidR="006E0D2C" w14:paraId="787A939C" w14:textId="77777777" w:rsidTr="006E0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70C4BF6" w14:textId="77777777" w:rsidR="006E0D2C" w:rsidRPr="003A2733" w:rsidRDefault="006E0D2C" w:rsidP="006E0D2C">
            <w:pPr>
              <w:pStyle w:val="StandardWeb"/>
              <w:spacing w:before="0" w:beforeAutospacing="0" w:after="0" w:afterAutospacing="0" w:line="312" w:lineRule="auto"/>
              <w:ind w:left="709"/>
              <w:rPr>
                <w:rFonts w:asciiTheme="minorHAnsi" w:hAnsiTheme="minorHAnsi" w:cstheme="minorHAnsi"/>
                <w:lang w:val="la-Latn"/>
              </w:rPr>
            </w:pPr>
            <w:r w:rsidRPr="003A2733">
              <w:rPr>
                <w:rFonts w:asciiTheme="minorHAnsi" w:hAnsiTheme="minorHAnsi" w:cstheme="minorHAnsi"/>
                <w:color w:val="997F7F"/>
                <w:lang w:val="la-Latn"/>
              </w:rPr>
              <w:t xml:space="preserve">Ut </w:t>
            </w:r>
            <w:r w:rsidRPr="003A2733">
              <w:rPr>
                <w:rFonts w:asciiTheme="minorHAnsi" w:hAnsiTheme="minorHAnsi" w:cstheme="minorHAnsi"/>
                <w:lang w:val="la-Latn"/>
              </w:rPr>
              <w:t>enim pulchritudo corporis apta* compositione membrorum movet oculos et delectat hoc ipso,</w:t>
            </w:r>
          </w:p>
          <w:p w14:paraId="5DCB01D2" w14:textId="77777777" w:rsidR="006E0D2C" w:rsidRPr="00BC3CA1" w:rsidRDefault="006E0D2C" w:rsidP="006E0D2C">
            <w:pPr>
              <w:pStyle w:val="StandardWeb"/>
              <w:spacing w:before="0" w:beforeAutospacing="0" w:after="0" w:afterAutospacing="0" w:line="312" w:lineRule="auto"/>
              <w:ind w:left="1418"/>
              <w:rPr>
                <w:rFonts w:asciiTheme="minorHAnsi" w:hAnsiTheme="minorHAnsi" w:cstheme="minorHAnsi"/>
              </w:rPr>
            </w:pPr>
            <w:r w:rsidRPr="003A2733">
              <w:rPr>
                <w:rFonts w:asciiTheme="minorHAnsi" w:hAnsiTheme="minorHAnsi" w:cstheme="minorHAnsi"/>
                <w:color w:val="997F7F"/>
                <w:lang w:val="la-Latn"/>
              </w:rPr>
              <w:t xml:space="preserve">quod </w:t>
            </w:r>
            <w:r w:rsidRPr="003A2733">
              <w:rPr>
                <w:rFonts w:asciiTheme="minorHAnsi" w:hAnsiTheme="minorHAnsi" w:cstheme="minorHAnsi"/>
                <w:lang w:val="la-Latn"/>
              </w:rPr>
              <w:t>inter se omnes partes cum quodam lepore* consentiunt,</w:t>
            </w:r>
          </w:p>
          <w:p w14:paraId="5011ACE1" w14:textId="77777777" w:rsidR="006E0D2C" w:rsidRPr="00934D75" w:rsidRDefault="006E0D2C" w:rsidP="006E0D2C">
            <w:pPr>
              <w:pStyle w:val="StandardWeb"/>
              <w:spacing w:before="0" w:beforeAutospacing="0" w:after="0" w:afterAutospacing="0" w:line="312" w:lineRule="auto"/>
              <w:ind w:left="113"/>
              <w:rPr>
                <w:rFonts w:asciiTheme="minorHAnsi" w:hAnsiTheme="minorHAnsi" w:cstheme="minorHAnsi"/>
                <w:lang w:val="la-Latn"/>
              </w:rPr>
            </w:pPr>
            <w:r w:rsidRPr="00934D75">
              <w:rPr>
                <w:rFonts w:asciiTheme="minorHAnsi" w:hAnsiTheme="minorHAnsi" w:cstheme="minorHAnsi"/>
                <w:lang w:val="la-Latn"/>
              </w:rPr>
              <w:t>sic hoc decorum,</w:t>
            </w:r>
          </w:p>
          <w:p w14:paraId="51221A8A" w14:textId="77777777" w:rsidR="006E0D2C" w:rsidRPr="00934D75" w:rsidRDefault="006E0D2C" w:rsidP="006E0D2C">
            <w:pPr>
              <w:pStyle w:val="StandardWeb"/>
              <w:spacing w:before="0" w:beforeAutospacing="0" w:after="0" w:afterAutospacing="0" w:line="312" w:lineRule="auto"/>
              <w:ind w:left="709"/>
              <w:rPr>
                <w:rFonts w:asciiTheme="minorHAnsi" w:hAnsiTheme="minorHAnsi" w:cstheme="minorHAnsi"/>
                <w:lang w:val="la-Latn"/>
              </w:rPr>
            </w:pPr>
            <w:r w:rsidRPr="00934D75">
              <w:rPr>
                <w:rFonts w:asciiTheme="minorHAnsi" w:hAnsiTheme="minorHAnsi" w:cstheme="minorHAnsi"/>
                <w:color w:val="997F7F"/>
                <w:lang w:val="la-Latn"/>
              </w:rPr>
              <w:t xml:space="preserve">quod </w:t>
            </w:r>
            <w:r w:rsidRPr="00934D75">
              <w:rPr>
                <w:rFonts w:asciiTheme="minorHAnsi" w:hAnsiTheme="minorHAnsi" w:cstheme="minorHAnsi"/>
                <w:lang w:val="la-Latn"/>
              </w:rPr>
              <w:t>elucet</w:t>
            </w:r>
            <w:r>
              <w:rPr>
                <w:rFonts w:asciiTheme="minorHAnsi" w:hAnsiTheme="minorHAnsi" w:cstheme="minorHAnsi"/>
              </w:rPr>
              <w:t>*</w:t>
            </w:r>
            <w:r w:rsidRPr="00934D75">
              <w:rPr>
                <w:rFonts w:asciiTheme="minorHAnsi" w:hAnsiTheme="minorHAnsi" w:cstheme="minorHAnsi"/>
                <w:lang w:val="la-Latn"/>
              </w:rPr>
              <w:t xml:space="preserve"> in vita,</w:t>
            </w:r>
          </w:p>
          <w:p w14:paraId="24610211" w14:textId="77777777" w:rsidR="006E0D2C" w:rsidRPr="00934D75" w:rsidRDefault="006E0D2C" w:rsidP="006E0D2C">
            <w:pPr>
              <w:pStyle w:val="StandardWeb"/>
              <w:spacing w:before="0" w:beforeAutospacing="0" w:after="0" w:afterAutospacing="0" w:line="312" w:lineRule="auto"/>
              <w:ind w:left="113"/>
              <w:rPr>
                <w:rFonts w:asciiTheme="minorHAnsi" w:hAnsiTheme="minorHAnsi" w:cstheme="minorHAnsi"/>
                <w:lang w:val="la-Latn"/>
              </w:rPr>
            </w:pPr>
            <w:r w:rsidRPr="00934D75">
              <w:rPr>
                <w:rFonts w:asciiTheme="minorHAnsi" w:hAnsiTheme="minorHAnsi" w:cstheme="minorHAnsi"/>
                <w:lang w:val="la-Latn"/>
              </w:rPr>
              <w:t>movet approbationem</w:t>
            </w:r>
            <w:r>
              <w:rPr>
                <w:rFonts w:asciiTheme="minorHAnsi" w:hAnsiTheme="minorHAnsi" w:cstheme="minorHAnsi"/>
              </w:rPr>
              <w:t>*</w:t>
            </w:r>
            <w:r w:rsidRPr="00934D75">
              <w:rPr>
                <w:rFonts w:asciiTheme="minorHAnsi" w:hAnsiTheme="minorHAnsi" w:cstheme="minorHAnsi"/>
                <w:lang w:val="la-Latn"/>
              </w:rPr>
              <w:t xml:space="preserve"> eorum,</w:t>
            </w:r>
          </w:p>
          <w:p w14:paraId="3899092A" w14:textId="77777777" w:rsidR="006E0D2C" w:rsidRPr="00934D75" w:rsidRDefault="006E0D2C" w:rsidP="006E0D2C">
            <w:pPr>
              <w:pStyle w:val="StandardWeb"/>
              <w:spacing w:before="0" w:beforeAutospacing="0" w:after="0" w:afterAutospacing="0" w:line="312" w:lineRule="auto"/>
              <w:ind w:left="709"/>
              <w:rPr>
                <w:rFonts w:asciiTheme="minorHAnsi" w:hAnsiTheme="minorHAnsi" w:cstheme="minorHAnsi"/>
                <w:lang w:val="la-Latn"/>
              </w:rPr>
            </w:pPr>
            <w:r w:rsidRPr="00934D75">
              <w:rPr>
                <w:rFonts w:asciiTheme="minorHAnsi" w:hAnsiTheme="minorHAnsi" w:cstheme="minorHAnsi"/>
                <w:color w:val="997F7F"/>
                <w:lang w:val="la-Latn"/>
              </w:rPr>
              <w:t xml:space="preserve">quibuscum </w:t>
            </w:r>
            <w:r w:rsidRPr="00934D75">
              <w:rPr>
                <w:rFonts w:asciiTheme="minorHAnsi" w:hAnsiTheme="minorHAnsi" w:cstheme="minorHAnsi"/>
                <w:lang w:val="la-Latn"/>
              </w:rPr>
              <w:t>vivitur,</w:t>
            </w:r>
          </w:p>
          <w:p w14:paraId="660B6F7A" w14:textId="62015291" w:rsidR="006E0D2C" w:rsidRPr="003A2733" w:rsidRDefault="006E0D2C" w:rsidP="006E0D2C">
            <w:pPr>
              <w:pStyle w:val="StandardWeb"/>
              <w:spacing w:before="0" w:beforeAutospacing="0" w:after="0" w:afterAutospacing="0" w:line="312" w:lineRule="auto"/>
              <w:ind w:left="113"/>
              <w:rPr>
                <w:rFonts w:asciiTheme="minorHAnsi" w:hAnsiTheme="minorHAnsi" w:cstheme="minorHAnsi"/>
                <w:lang w:val="la-Latn"/>
              </w:rPr>
            </w:pPr>
            <w:r w:rsidRPr="00934D75">
              <w:rPr>
                <w:rFonts w:asciiTheme="minorHAnsi" w:hAnsiTheme="minorHAnsi" w:cstheme="minorHAnsi"/>
                <w:lang w:val="la-Latn"/>
              </w:rPr>
              <w:t>ordine et constantia et moderatione dictorum omnium atque factorum.</w:t>
            </w:r>
          </w:p>
        </w:tc>
        <w:tc>
          <w:tcPr>
            <w:tcW w:w="4814" w:type="dxa"/>
          </w:tcPr>
          <w:p w14:paraId="3E57E87E" w14:textId="77777777" w:rsidR="006E0D2C" w:rsidRPr="00BC3CA1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>aptus, apta, aptum: passend, angemessen</w:t>
            </w:r>
          </w:p>
          <w:p w14:paraId="4D7F09E8" w14:textId="77777777" w:rsidR="006E0D2C" w:rsidRPr="00BC3CA1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>lepus, leporis, n.: der Liebreiz, die Anmut, die Lieblichkeit</w:t>
            </w:r>
          </w:p>
          <w:p w14:paraId="1DABE4D9" w14:textId="77777777" w:rsidR="006E0D2C" w:rsidRPr="00BC3CA1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>ēlūcēre, ēlūceō, ēlūxī (kein PPP.): hervorleuchten</w:t>
            </w:r>
          </w:p>
          <w:p w14:paraId="5FC089FD" w14:textId="66770AF5" w:rsidR="006E0D2C" w:rsidRPr="00BC3CA1" w:rsidRDefault="006E0D2C" w:rsidP="006E0D2C">
            <w:pPr>
              <w:pStyle w:val="vokangabe2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CA1">
              <w:t>approbātiō, approbātiōnis, f.: die Billigung, die Zustimmung</w:t>
            </w:r>
          </w:p>
        </w:tc>
      </w:tr>
    </w:tbl>
    <w:p w14:paraId="0745129E" w14:textId="0BF2420C" w:rsidR="001A345E" w:rsidRDefault="001A345E" w:rsidP="00BC3CA1">
      <w:pPr>
        <w:pStyle w:val="StandardWeb"/>
        <w:rPr>
          <w:rFonts w:asciiTheme="minorHAnsi" w:hAnsiTheme="minorHAnsi" w:cstheme="minorHAnsi"/>
          <w:lang w:val="la-Latn"/>
        </w:rPr>
      </w:pPr>
    </w:p>
    <w:p w14:paraId="08DC4348" w14:textId="77777777" w:rsidR="001A345E" w:rsidRPr="001A345E" w:rsidRDefault="001A345E" w:rsidP="001A345E">
      <w:pPr>
        <w:rPr>
          <w:rFonts w:cstheme="minorHAnsi"/>
          <w:b/>
          <w:bCs/>
        </w:rPr>
      </w:pPr>
      <w:r w:rsidRPr="001A345E">
        <w:rPr>
          <w:rFonts w:cstheme="minorHAnsi"/>
          <w:b/>
          <w:bCs/>
        </w:rPr>
        <w:t>Vorschläge zur Diskussion</w:t>
      </w:r>
    </w:p>
    <w:p w14:paraId="050DE5A5" w14:textId="77777777" w:rsidR="001A345E" w:rsidRPr="001A345E" w:rsidRDefault="001A345E" w:rsidP="001A345E">
      <w:pPr>
        <w:numPr>
          <w:ilvl w:val="0"/>
          <w:numId w:val="10"/>
        </w:numPr>
        <w:rPr>
          <w:rFonts w:cstheme="minorHAnsi"/>
        </w:rPr>
      </w:pPr>
      <w:r w:rsidRPr="001A345E">
        <w:rPr>
          <w:rFonts w:cstheme="minorHAnsi"/>
        </w:rPr>
        <w:t>Suchen Sie aus diesem Textauszug Beispiele für das heraus, was sich gehört (</w:t>
      </w:r>
      <w:proofErr w:type="spellStart"/>
      <w:r w:rsidRPr="001A345E">
        <w:rPr>
          <w:rFonts w:cstheme="minorHAnsi"/>
        </w:rPr>
        <w:t>decet</w:t>
      </w:r>
      <w:proofErr w:type="spellEnd"/>
      <w:r w:rsidRPr="001A345E">
        <w:rPr>
          <w:rFonts w:cstheme="minorHAnsi"/>
        </w:rPr>
        <w:t>), und erörtern Sie, mit welchem deutschen Begriff man dieses Verhalten am besten zusammenfasst.</w:t>
      </w:r>
    </w:p>
    <w:p w14:paraId="012F9F2C" w14:textId="77777777" w:rsidR="001A345E" w:rsidRPr="001A345E" w:rsidRDefault="001A345E" w:rsidP="001A345E">
      <w:pPr>
        <w:numPr>
          <w:ilvl w:val="0"/>
          <w:numId w:val="10"/>
        </w:numPr>
        <w:rPr>
          <w:rFonts w:cstheme="minorHAnsi"/>
        </w:rPr>
      </w:pPr>
      <w:r w:rsidRPr="001A345E">
        <w:rPr>
          <w:rFonts w:cstheme="minorHAnsi"/>
        </w:rPr>
        <w:t>Suchen Sie die Textstellen heraus, in denen von der Kardinaltugend der Mäßigung (</w:t>
      </w:r>
      <w:proofErr w:type="spellStart"/>
      <w:r w:rsidRPr="001A345E">
        <w:rPr>
          <w:rFonts w:cstheme="minorHAnsi"/>
        </w:rPr>
        <w:t>moderatio</w:t>
      </w:r>
      <w:proofErr w:type="spellEnd"/>
      <w:r w:rsidRPr="001A345E">
        <w:rPr>
          <w:rFonts w:cstheme="minorHAnsi"/>
        </w:rPr>
        <w:t>) und dem verwandten Begriff der Selbstbeherrschung (</w:t>
      </w:r>
      <w:proofErr w:type="spellStart"/>
      <w:r w:rsidRPr="001A345E">
        <w:rPr>
          <w:rFonts w:cstheme="minorHAnsi"/>
        </w:rPr>
        <w:t>temperantia</w:t>
      </w:r>
      <w:proofErr w:type="spellEnd"/>
      <w:r w:rsidRPr="001A345E">
        <w:rPr>
          <w:rFonts w:cstheme="minorHAnsi"/>
        </w:rPr>
        <w:t>) die Rede ist, und erstellen Sie auf der Basis dieser Sätze ein Profil dieser speziellen Tugend.</w:t>
      </w:r>
    </w:p>
    <w:p w14:paraId="1AF9FF41" w14:textId="77777777" w:rsidR="001A345E" w:rsidRPr="001A345E" w:rsidRDefault="001A345E" w:rsidP="001A345E">
      <w:pPr>
        <w:numPr>
          <w:ilvl w:val="0"/>
          <w:numId w:val="10"/>
        </w:numPr>
        <w:rPr>
          <w:rFonts w:cstheme="minorHAnsi"/>
        </w:rPr>
      </w:pPr>
      <w:r w:rsidRPr="001A345E">
        <w:rPr>
          <w:rFonts w:cstheme="minorHAnsi"/>
        </w:rPr>
        <w:t>Diskutieren Sie, welche Bedeutung Sie heute dieser Tugend einräumen möchten und in welchen Lebensbereichen sie wichtig ist.</w:t>
      </w:r>
    </w:p>
    <w:p w14:paraId="497076BC" w14:textId="77777777" w:rsidR="007706D1" w:rsidRPr="00BC3CA1" w:rsidRDefault="007706D1" w:rsidP="0087587A">
      <w:pPr>
        <w:rPr>
          <w:rFonts w:cstheme="minorHAnsi"/>
        </w:rPr>
      </w:pPr>
    </w:p>
    <w:p w14:paraId="7A87DDC4" w14:textId="77777777" w:rsidR="0087587A" w:rsidRPr="00BC3CA1" w:rsidRDefault="0087587A" w:rsidP="0087587A">
      <w:pPr>
        <w:pBdr>
          <w:bottom w:val="single" w:sz="6" w:space="1" w:color="auto"/>
        </w:pBdr>
        <w:rPr>
          <w:rFonts w:cstheme="minorHAnsi"/>
        </w:rPr>
      </w:pPr>
    </w:p>
    <w:p w14:paraId="49538F61" w14:textId="77777777" w:rsidR="0087587A" w:rsidRPr="00BC3CA1" w:rsidRDefault="0087587A" w:rsidP="0087587A">
      <w:pPr>
        <w:rPr>
          <w:rFonts w:cstheme="minorHAnsi"/>
        </w:rPr>
      </w:pPr>
    </w:p>
    <w:p w14:paraId="25B05ABA" w14:textId="77777777" w:rsidR="0087587A" w:rsidRPr="00BC3CA1" w:rsidRDefault="0087587A" w:rsidP="0087587A">
      <w:pPr>
        <w:pStyle w:val="lbs-dokumente"/>
        <w:spacing w:after="160" w:line="312" w:lineRule="auto"/>
        <w:rPr>
          <w:rFonts w:asciiTheme="minorHAnsi" w:hAnsiTheme="minorHAnsi" w:cstheme="minorHAnsi"/>
        </w:rPr>
      </w:pPr>
      <w:r w:rsidRPr="00BC3CA1">
        <w:rPr>
          <w:rFonts w:asciiTheme="minorHAnsi" w:hAnsiTheme="minorHAnsi" w:cstheme="minorHAnsi"/>
        </w:rPr>
        <w:t xml:space="preserve">URL dieser Seite: </w:t>
      </w:r>
    </w:p>
    <w:p w14:paraId="799546EB" w14:textId="1E200CA5" w:rsidR="0087587A" w:rsidRPr="00BC3CA1" w:rsidRDefault="00A03AF0" w:rsidP="0087587A">
      <w:pPr>
        <w:pStyle w:val="lbs-dokumente"/>
        <w:spacing w:after="160" w:line="312" w:lineRule="auto"/>
        <w:rPr>
          <w:rFonts w:asciiTheme="minorHAnsi" w:hAnsiTheme="minorHAnsi" w:cstheme="minorHAnsi"/>
        </w:rPr>
      </w:pPr>
      <w:hyperlink r:id="rId11" w:history="1">
        <w:r w:rsidR="009B630D">
          <w:rPr>
            <w:rStyle w:val="Hyperlink"/>
            <w:rFonts w:asciiTheme="minorHAnsi" w:hAnsiTheme="minorHAnsi" w:cstheme="minorHAnsi"/>
          </w:rPr>
          <w:t>www.schule-bw.de/faecher-und-schularten/sprachen-und-literatur/latein/texte-und-medien/cicero-philosophie/de-officiis/1/cicero-de-officiis-1-93-decorum.html</w:t>
        </w:r>
      </w:hyperlink>
      <w:r w:rsidR="0087587A" w:rsidRPr="00BC3CA1">
        <w:rPr>
          <w:rFonts w:asciiTheme="minorHAnsi" w:hAnsiTheme="minorHAnsi" w:cstheme="minorHAnsi"/>
        </w:rPr>
        <w:t xml:space="preserve"> </w:t>
      </w:r>
      <w:r w:rsidR="00583A6F">
        <w:rPr>
          <w:rFonts w:asciiTheme="minorHAnsi" w:hAnsiTheme="minorHAnsi" w:cstheme="minorHAnsi"/>
        </w:rPr>
        <w:t>–</w:t>
      </w:r>
      <w:r w:rsidR="0087587A" w:rsidRPr="00BC3CA1">
        <w:rPr>
          <w:rFonts w:asciiTheme="minorHAnsi" w:hAnsiTheme="minorHAnsi" w:cstheme="minorHAnsi"/>
        </w:rPr>
        <w:t xml:space="preserve"> Dort sind auch Links zu den Deklinations- und Konjugationstabellen eingefügt.</w:t>
      </w:r>
    </w:p>
    <w:p w14:paraId="6ECE8BCC" w14:textId="77777777" w:rsidR="0087587A" w:rsidRPr="00BC3CA1" w:rsidRDefault="0087587A" w:rsidP="0087587A">
      <w:pPr>
        <w:rPr>
          <w:rFonts w:cstheme="minorHAnsi"/>
        </w:rPr>
      </w:pPr>
    </w:p>
    <w:sectPr w:rsidR="0087587A" w:rsidRPr="00BC3CA1">
      <w:headerReference w:type="default" r:id="rId12"/>
      <w:footerReference w:type="default" r:id="rId13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2FB3" w14:textId="77777777" w:rsidR="00A03AF0" w:rsidRDefault="00A03AF0">
      <w:r>
        <w:separator/>
      </w:r>
    </w:p>
  </w:endnote>
  <w:endnote w:type="continuationSeparator" w:id="0">
    <w:p w14:paraId="209E7944" w14:textId="77777777" w:rsidR="00A03AF0" w:rsidRDefault="00A0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22406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5E2CCD20" w14:textId="77777777" w:rsidR="00202DA3" w:rsidRDefault="00A03AF0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AA2B" w14:textId="77777777" w:rsidR="00A03AF0" w:rsidRDefault="00A03AF0">
      <w:r>
        <w:rPr>
          <w:color w:val="000000"/>
        </w:rPr>
        <w:separator/>
      </w:r>
    </w:p>
  </w:footnote>
  <w:footnote w:type="continuationSeparator" w:id="0">
    <w:p w14:paraId="283EA33E" w14:textId="77777777" w:rsidR="00A03AF0" w:rsidRDefault="00A0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313B0280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DEF4D9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63751D" wp14:editId="2590E3B4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B6403A6" w14:textId="77777777" w:rsidR="00202DA3" w:rsidRDefault="00A03AF0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6ECB07A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BC3CA1">
            <w:rPr>
              <w:rFonts w:ascii="Arial Rounded MT Bold" w:hAnsi="Arial Rounded MT Bold"/>
            </w:rPr>
            <w:t>Cicero, De officiis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3FDBBB99" w14:textId="77777777" w:rsidR="00202DA3" w:rsidRDefault="00A03AF0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6CA5"/>
    <w:multiLevelType w:val="multilevel"/>
    <w:tmpl w:val="8BF0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A1"/>
    <w:rsid w:val="000B1C26"/>
    <w:rsid w:val="000C339D"/>
    <w:rsid w:val="000D2727"/>
    <w:rsid w:val="000F479F"/>
    <w:rsid w:val="00106877"/>
    <w:rsid w:val="0011066F"/>
    <w:rsid w:val="00117386"/>
    <w:rsid w:val="00145691"/>
    <w:rsid w:val="00166926"/>
    <w:rsid w:val="00183C37"/>
    <w:rsid w:val="00190BF2"/>
    <w:rsid w:val="001967D9"/>
    <w:rsid w:val="001A1D2B"/>
    <w:rsid w:val="001A345E"/>
    <w:rsid w:val="001C4C76"/>
    <w:rsid w:val="001F0B8F"/>
    <w:rsid w:val="00233A5B"/>
    <w:rsid w:val="00236A27"/>
    <w:rsid w:val="00244475"/>
    <w:rsid w:val="002A2C7D"/>
    <w:rsid w:val="00306B8E"/>
    <w:rsid w:val="00307B4B"/>
    <w:rsid w:val="00337058"/>
    <w:rsid w:val="00351F90"/>
    <w:rsid w:val="003607EF"/>
    <w:rsid w:val="00365074"/>
    <w:rsid w:val="00366BD9"/>
    <w:rsid w:val="003A2733"/>
    <w:rsid w:val="003B2700"/>
    <w:rsid w:val="003B2712"/>
    <w:rsid w:val="003C11DC"/>
    <w:rsid w:val="003F4688"/>
    <w:rsid w:val="004003FE"/>
    <w:rsid w:val="004548BE"/>
    <w:rsid w:val="00457C38"/>
    <w:rsid w:val="004B7822"/>
    <w:rsid w:val="005363FB"/>
    <w:rsid w:val="00550E4C"/>
    <w:rsid w:val="00583A6F"/>
    <w:rsid w:val="005B59AE"/>
    <w:rsid w:val="00634D1A"/>
    <w:rsid w:val="0064466F"/>
    <w:rsid w:val="006636B4"/>
    <w:rsid w:val="006C3FB0"/>
    <w:rsid w:val="006E0D2C"/>
    <w:rsid w:val="006E2009"/>
    <w:rsid w:val="00703501"/>
    <w:rsid w:val="00713F75"/>
    <w:rsid w:val="00715A15"/>
    <w:rsid w:val="00725323"/>
    <w:rsid w:val="007378B4"/>
    <w:rsid w:val="007405FE"/>
    <w:rsid w:val="00767830"/>
    <w:rsid w:val="007706D1"/>
    <w:rsid w:val="00777322"/>
    <w:rsid w:val="007A57C0"/>
    <w:rsid w:val="007B0B47"/>
    <w:rsid w:val="007C4648"/>
    <w:rsid w:val="00815310"/>
    <w:rsid w:val="00844928"/>
    <w:rsid w:val="0087372C"/>
    <w:rsid w:val="0087587A"/>
    <w:rsid w:val="00885D32"/>
    <w:rsid w:val="008867CF"/>
    <w:rsid w:val="008952E0"/>
    <w:rsid w:val="008C2639"/>
    <w:rsid w:val="00913DD3"/>
    <w:rsid w:val="00933128"/>
    <w:rsid w:val="00934D75"/>
    <w:rsid w:val="009423E5"/>
    <w:rsid w:val="0094734E"/>
    <w:rsid w:val="009705F0"/>
    <w:rsid w:val="009B630D"/>
    <w:rsid w:val="009E3034"/>
    <w:rsid w:val="00A03AF0"/>
    <w:rsid w:val="00A11184"/>
    <w:rsid w:val="00A1560D"/>
    <w:rsid w:val="00A31A85"/>
    <w:rsid w:val="00A731B3"/>
    <w:rsid w:val="00A74429"/>
    <w:rsid w:val="00A9020B"/>
    <w:rsid w:val="00A941F0"/>
    <w:rsid w:val="00B14434"/>
    <w:rsid w:val="00B30055"/>
    <w:rsid w:val="00B447D9"/>
    <w:rsid w:val="00B87D12"/>
    <w:rsid w:val="00BA1A03"/>
    <w:rsid w:val="00BC3CA1"/>
    <w:rsid w:val="00C026B3"/>
    <w:rsid w:val="00C213B4"/>
    <w:rsid w:val="00CE52D7"/>
    <w:rsid w:val="00D062B6"/>
    <w:rsid w:val="00D5601F"/>
    <w:rsid w:val="00DF1DE7"/>
    <w:rsid w:val="00DF3B9F"/>
    <w:rsid w:val="00E67FDB"/>
    <w:rsid w:val="00E72C73"/>
    <w:rsid w:val="00EB58F4"/>
    <w:rsid w:val="00ED1B4E"/>
    <w:rsid w:val="00F103ED"/>
    <w:rsid w:val="00F152EB"/>
    <w:rsid w:val="00F35936"/>
    <w:rsid w:val="00F44721"/>
    <w:rsid w:val="00F63340"/>
    <w:rsid w:val="00F64624"/>
    <w:rsid w:val="00F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80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paragraph" w:customStyle="1" w:styleId="vokangabe2">
    <w:name w:val="vokangabe2"/>
    <w:basedOn w:val="Standard"/>
    <w:link w:val="vokangabe2Zchn"/>
    <w:autoRedefine/>
    <w:qFormat/>
    <w:rsid w:val="001F0B8F"/>
    <w:pPr>
      <w:framePr w:hSpace="141" w:wrap="around" w:vAnchor="text" w:hAnchor="page" w:x="6731" w:y="-46"/>
      <w:spacing w:after="120" w:line="264" w:lineRule="auto"/>
      <w:ind w:left="284" w:hanging="284"/>
    </w:pPr>
    <w:rPr>
      <w:rFonts w:ascii="Arial" w:eastAsia="Calibri" w:hAnsi="Arial" w:cs="Calibri"/>
      <w:noProof/>
      <w:sz w:val="20"/>
      <w:szCs w:val="20"/>
      <w:lang w:val="la-Latn" w:eastAsia="de-DE" w:bidi="ar-SA"/>
    </w:rPr>
  </w:style>
  <w:style w:type="character" w:customStyle="1" w:styleId="vokangabe2Zchn">
    <w:name w:val="vokangabe2 Zchn"/>
    <w:basedOn w:val="Absatz-Standardschriftart"/>
    <w:link w:val="vokangabe2"/>
    <w:rsid w:val="001F0B8F"/>
    <w:rPr>
      <w:rFonts w:ascii="Arial" w:eastAsia="Calibri" w:hAnsi="Arial" w:cs="Calibri"/>
      <w:noProof/>
      <w:sz w:val="20"/>
      <w:szCs w:val="20"/>
      <w:lang w:val="la-Latn" w:eastAsia="de-DE" w:bidi="ar-SA"/>
    </w:rPr>
  </w:style>
  <w:style w:type="paragraph" w:customStyle="1" w:styleId="Erluterung1">
    <w:name w:val="Erläuterung1"/>
    <w:basedOn w:val="Standard"/>
    <w:autoRedefine/>
    <w:qFormat/>
    <w:rsid w:val="00E67FDB"/>
    <w:pPr>
      <w:spacing w:before="240" w:after="240" w:line="288" w:lineRule="auto"/>
      <w:jc w:val="both"/>
    </w:pPr>
    <w:rPr>
      <w:rFonts w:ascii="Verdana" w:eastAsia="Calibri" w:hAnsi="Verdana" w:cs="Arial"/>
      <w:noProof/>
      <w:sz w:val="20"/>
      <w:szCs w:val="20"/>
      <w:lang w:eastAsia="de-DE" w:bidi="ar-SA"/>
    </w:rPr>
  </w:style>
  <w:style w:type="paragraph" w:styleId="StandardWeb">
    <w:name w:val="Normal (Web)"/>
    <w:basedOn w:val="Standard"/>
    <w:uiPriority w:val="99"/>
    <w:unhideWhenUsed/>
    <w:rsid w:val="00BC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table" w:styleId="TabellemithellemGitternetz">
    <w:name w:val="Grid Table Light"/>
    <w:basedOn w:val="NormaleTabelle"/>
    <w:uiPriority w:val="40"/>
    <w:rsid w:val="00BC3C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showbody">
    <w:name w:val="showbody"/>
    <w:basedOn w:val="Absatz-Standardschriftart"/>
    <w:rsid w:val="00BC3CA1"/>
  </w:style>
  <w:style w:type="table" w:styleId="Tabellenraster">
    <w:name w:val="Table Grid"/>
    <w:basedOn w:val="NormaleTabelle"/>
    <w:uiPriority w:val="39"/>
    <w:rsid w:val="00BC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15310"/>
    <w:rPr>
      <w:color w:val="3EBBF0" w:themeColor="followedHyperlink"/>
      <w:u w:val="single"/>
    </w:rPr>
  </w:style>
  <w:style w:type="table" w:customStyle="1" w:styleId="Uebersetzungstabelle">
    <w:name w:val="Uebersetzungstabelle"/>
    <w:basedOn w:val="NormaleTabelle"/>
    <w:uiPriority w:val="99"/>
    <w:rsid w:val="006E0D2C"/>
    <w:pPr>
      <w:spacing w:before="120" w:after="0" w:line="312" w:lineRule="auto"/>
      <w:contextualSpacing/>
    </w:pPr>
    <w:rPr>
      <w:sz w:val="21"/>
      <w:szCs w:val="21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85" w:type="dxa"/>
        <w:bottom w:w="57" w:type="dxa"/>
      </w:tblCellMar>
    </w:tblPr>
    <w:trPr>
      <w:cantSplit/>
    </w:trPr>
    <w:tblStylePr w:type="firstCol">
      <w:pPr>
        <w:wordWrap/>
        <w:spacing w:beforeLines="0" w:before="0" w:beforeAutospacing="0" w:afterLines="0" w:after="0" w:afterAutospacing="0" w:line="312" w:lineRule="auto"/>
        <w:ind w:firstLineChars="0" w:firstLine="0"/>
        <w:contextualSpacing/>
        <w:jc w:val="left"/>
      </w:pPr>
      <w:rPr>
        <w:rFonts w:asciiTheme="minorHAnsi" w:hAnsiTheme="minorHAnsi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satzlehre/relativsaetze/relativsatz-grammatik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faecher-und-schularten/sprachen-und-literatur/latein/texte-und-medien/cicero-philosophie/de-officiis/1/cicero-de-officiis-1-93-decoru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ta.perseus.org/citations/urn:cts:latinLit:phi0474.phi055.perseus-lat1:1.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satzlehre/hauptsatz-nebensaetze/lateinische-nebensaetze-oberstufe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9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C528-1813-4D4A-911A-4496A7E0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1301</Words>
  <Characters>8201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Cicero De officiis 1, 93</vt:lpstr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Cicero De officiis 1, 93</dc:title>
  <dc:creator/>
  <cp:lastModifiedBy/>
  <cp:revision>1</cp:revision>
  <dcterms:created xsi:type="dcterms:W3CDTF">2019-01-19T12:56:00Z</dcterms:created>
  <dcterms:modified xsi:type="dcterms:W3CDTF">2019-05-16T14:56:00Z</dcterms:modified>
</cp:coreProperties>
</file>