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7017D" w14:textId="77777777" w:rsidR="0072375B" w:rsidRDefault="0072375B" w:rsidP="0072375B">
      <w:pPr>
        <w:pStyle w:val="berschrift3"/>
        <w:pageBreakBefore/>
        <w:rPr>
          <w:rFonts w:ascii="Arial" w:hAnsi="Arial" w:cs="Arial"/>
          <w:iCs/>
        </w:rPr>
      </w:pPr>
      <w:bookmarkStart w:id="0" w:name="_Hlk532063751"/>
      <w:bookmarkStart w:id="1" w:name="_GoBack"/>
      <w:bookmarkEnd w:id="0"/>
      <w:bookmarkEnd w:id="1"/>
      <w:r>
        <w:rPr>
          <w:rFonts w:ascii="Arial" w:hAnsi="Arial" w:cs="Arial"/>
          <w:b/>
          <w:bCs/>
          <w:i w:val="0"/>
          <w:iCs/>
        </w:rPr>
        <w:t>Cicero, De officiis 3, 34: Schlechte Taten sind nie nützlich</w:t>
      </w:r>
    </w:p>
    <w:p w14:paraId="5AC10C79" w14:textId="77777777" w:rsidR="0072375B" w:rsidRDefault="0072375B" w:rsidP="0072375B">
      <w:pPr>
        <w:pStyle w:val="berschrift3"/>
        <w:rPr>
          <w:rFonts w:ascii="Arial" w:hAnsi="Arial" w:cs="Arial"/>
          <w:b/>
          <w:bCs/>
          <w:i w:val="0"/>
          <w:iCs/>
        </w:rPr>
      </w:pPr>
      <w:r>
        <w:rPr>
          <w:rFonts w:ascii="Arial" w:hAnsi="Arial" w:cs="Arial"/>
          <w:b/>
          <w:bCs/>
          <w:i w:val="0"/>
          <w:iCs/>
          <w:sz w:val="24"/>
          <w:szCs w:val="24"/>
        </w:rPr>
        <w:t>Panaitios hat zu Recht nur das Gute für nützlich erklärt.</w:t>
      </w:r>
    </w:p>
    <w:p w14:paraId="3B0865BC" w14:textId="086792FB" w:rsidR="00D52C50" w:rsidRDefault="00D52C50" w:rsidP="00D52C50">
      <w:pPr>
        <w:jc w:val="both"/>
      </w:pPr>
      <w:r>
        <w:t>In diesem Abschnitt leitet Cicero zu einer Abteilung des 3. Buches von De officiis über, in der er an vielen Beispielen zu zeigen versucht, dass es niemals echten Nutzen aus unrechten Taten geben kann. Zuerst erklärt er, wie der griechische Philosoph Panaitios das gesehen hat, an dem er sich in dem ganzen Werk De of</w:t>
      </w:r>
      <w:r w:rsidR="00FE1EC7">
        <w:t>f</w:t>
      </w:r>
      <w:r>
        <w:t>iciis orientiert.</w:t>
      </w:r>
    </w:p>
    <w:p w14:paraId="087E575E" w14:textId="2C9D778A" w:rsidR="000037C5" w:rsidRDefault="000037C5" w:rsidP="00D52C50">
      <w:pPr>
        <w:jc w:val="both"/>
      </w:pPr>
      <w:r>
        <w:t>*-Symbol: In der rechten Spalte gibt es eine Übersetzungshilfe.</w:t>
      </w:r>
    </w:p>
    <w:tbl>
      <w:tblPr>
        <w:tblStyle w:val="Uebersetzungstabelle"/>
        <w:tblW w:w="9493" w:type="dxa"/>
        <w:tblLook w:val="04A0" w:firstRow="1" w:lastRow="0" w:firstColumn="1" w:lastColumn="0" w:noHBand="0" w:noVBand="1"/>
      </w:tblPr>
      <w:tblGrid>
        <w:gridCol w:w="4531"/>
        <w:gridCol w:w="4962"/>
      </w:tblGrid>
      <w:tr w:rsidR="00EF29B3" w14:paraId="7367C044" w14:textId="77777777" w:rsidTr="00EF29B3">
        <w:tc>
          <w:tcPr>
            <w:cnfStyle w:val="001000000000" w:firstRow="0" w:lastRow="0" w:firstColumn="1" w:lastColumn="0" w:oddVBand="0" w:evenVBand="0" w:oddHBand="0" w:evenHBand="0" w:firstRowFirstColumn="0" w:firstRowLastColumn="0" w:lastRowFirstColumn="0" w:lastRowLastColumn="0"/>
            <w:tcW w:w="4531" w:type="dxa"/>
          </w:tcPr>
          <w:p w14:paraId="6A7B5456" w14:textId="185F55EA" w:rsidR="00EF29B3" w:rsidRPr="000037C5" w:rsidRDefault="00EF29B3" w:rsidP="00EF29B3">
            <w:r w:rsidRPr="000037C5">
              <w:t>3, 34</w:t>
            </w:r>
          </w:p>
          <w:p w14:paraId="692700CD" w14:textId="68EFF739" w:rsidR="00EF29B3" w:rsidRPr="000037C5" w:rsidRDefault="00EF29B3" w:rsidP="00EF29B3">
            <w:r w:rsidRPr="000037C5">
              <w:t>Ac primum in hōc Panaetius</w:t>
            </w:r>
            <w:r w:rsidR="000037C5" w:rsidRPr="000037C5">
              <w:t>*</w:t>
            </w:r>
            <w:r w:rsidRPr="000037C5">
              <w:t xml:space="preserve"> defendendus est,</w:t>
            </w:r>
          </w:p>
          <w:p w14:paraId="18569CE1" w14:textId="7E58651F" w:rsidR="00EF29B3" w:rsidRPr="000037C5" w:rsidRDefault="00EF29B3" w:rsidP="00EF29B3">
            <w:pPr>
              <w:ind w:left="708"/>
            </w:pPr>
            <w:r w:rsidRPr="000037C5">
              <w:t>quod non utilia</w:t>
            </w:r>
            <w:r w:rsidR="000037C5">
              <w:t>*</w:t>
            </w:r>
            <w:r w:rsidRPr="000037C5">
              <w:t xml:space="preserve"> cum honestis pugnare</w:t>
            </w:r>
            <w:r w:rsidR="000037C5">
              <w:t>*</w:t>
            </w:r>
            <w:r w:rsidRPr="000037C5">
              <w:t xml:space="preserve"> aliquando posse dixerit</w:t>
            </w:r>
          </w:p>
          <w:p w14:paraId="4DCD2680" w14:textId="202C580A" w:rsidR="00EF29B3" w:rsidRPr="000037C5" w:rsidRDefault="00EF29B3" w:rsidP="00EF29B3">
            <w:pPr>
              <w:ind w:left="708"/>
            </w:pPr>
            <w:r w:rsidRPr="000037C5">
              <w:t>– neque enim ei fas</w:t>
            </w:r>
            <w:r w:rsidR="000037C5">
              <w:t>*</w:t>
            </w:r>
            <w:r w:rsidRPr="000037C5">
              <w:t xml:space="preserve"> erat – ,</w:t>
            </w:r>
          </w:p>
          <w:p w14:paraId="524AD045" w14:textId="77777777" w:rsidR="00EF29B3" w:rsidRPr="000037C5" w:rsidRDefault="00EF29B3" w:rsidP="00EF29B3">
            <w:pPr>
              <w:ind w:left="708"/>
            </w:pPr>
            <w:r w:rsidRPr="000037C5">
              <w:t>sed ea,</w:t>
            </w:r>
          </w:p>
          <w:p w14:paraId="74A87552" w14:textId="603A422F" w:rsidR="00EF29B3" w:rsidRPr="000037C5" w:rsidRDefault="00EF29B3" w:rsidP="00EF29B3">
            <w:pPr>
              <w:ind w:left="1416"/>
            </w:pPr>
            <w:r w:rsidRPr="000037C5">
              <w:t>quae viderentur</w:t>
            </w:r>
            <w:r w:rsidR="000037C5">
              <w:t>*</w:t>
            </w:r>
            <w:r w:rsidRPr="000037C5">
              <w:t xml:space="preserve"> utilia.</w:t>
            </w:r>
          </w:p>
        </w:tc>
        <w:tc>
          <w:tcPr>
            <w:tcW w:w="4962" w:type="dxa"/>
          </w:tcPr>
          <w:p w14:paraId="3C890EEA"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 xml:space="preserve">Panaetius: der griechische Philosoph Panaitios von Rhodos (ca. 180 v. Chr. bis 110 v. Chr.; </w:t>
            </w:r>
            <w:hyperlink r:id="rId7" w:tgtFrame="_blank" w:history="1">
              <w:r>
                <w:rPr>
                  <w:rStyle w:val="Hyperlink"/>
                </w:rPr>
                <w:t>Wikipedia</w:t>
              </w:r>
            </w:hyperlink>
            <w:r>
              <w:t>), an dessen (verloren gegangenem) Werk über die Pflichten sich Cicero orientiert.</w:t>
            </w:r>
          </w:p>
          <w:p w14:paraId="710E0AF6"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utilia: beachten Sie, dass man diese Form des Neutrum Plural des Adjektivs utilis, utile mit „das Nützliche“ übersetzen kann.</w:t>
            </w:r>
          </w:p>
          <w:p w14:paraId="42C7650C"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rsidRPr="00D52C50">
              <w:rPr>
                <w:i/>
                <w:iCs/>
              </w:rPr>
              <w:t>pugnare</w:t>
            </w:r>
            <w:r>
              <w:t xml:space="preserve"> bedeutet in diesem Textabschnitt nur im übertragenen Sinne „kämpfen“. Sie können zum Übersetzen „in Widerspruch stehen“ verwenden.</w:t>
            </w:r>
          </w:p>
          <w:p w14:paraId="767C4390"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non ei fas est: es ist für ihn inakzeptabel</w:t>
            </w:r>
          </w:p>
          <w:p w14:paraId="7DA9BA94" w14:textId="1838F316"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 xml:space="preserve">viderentur: von </w:t>
            </w:r>
            <w:r w:rsidRPr="00D52C50">
              <w:t>vidēri</w:t>
            </w:r>
            <w:r w:rsidRPr="00D52C50">
              <w:rPr>
                <w:i/>
                <w:iCs/>
              </w:rPr>
              <w:t xml:space="preserve"> (vid</w:t>
            </w:r>
            <w:r>
              <w:t>eor, vīsus sum): scheinen. Hier kommt es Cicero auf den Unterschied zwischen Scheinen (etwas scheint nur so, ist es aber nicht) und Sein an (etwas ist wirklich so).</w:t>
            </w:r>
          </w:p>
        </w:tc>
      </w:tr>
      <w:tr w:rsidR="00EF29B3" w14:paraId="7A104617" w14:textId="77777777" w:rsidTr="00EF29B3">
        <w:tc>
          <w:tcPr>
            <w:cnfStyle w:val="001000000000" w:firstRow="0" w:lastRow="0" w:firstColumn="1" w:lastColumn="0" w:oddVBand="0" w:evenVBand="0" w:oddHBand="0" w:evenHBand="0" w:firstRowFirstColumn="0" w:firstRowLastColumn="0" w:lastRowFirstColumn="0" w:lastRowLastColumn="0"/>
            <w:tcW w:w="4531" w:type="dxa"/>
          </w:tcPr>
          <w:p w14:paraId="481CD610" w14:textId="77777777" w:rsidR="00EF29B3" w:rsidRPr="000037C5" w:rsidRDefault="00EF29B3" w:rsidP="00EF29B3">
            <w:r w:rsidRPr="000037C5">
              <w:rPr>
                <w:rFonts w:ascii="Courier" w:hAnsi="Courier"/>
              </w:rPr>
              <w:t xml:space="preserve">Nihil </w:t>
            </w:r>
            <w:r w:rsidRPr="000037C5">
              <w:t>vero utile,</w:t>
            </w:r>
          </w:p>
          <w:p w14:paraId="154D08BE" w14:textId="3609FB03" w:rsidR="00EF29B3" w:rsidRPr="000037C5" w:rsidRDefault="00EF29B3" w:rsidP="00EF29B3">
            <w:pPr>
              <w:ind w:left="708"/>
            </w:pPr>
            <w:r w:rsidRPr="000037C5">
              <w:t>quod non idem</w:t>
            </w:r>
            <w:r w:rsidR="000037C5">
              <w:t>*</w:t>
            </w:r>
            <w:r w:rsidRPr="000037C5">
              <w:t xml:space="preserve"> honestum,</w:t>
            </w:r>
          </w:p>
          <w:p w14:paraId="47552E33" w14:textId="77777777" w:rsidR="00EF29B3" w:rsidRPr="000037C5" w:rsidRDefault="00EF29B3" w:rsidP="00EF29B3">
            <w:r w:rsidRPr="000037C5">
              <w:rPr>
                <w:rFonts w:ascii="Courier" w:hAnsi="Courier"/>
              </w:rPr>
              <w:t xml:space="preserve">nihil </w:t>
            </w:r>
            <w:r w:rsidRPr="000037C5">
              <w:t>honestum,</w:t>
            </w:r>
          </w:p>
          <w:p w14:paraId="29DA37D1" w14:textId="78E27199" w:rsidR="00EF29B3" w:rsidRPr="000037C5" w:rsidRDefault="00EF29B3" w:rsidP="00EF29B3">
            <w:pPr>
              <w:ind w:left="708"/>
            </w:pPr>
            <w:r w:rsidRPr="000037C5">
              <w:t>quod non idem</w:t>
            </w:r>
            <w:r w:rsidR="000037C5">
              <w:t>*</w:t>
            </w:r>
            <w:r w:rsidRPr="000037C5">
              <w:t xml:space="preserve"> utile sit,</w:t>
            </w:r>
          </w:p>
          <w:p w14:paraId="339C05DF" w14:textId="37EF782F" w:rsidR="00EF29B3" w:rsidRPr="000037C5" w:rsidRDefault="00EF29B3" w:rsidP="00EF29B3">
            <w:r w:rsidRPr="000037C5">
              <w:t>saepe testatur</w:t>
            </w:r>
            <w:r w:rsidR="000037C5">
              <w:t>*</w:t>
            </w:r>
          </w:p>
          <w:p w14:paraId="039A17A7" w14:textId="222CE236" w:rsidR="00EF29B3" w:rsidRPr="000037C5" w:rsidRDefault="00EF29B3" w:rsidP="00EF29B3">
            <w:r w:rsidRPr="000037C5">
              <w:t>negat</w:t>
            </w:r>
            <w:r w:rsidRPr="000037C5">
              <w:rPr>
                <w:rFonts w:ascii="Courier" w:hAnsi="Courier"/>
              </w:rPr>
              <w:t>que</w:t>
            </w:r>
            <w:r w:rsidRPr="000037C5">
              <w:t xml:space="preserve"> ullam pestem</w:t>
            </w:r>
            <w:r w:rsidR="000037C5">
              <w:t>*</w:t>
            </w:r>
            <w:r w:rsidRPr="000037C5">
              <w:t xml:space="preserve"> maiorem in vitam hominum invasisse quam eorum opinionem,</w:t>
            </w:r>
          </w:p>
          <w:p w14:paraId="6E47DE52" w14:textId="2EEEED30" w:rsidR="00EF29B3" w:rsidRPr="000037C5" w:rsidRDefault="00EF29B3" w:rsidP="00BE2348">
            <w:pPr>
              <w:ind w:left="708"/>
            </w:pPr>
            <w:r w:rsidRPr="000037C5">
              <w:t>qui ista distraxerint</w:t>
            </w:r>
            <w:r w:rsidR="000037C5">
              <w:t>*</w:t>
            </w:r>
            <w:r w:rsidRPr="000037C5">
              <w:t>.</w:t>
            </w:r>
          </w:p>
        </w:tc>
        <w:tc>
          <w:tcPr>
            <w:tcW w:w="4962" w:type="dxa"/>
          </w:tcPr>
          <w:p w14:paraId="7BE1FDAC"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idem: wie meistens bei Cicero bedeutet idem „ebenso“. Der Kasus kann dann nicht übersetzt werden.</w:t>
            </w:r>
          </w:p>
          <w:p w14:paraId="27CD9B88"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 xml:space="preserve">testārī, testor, testātus sum: bezeugen. Subjekt ist </w:t>
            </w:r>
            <w:r w:rsidRPr="00D52C50">
              <w:rPr>
                <w:i/>
                <w:iCs/>
              </w:rPr>
              <w:t>Panaitios</w:t>
            </w:r>
            <w:r>
              <w:t>.</w:t>
            </w:r>
          </w:p>
          <w:p w14:paraId="15D4878D"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pestis, pestis, f.: das Übel; wörtlich: die Seuche, die Pest</w:t>
            </w:r>
          </w:p>
          <w:p w14:paraId="5628E61A" w14:textId="1560E938"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distrahere, distrahō, distrāxī, distractum: auseinanderreißen</w:t>
            </w:r>
          </w:p>
        </w:tc>
      </w:tr>
      <w:tr w:rsidR="00EF29B3" w14:paraId="35B7B2D7" w14:textId="77777777" w:rsidTr="00EF29B3">
        <w:tc>
          <w:tcPr>
            <w:cnfStyle w:val="001000000000" w:firstRow="0" w:lastRow="0" w:firstColumn="1" w:lastColumn="0" w:oddVBand="0" w:evenVBand="0" w:oddHBand="0" w:evenHBand="0" w:firstRowFirstColumn="0" w:firstRowLastColumn="0" w:lastRowFirstColumn="0" w:lastRowLastColumn="0"/>
            <w:tcW w:w="4531" w:type="dxa"/>
          </w:tcPr>
          <w:p w14:paraId="5BA96673" w14:textId="1F0E0D6D" w:rsidR="00EF29B3" w:rsidRPr="000037C5" w:rsidRDefault="00EF29B3" w:rsidP="00EF29B3">
            <w:pPr>
              <w:ind w:left="708"/>
            </w:pPr>
            <w:r w:rsidRPr="000037C5">
              <w:t>Itaque non ut aliquando anteponeremus</w:t>
            </w:r>
            <w:r w:rsidR="000037C5">
              <w:t>*</w:t>
            </w:r>
            <w:r w:rsidRPr="000037C5">
              <w:t xml:space="preserve"> utilia honestis,</w:t>
            </w:r>
          </w:p>
          <w:p w14:paraId="0CCC3B5F" w14:textId="7925D0E8" w:rsidR="00EF29B3" w:rsidRPr="000037C5" w:rsidRDefault="00EF29B3" w:rsidP="00EF29B3">
            <w:pPr>
              <w:ind w:left="708"/>
            </w:pPr>
            <w:r w:rsidRPr="000037C5">
              <w:t>sed ut ea sine errore diiudicaremus</w:t>
            </w:r>
            <w:r w:rsidR="000037C5">
              <w:t>*</w:t>
            </w:r>
            <w:r w:rsidRPr="000037C5">
              <w:t>,</w:t>
            </w:r>
          </w:p>
          <w:p w14:paraId="120E6D14" w14:textId="4A64DB25" w:rsidR="00EF29B3" w:rsidRPr="000037C5" w:rsidRDefault="00EF29B3" w:rsidP="00EF29B3">
            <w:pPr>
              <w:ind w:left="1416"/>
            </w:pPr>
            <w:r w:rsidRPr="000037C5">
              <w:t>si quando</w:t>
            </w:r>
            <w:r w:rsidR="000037C5">
              <w:t>*</w:t>
            </w:r>
            <w:r w:rsidRPr="000037C5">
              <w:t xml:space="preserve"> incidissent</w:t>
            </w:r>
            <w:r w:rsidR="000037C5">
              <w:t>*</w:t>
            </w:r>
            <w:r w:rsidRPr="000037C5">
              <w:t>,</w:t>
            </w:r>
          </w:p>
          <w:p w14:paraId="4E7B4945" w14:textId="77777777" w:rsidR="00EF29B3" w:rsidRPr="000037C5" w:rsidRDefault="00EF29B3" w:rsidP="00EF29B3">
            <w:r w:rsidRPr="000037C5">
              <w:t>induxit eam,</w:t>
            </w:r>
          </w:p>
          <w:p w14:paraId="6AB6ADF6" w14:textId="77777777" w:rsidR="00EF29B3" w:rsidRPr="000037C5" w:rsidRDefault="00EF29B3" w:rsidP="00EF29B3">
            <w:pPr>
              <w:ind w:left="708"/>
            </w:pPr>
            <w:r w:rsidRPr="000037C5">
              <w:t>quae videretur esse,</w:t>
            </w:r>
          </w:p>
          <w:p w14:paraId="7D3CA4A9" w14:textId="77777777" w:rsidR="00EF29B3" w:rsidRPr="000037C5" w:rsidRDefault="00EF29B3" w:rsidP="00EF29B3">
            <w:pPr>
              <w:ind w:left="708"/>
            </w:pPr>
            <w:r w:rsidRPr="000037C5">
              <w:t>non quae esset,</w:t>
            </w:r>
          </w:p>
          <w:p w14:paraId="573A3BD9" w14:textId="36F95DB8" w:rsidR="00EF29B3" w:rsidRPr="000037C5" w:rsidRDefault="00EF29B3" w:rsidP="00EF29B3">
            <w:pPr>
              <w:rPr>
                <w:rFonts w:ascii="Courier" w:hAnsi="Courier"/>
              </w:rPr>
            </w:pPr>
            <w:r w:rsidRPr="000037C5">
              <w:t>repugnantiam</w:t>
            </w:r>
            <w:r w:rsidR="000037C5">
              <w:t>*</w:t>
            </w:r>
            <w:r w:rsidRPr="000037C5">
              <w:t>.</w:t>
            </w:r>
          </w:p>
        </w:tc>
        <w:tc>
          <w:tcPr>
            <w:tcW w:w="4962" w:type="dxa"/>
          </w:tcPr>
          <w:p w14:paraId="006CC8A3"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anteponere: eine Sache einer anderen vorziehen. Kasus der Objekte wie im Deutschen: musicam (Akk.) labori (Dat.) antepono: Ich ziehe die Musik (Ak..) der Arbeit (labori) vor.</w:t>
            </w:r>
          </w:p>
          <w:p w14:paraId="6859D2F4"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dīiūdicāre: auseinanderhalten</w:t>
            </w:r>
          </w:p>
          <w:p w14:paraId="4762DE5D" w14:textId="77777777" w:rsidR="000037C5" w:rsidRDefault="000037C5" w:rsidP="000037C5">
            <w:pPr>
              <w:pStyle w:val="Vokabelangabe"/>
              <w:cnfStyle w:val="000000000000" w:firstRow="0" w:lastRow="0" w:firstColumn="0" w:lastColumn="0" w:oddVBand="0" w:evenVBand="0" w:oddHBand="0" w:evenHBand="0" w:firstRowFirstColumn="0" w:firstRowLastColumn="0" w:lastRowFirstColumn="0" w:lastRowLastColumn="0"/>
            </w:pPr>
            <w:r>
              <w:t xml:space="preserve">quando statt aliquando (irgendwann einmal). Die Vorsilbe ali- fällt wegen der Subjunktion </w:t>
            </w:r>
            <w:r>
              <w:rPr>
                <w:rStyle w:val="Hervorhebung"/>
              </w:rPr>
              <w:t>si</w:t>
            </w:r>
            <w:r>
              <w:t xml:space="preserve"> weg (Grundwortschatz: </w:t>
            </w:r>
            <w:hyperlink r:id="rId8" w:anchor="117" w:tgtFrame="_blank" w:history="1">
              <w:r>
                <w:rPr>
                  <w:rStyle w:val="Hyperlink"/>
                </w:rPr>
                <w:t>unbestimmte Pronomina</w:t>
              </w:r>
            </w:hyperlink>
            <w:r>
              <w:t>).</w:t>
            </w:r>
          </w:p>
          <w:p w14:paraId="58FECE41"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incidere (incidō, incidī [kein PPP.]) (gemeinsam) auftreten</w:t>
            </w:r>
          </w:p>
          <w:p w14:paraId="7016CCB2" w14:textId="002A270E"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repugnatia, repugnantiae, f.: der Widerspruch, der Gegensatz, die Unvereinbarkeit</w:t>
            </w:r>
          </w:p>
        </w:tc>
      </w:tr>
      <w:tr w:rsidR="00EF29B3" w14:paraId="24474612" w14:textId="77777777" w:rsidTr="00EF29B3">
        <w:tc>
          <w:tcPr>
            <w:cnfStyle w:val="001000000000" w:firstRow="0" w:lastRow="0" w:firstColumn="1" w:lastColumn="0" w:oddVBand="0" w:evenVBand="0" w:oddHBand="0" w:evenHBand="0" w:firstRowFirstColumn="0" w:firstRowLastColumn="0" w:lastRowFirstColumn="0" w:lastRowLastColumn="0"/>
            <w:tcW w:w="4531" w:type="dxa"/>
          </w:tcPr>
          <w:p w14:paraId="76ACB752" w14:textId="1BB975A2" w:rsidR="00EF29B3" w:rsidRPr="000037C5" w:rsidRDefault="00EF29B3" w:rsidP="00EF29B3">
            <w:r w:rsidRPr="000037C5">
              <w:lastRenderedPageBreak/>
              <w:t>Hanc igitur partem relictam explebimus nullis adminiculis</w:t>
            </w:r>
            <w:r w:rsidR="000037C5">
              <w:t>*</w:t>
            </w:r>
            <w:r w:rsidRPr="000037C5">
              <w:t>, sed, ut dicitur, Marte nostro</w:t>
            </w:r>
            <w:r w:rsidR="000037C5">
              <w:t>*</w:t>
            </w:r>
            <w:r w:rsidRPr="000037C5">
              <w:t>.</w:t>
            </w:r>
          </w:p>
          <w:p w14:paraId="5B01CC2F" w14:textId="71B8BF21" w:rsidR="00EF29B3" w:rsidRPr="000037C5" w:rsidRDefault="00EF29B3" w:rsidP="00EF29B3">
            <w:r w:rsidRPr="000037C5">
              <w:t>Neque enim quicquam est de hac parte</w:t>
            </w:r>
            <w:r w:rsidR="000037C5">
              <w:t>*</w:t>
            </w:r>
            <w:r w:rsidRPr="000037C5">
              <w:t xml:space="preserve"> post Panaetium</w:t>
            </w:r>
            <w:r w:rsidR="000037C5">
              <w:t>*</w:t>
            </w:r>
            <w:r w:rsidRPr="000037C5">
              <w:t xml:space="preserve"> explicatum,</w:t>
            </w:r>
          </w:p>
          <w:p w14:paraId="6F03099A" w14:textId="77777777" w:rsidR="00EF29B3" w:rsidRPr="000037C5" w:rsidRDefault="00EF29B3" w:rsidP="00EF29B3">
            <w:pPr>
              <w:ind w:left="708"/>
            </w:pPr>
            <w:r w:rsidRPr="000037C5">
              <w:t>quod quidem mihi probaretur,</w:t>
            </w:r>
          </w:p>
          <w:p w14:paraId="629453AD" w14:textId="77777777" w:rsidR="00EF29B3" w:rsidRPr="000037C5" w:rsidRDefault="00EF29B3" w:rsidP="00EF29B3">
            <w:r w:rsidRPr="000037C5">
              <w:t>de iis,</w:t>
            </w:r>
          </w:p>
          <w:p w14:paraId="0108C00E" w14:textId="6F5B0211" w:rsidR="00EF29B3" w:rsidRPr="000037C5" w:rsidRDefault="00EF29B3" w:rsidP="00EF29B3">
            <w:pPr>
              <w:ind w:left="708"/>
            </w:pPr>
            <w:r w:rsidRPr="000037C5">
              <w:t>quae in manus meas venerint.</w:t>
            </w:r>
          </w:p>
        </w:tc>
        <w:tc>
          <w:tcPr>
            <w:tcW w:w="4962" w:type="dxa"/>
          </w:tcPr>
          <w:p w14:paraId="65333DD0"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adminiculum, adminiculī, n.: die Hilfe (wörtlich: der Stützpfahl)</w:t>
            </w:r>
          </w:p>
          <w:p w14:paraId="79D7495F" w14:textId="77777777" w:rsidR="00EF29B3" w:rsidRPr="00FE1EC7"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rsidRPr="00FE1EC7">
              <w:t>Marte nostro: auf eigene Faust, auf eigene Verantwortung. Cicero meint hier, dass zwar die ersten beiden Bücher von De officiis und die erste Hälfte des dritten Buches an die Schriften anderer (v. a. des Panaitios) angelehnt waren, dass er nun aber eigene Gedanken und Beispiele vorträgt.</w:t>
            </w:r>
          </w:p>
          <w:p w14:paraId="5326C888" w14:textId="77777777"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de hac parte: zu dieser Sache</w:t>
            </w:r>
          </w:p>
          <w:p w14:paraId="47BC77A8" w14:textId="11E7EF89" w:rsidR="00EF29B3" w:rsidRDefault="00EF29B3" w:rsidP="00EF29B3">
            <w:pPr>
              <w:pStyle w:val="Vokabelangabe"/>
              <w:cnfStyle w:val="000000000000" w:firstRow="0" w:lastRow="0" w:firstColumn="0" w:lastColumn="0" w:oddVBand="0" w:evenVBand="0" w:oddHBand="0" w:evenHBand="0" w:firstRowFirstColumn="0" w:firstRowLastColumn="0" w:lastRowFirstColumn="0" w:lastRowLastColumn="0"/>
            </w:pPr>
            <w:r>
              <w:t>post Panaetium: gemeint ist: von den Philosophen, die nach Panaitios über das Nützliche nachgedacht haben.</w:t>
            </w:r>
          </w:p>
        </w:tc>
      </w:tr>
    </w:tbl>
    <w:p w14:paraId="4C22A9CD" w14:textId="77777777" w:rsidR="00EF29B3" w:rsidRDefault="00EF29B3" w:rsidP="00EF29B3"/>
    <w:p w14:paraId="56EDE42B" w14:textId="77777777" w:rsidR="005F30D0" w:rsidRDefault="005F30D0" w:rsidP="006869F4">
      <w:pPr>
        <w:spacing w:after="0"/>
        <w:rPr>
          <w:rStyle w:val="SchwacheHervorhebung"/>
          <w:i w:val="0"/>
        </w:rPr>
      </w:pPr>
    </w:p>
    <w:p w14:paraId="7F57399B" w14:textId="77777777" w:rsidR="005326E4" w:rsidRDefault="005326E4" w:rsidP="006869F4">
      <w:pPr>
        <w:spacing w:after="0"/>
        <w:rPr>
          <w:rStyle w:val="SchwacheHervorhebung"/>
          <w:i w:val="0"/>
        </w:rPr>
      </w:pPr>
    </w:p>
    <w:p w14:paraId="5049F667" w14:textId="77777777" w:rsidR="005326E4" w:rsidRDefault="005326E4" w:rsidP="006869F4">
      <w:pPr>
        <w:spacing w:after="0"/>
        <w:rPr>
          <w:rStyle w:val="Hyperlink"/>
        </w:rPr>
      </w:pPr>
      <w:r>
        <w:rPr>
          <w:rStyle w:val="SchwacheHervorhebung"/>
          <w:i w:val="0"/>
        </w:rPr>
        <w:t xml:space="preserve">URL dieser Seite: </w:t>
      </w:r>
      <w:hyperlink r:id="rId9" w:history="1">
        <w:r>
          <w:rPr>
            <w:rStyle w:val="Hyperlink"/>
          </w:rPr>
          <w:t>www.schule-bw.de/faecher-und-schularten/sprachen-und-literatur/latein/texte-und-medien/cicero-philosophie/de-officiis/3/cicero-de-officiis-3-34-das-nuetzliche.html</w:t>
        </w:r>
      </w:hyperlink>
    </w:p>
    <w:p w14:paraId="407EBA70" w14:textId="77777777" w:rsidR="0072375B" w:rsidRDefault="0072375B" w:rsidP="006869F4">
      <w:pPr>
        <w:spacing w:after="0"/>
        <w:rPr>
          <w:rStyle w:val="SchwacheHervorhebung"/>
          <w:i w:val="0"/>
        </w:rPr>
      </w:pPr>
    </w:p>
    <w:p w14:paraId="58C33F8A" w14:textId="09DD245A" w:rsidR="0072375B" w:rsidRDefault="0072375B" w:rsidP="006869F4">
      <w:pPr>
        <w:spacing w:after="0"/>
        <w:rPr>
          <w:rStyle w:val="SchwacheHervorhebung"/>
          <w:i w:val="0"/>
        </w:rPr>
      </w:pPr>
      <w:r w:rsidRPr="0072375B">
        <w:rPr>
          <w:rStyle w:val="SchwacheHervorhebung"/>
          <w:i w:val="0"/>
        </w:rPr>
        <w:t>Im HTML-Dokument sind Verlinkungen zur Formenlehre und zu grammatischen Erläuterungen enthalten.</w:t>
      </w:r>
    </w:p>
    <w:p w14:paraId="03C85269" w14:textId="370E4516" w:rsidR="00EF29B3" w:rsidRDefault="00EF29B3" w:rsidP="006869F4">
      <w:pPr>
        <w:spacing w:after="0"/>
        <w:rPr>
          <w:rStyle w:val="SchwacheHervorhebung"/>
          <w:i w:val="0"/>
        </w:rPr>
      </w:pPr>
    </w:p>
    <w:p w14:paraId="397D26A6" w14:textId="5A092E09" w:rsidR="00EF29B3" w:rsidRDefault="00EF29B3" w:rsidP="006869F4">
      <w:pPr>
        <w:spacing w:after="0"/>
        <w:rPr>
          <w:rStyle w:val="SchwacheHervorhebung"/>
          <w:i w:val="0"/>
        </w:rPr>
      </w:pPr>
      <w:r>
        <w:rPr>
          <w:rStyle w:val="SchwacheHervorhebung"/>
          <w:i w:val="0"/>
        </w:rPr>
        <w:t>Letzte Revision Mai 2019</w:t>
      </w:r>
    </w:p>
    <w:sectPr w:rsidR="00EF29B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E9ABC" w14:textId="77777777" w:rsidR="00A2084C" w:rsidRDefault="00A2084C" w:rsidP="00A66B90">
      <w:pPr>
        <w:spacing w:after="0" w:line="240" w:lineRule="auto"/>
      </w:pPr>
      <w:r>
        <w:separator/>
      </w:r>
    </w:p>
  </w:endnote>
  <w:endnote w:type="continuationSeparator" w:id="0">
    <w:p w14:paraId="3C17782A" w14:textId="77777777" w:rsidR="00A2084C" w:rsidRDefault="00A2084C" w:rsidP="00A6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28F7" w14:textId="77777777" w:rsidR="004D05DA" w:rsidRDefault="00A2084C" w:rsidP="004D05DA">
    <w:pPr>
      <w:pStyle w:val="Fuzeile"/>
    </w:pPr>
    <w:hyperlink r:id="rId1" w:tgtFrame="_blank" w:history="1">
      <w:r w:rsidR="004D05DA" w:rsidRPr="001A1D2B">
        <w:rPr>
          <w:rFonts w:ascii="Verdana" w:hAnsi="Verdana"/>
          <w:color w:val="0070C0"/>
          <w:sz w:val="20"/>
          <w:szCs w:val="20"/>
        </w:rPr>
        <w:t>www.latein-bw.de</w:t>
      </w:r>
    </w:hyperlink>
    <w:r w:rsidR="004D05DA" w:rsidRPr="001A1D2B">
      <w:rPr>
        <w:rFonts w:ascii="Verdana" w:hAnsi="Verdana"/>
        <w:color w:val="0070C0"/>
        <w:sz w:val="20"/>
        <w:szCs w:val="20"/>
      </w:rPr>
      <w:t xml:space="preserve"> </w:t>
    </w:r>
    <w:r w:rsidR="004D05DA">
      <w:rPr>
        <w:rFonts w:ascii="Verdana" w:hAnsi="Verdana"/>
        <w:sz w:val="20"/>
        <w:szCs w:val="20"/>
      </w:rPr>
      <w:tab/>
    </w:r>
    <w:r w:rsidR="004D05DA">
      <w:rPr>
        <w:rFonts w:ascii="Verdana" w:hAnsi="Verdana"/>
        <w:sz w:val="20"/>
        <w:szCs w:val="20"/>
      </w:rPr>
      <w:tab/>
      <w:t xml:space="preserve">Seite </w:t>
    </w:r>
    <w:r w:rsidR="004D05DA">
      <w:rPr>
        <w:rFonts w:ascii="Verdana" w:hAnsi="Verdana"/>
        <w:sz w:val="20"/>
        <w:szCs w:val="20"/>
      </w:rPr>
      <w:fldChar w:fldCharType="begin"/>
    </w:r>
    <w:r w:rsidR="004D05DA">
      <w:rPr>
        <w:rFonts w:ascii="Verdana" w:hAnsi="Verdana"/>
        <w:sz w:val="20"/>
        <w:szCs w:val="20"/>
      </w:rPr>
      <w:instrText xml:space="preserve"> PAGE </w:instrText>
    </w:r>
    <w:r w:rsidR="004D05DA">
      <w:rPr>
        <w:rFonts w:ascii="Verdana" w:hAnsi="Verdana"/>
        <w:sz w:val="20"/>
        <w:szCs w:val="20"/>
      </w:rPr>
      <w:fldChar w:fldCharType="separate"/>
    </w:r>
    <w:r w:rsidR="004D05DA">
      <w:rPr>
        <w:rFonts w:ascii="Verdana" w:hAnsi="Verdana"/>
        <w:sz w:val="20"/>
        <w:szCs w:val="20"/>
      </w:rPr>
      <w:t>4</w:t>
    </w:r>
    <w:r w:rsidR="004D05DA">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ADFE2" w14:textId="77777777" w:rsidR="00A2084C" w:rsidRDefault="00A2084C" w:rsidP="00A66B90">
      <w:pPr>
        <w:spacing w:after="0" w:line="240" w:lineRule="auto"/>
      </w:pPr>
      <w:r>
        <w:separator/>
      </w:r>
    </w:p>
  </w:footnote>
  <w:footnote w:type="continuationSeparator" w:id="0">
    <w:p w14:paraId="44D4993A" w14:textId="77777777" w:rsidR="00A2084C" w:rsidRDefault="00A2084C" w:rsidP="00A66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4D05DA" w14:paraId="055B3DE9" w14:textId="77777777" w:rsidTr="00355581">
      <w:trPr>
        <w:trHeight w:val="794"/>
      </w:trPr>
      <w:tc>
        <w:tcPr>
          <w:tcW w:w="3213" w:type="dxa"/>
          <w:tcMar>
            <w:top w:w="0" w:type="dxa"/>
            <w:left w:w="0" w:type="dxa"/>
            <w:bottom w:w="0" w:type="dxa"/>
            <w:right w:w="0" w:type="dxa"/>
          </w:tcMar>
          <w:vAlign w:val="center"/>
        </w:tcPr>
        <w:p w14:paraId="3B67A893" w14:textId="77777777" w:rsidR="004D05DA" w:rsidRDefault="004D05DA" w:rsidP="004D05DA">
          <w:pPr>
            <w:pStyle w:val="TableContents"/>
            <w:spacing w:before="0" w:after="0" w:line="240" w:lineRule="auto"/>
          </w:pPr>
          <w:r>
            <w:rPr>
              <w:noProof/>
            </w:rPr>
            <w:drawing>
              <wp:anchor distT="0" distB="0" distL="114300" distR="114300" simplePos="0" relativeHeight="251659264" behindDoc="0" locked="0" layoutInCell="1" allowOverlap="1" wp14:anchorId="2AB6E234" wp14:editId="4510A7CD">
                <wp:simplePos x="0" y="0"/>
                <wp:positionH relativeFrom="column">
                  <wp:posOffset>69840</wp:posOffset>
                </wp:positionH>
                <wp:positionV relativeFrom="paragraph">
                  <wp:posOffset>10800</wp:posOffset>
                </wp:positionV>
                <wp:extent cx="1522800" cy="485640"/>
                <wp:effectExtent l="0" t="0" r="1200" b="0"/>
                <wp:wrapTopAndBottom/>
                <wp:docPr id="1"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2800" cy="485640"/>
                        </a:xfrm>
                        <a:prstGeom prst="rect">
                          <a:avLst/>
                        </a:prstGeom>
                      </pic:spPr>
                    </pic:pic>
                  </a:graphicData>
                </a:graphic>
              </wp:anchor>
            </w:drawing>
          </w:r>
        </w:p>
      </w:tc>
      <w:tc>
        <w:tcPr>
          <w:tcW w:w="3213" w:type="dxa"/>
          <w:tcMar>
            <w:top w:w="0" w:type="dxa"/>
            <w:left w:w="0" w:type="dxa"/>
            <w:bottom w:w="0" w:type="dxa"/>
            <w:right w:w="0" w:type="dxa"/>
          </w:tcMar>
          <w:vAlign w:val="center"/>
        </w:tcPr>
        <w:p w14:paraId="12BADBFB" w14:textId="77777777" w:rsidR="004D05DA" w:rsidRDefault="004D05DA" w:rsidP="004D05DA">
          <w:pPr>
            <w:pStyle w:val="TableContents"/>
            <w:spacing w:before="0" w:after="0" w:line="240" w:lineRule="auto"/>
          </w:pPr>
        </w:p>
      </w:tc>
      <w:tc>
        <w:tcPr>
          <w:tcW w:w="3213" w:type="dxa"/>
          <w:tcMar>
            <w:top w:w="0" w:type="dxa"/>
            <w:left w:w="0" w:type="dxa"/>
            <w:bottom w:w="0" w:type="dxa"/>
            <w:right w:w="0" w:type="dxa"/>
          </w:tcMar>
          <w:vAlign w:val="center"/>
        </w:tcPr>
        <w:p w14:paraId="2595F817" w14:textId="77777777" w:rsidR="004D05DA" w:rsidRDefault="004D05DA" w:rsidP="004D05DA">
          <w:pPr>
            <w:pStyle w:val="TableContents"/>
            <w:spacing w:before="0" w:after="0" w:line="240" w:lineRule="auto"/>
            <w:jc w:val="right"/>
            <w:rPr>
              <w:rFonts w:ascii="Arial Rounded MT Bold" w:hAnsi="Arial Rounded MT Bold"/>
            </w:rPr>
          </w:pPr>
          <w:r>
            <w:rPr>
              <w:rFonts w:ascii="Arial Rounded MT Bold" w:hAnsi="Arial Rounded MT Bold"/>
            </w:rPr>
            <w:t xml:space="preserve">Lateinportal </w:t>
          </w:r>
          <w:r>
            <w:rPr>
              <w:rFonts w:ascii="Arial Rounded MT Bold" w:hAnsi="Arial Rounded MT Bold"/>
            </w:rPr>
            <w:br/>
            <w:t>Cicero: De officiis</w:t>
          </w:r>
          <w:r>
            <w:rPr>
              <w:rFonts w:ascii="Arial Rounded MT Bold" w:hAnsi="Arial Rounded MT Bold"/>
            </w:rPr>
            <w:br/>
          </w:r>
        </w:p>
      </w:tc>
    </w:tr>
  </w:tbl>
  <w:p w14:paraId="1862C5ED" w14:textId="77777777" w:rsidR="004D05DA" w:rsidRPr="004D05DA" w:rsidRDefault="004D05DA">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F4"/>
    <w:rsid w:val="000037C5"/>
    <w:rsid w:val="00010ECC"/>
    <w:rsid w:val="000B14EC"/>
    <w:rsid w:val="000B6BD7"/>
    <w:rsid w:val="000C63D8"/>
    <w:rsid w:val="00101675"/>
    <w:rsid w:val="001903A4"/>
    <w:rsid w:val="001913E2"/>
    <w:rsid w:val="00194F93"/>
    <w:rsid w:val="00195FBC"/>
    <w:rsid w:val="001C069B"/>
    <w:rsid w:val="002476E7"/>
    <w:rsid w:val="002501E2"/>
    <w:rsid w:val="0026231B"/>
    <w:rsid w:val="00285919"/>
    <w:rsid w:val="002A327E"/>
    <w:rsid w:val="002B2B93"/>
    <w:rsid w:val="002D2A22"/>
    <w:rsid w:val="002D3E7F"/>
    <w:rsid w:val="00344EBF"/>
    <w:rsid w:val="00347929"/>
    <w:rsid w:val="00393B31"/>
    <w:rsid w:val="003F6F48"/>
    <w:rsid w:val="0043479D"/>
    <w:rsid w:val="00471AF7"/>
    <w:rsid w:val="004C7E4C"/>
    <w:rsid w:val="004D05DA"/>
    <w:rsid w:val="004F2D82"/>
    <w:rsid w:val="00500008"/>
    <w:rsid w:val="005326E4"/>
    <w:rsid w:val="00553DBE"/>
    <w:rsid w:val="00575F0A"/>
    <w:rsid w:val="005A0184"/>
    <w:rsid w:val="005C1005"/>
    <w:rsid w:val="005C376D"/>
    <w:rsid w:val="005D2F31"/>
    <w:rsid w:val="005F21C0"/>
    <w:rsid w:val="005F30D0"/>
    <w:rsid w:val="005F4D78"/>
    <w:rsid w:val="0063455F"/>
    <w:rsid w:val="00646307"/>
    <w:rsid w:val="00667D43"/>
    <w:rsid w:val="006869F4"/>
    <w:rsid w:val="00687C95"/>
    <w:rsid w:val="006E609E"/>
    <w:rsid w:val="0072375B"/>
    <w:rsid w:val="00753906"/>
    <w:rsid w:val="007763AA"/>
    <w:rsid w:val="00785D18"/>
    <w:rsid w:val="007A2DEE"/>
    <w:rsid w:val="007B372E"/>
    <w:rsid w:val="007C597D"/>
    <w:rsid w:val="007E196D"/>
    <w:rsid w:val="007F4FA3"/>
    <w:rsid w:val="00880408"/>
    <w:rsid w:val="00896A4D"/>
    <w:rsid w:val="008B173C"/>
    <w:rsid w:val="009328C6"/>
    <w:rsid w:val="009C4571"/>
    <w:rsid w:val="009E17AF"/>
    <w:rsid w:val="00A2084C"/>
    <w:rsid w:val="00A2154A"/>
    <w:rsid w:val="00A66B90"/>
    <w:rsid w:val="00A80DA5"/>
    <w:rsid w:val="00A924F5"/>
    <w:rsid w:val="00AE0D4B"/>
    <w:rsid w:val="00B07FC6"/>
    <w:rsid w:val="00BB0BF1"/>
    <w:rsid w:val="00BE2348"/>
    <w:rsid w:val="00C079EA"/>
    <w:rsid w:val="00C8648B"/>
    <w:rsid w:val="00CF62C2"/>
    <w:rsid w:val="00D13B68"/>
    <w:rsid w:val="00D26D4F"/>
    <w:rsid w:val="00D3381C"/>
    <w:rsid w:val="00D474C3"/>
    <w:rsid w:val="00D52C50"/>
    <w:rsid w:val="00D647E7"/>
    <w:rsid w:val="00E57FA5"/>
    <w:rsid w:val="00EA6366"/>
    <w:rsid w:val="00EF29B3"/>
    <w:rsid w:val="00F7052F"/>
    <w:rsid w:val="00F81BBA"/>
    <w:rsid w:val="00F82CAD"/>
    <w:rsid w:val="00FA51A5"/>
    <w:rsid w:val="00FD4626"/>
    <w:rsid w:val="00FE1EC7"/>
    <w:rsid w:val="00FE68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CA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6F48"/>
  </w:style>
  <w:style w:type="paragraph" w:styleId="berschrift1">
    <w:name w:val="heading 1"/>
    <w:basedOn w:val="Standard"/>
    <w:next w:val="Standard"/>
    <w:link w:val="berschrift1Zchn"/>
    <w:autoRedefine/>
    <w:uiPriority w:val="9"/>
    <w:qFormat/>
    <w:rsid w:val="002476E7"/>
    <w:pPr>
      <w:keepNext/>
      <w:keepLines/>
      <w:spacing w:before="80" w:after="120" w:line="240" w:lineRule="auto"/>
      <w:outlineLvl w:val="0"/>
    </w:pPr>
    <w:rPr>
      <w:rFonts w:asciiTheme="majorHAnsi" w:eastAsiaTheme="majorEastAsia" w:hAnsiTheme="majorHAnsi" w:cstheme="majorBidi"/>
      <w:spacing w:val="10"/>
      <w:sz w:val="36"/>
      <w:szCs w:val="36"/>
    </w:rPr>
  </w:style>
  <w:style w:type="paragraph" w:styleId="berschrift2">
    <w:name w:val="heading 2"/>
    <w:basedOn w:val="Standard"/>
    <w:next w:val="Standard"/>
    <w:link w:val="berschrift2Zchn"/>
    <w:autoRedefine/>
    <w:uiPriority w:val="9"/>
    <w:unhideWhenUsed/>
    <w:qFormat/>
    <w:rsid w:val="002476E7"/>
    <w:pPr>
      <w:keepNext/>
      <w:keepLines/>
      <w:spacing w:before="120" w:after="120" w:line="288" w:lineRule="auto"/>
      <w:outlineLvl w:val="1"/>
    </w:pPr>
    <w:rPr>
      <w:rFonts w:asciiTheme="majorHAnsi" w:eastAsiaTheme="majorEastAsia" w:hAnsiTheme="majorHAnsi" w:cstheme="majorBidi"/>
      <w:sz w:val="36"/>
      <w:szCs w:val="36"/>
    </w:rPr>
  </w:style>
  <w:style w:type="paragraph" w:styleId="berschrift3">
    <w:name w:val="heading 3"/>
    <w:basedOn w:val="Standard"/>
    <w:next w:val="Standard"/>
    <w:link w:val="berschrift3Zchn"/>
    <w:uiPriority w:val="9"/>
    <w:unhideWhenUsed/>
    <w:qFormat/>
    <w:rsid w:val="002476E7"/>
    <w:pPr>
      <w:keepNext/>
      <w:keepLines/>
      <w:spacing w:before="80" w:after="60" w:line="288" w:lineRule="auto"/>
      <w:outlineLvl w:val="2"/>
    </w:pPr>
    <w:rPr>
      <w:rFonts w:asciiTheme="majorHAnsi" w:eastAsiaTheme="majorEastAsia" w:hAnsiTheme="majorHAnsi" w:cstheme="majorBidi"/>
      <w:i/>
      <w:sz w:val="28"/>
      <w:szCs w:val="28"/>
    </w:rPr>
  </w:style>
  <w:style w:type="paragraph" w:styleId="berschrift4">
    <w:name w:val="heading 4"/>
    <w:basedOn w:val="Standard"/>
    <w:next w:val="Standard"/>
    <w:link w:val="berschrift4Zchn"/>
    <w:uiPriority w:val="9"/>
    <w:semiHidden/>
    <w:unhideWhenUsed/>
    <w:qFormat/>
    <w:rsid w:val="006869F4"/>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semiHidden/>
    <w:unhideWhenUsed/>
    <w:qFormat/>
    <w:rsid w:val="006869F4"/>
    <w:pPr>
      <w:keepNext/>
      <w:keepLines/>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semiHidden/>
    <w:unhideWhenUsed/>
    <w:qFormat/>
    <w:rsid w:val="006869F4"/>
    <w:pPr>
      <w:keepNext/>
      <w:keepLines/>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semiHidden/>
    <w:unhideWhenUsed/>
    <w:qFormat/>
    <w:rsid w:val="006869F4"/>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6869F4"/>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semiHidden/>
    <w:unhideWhenUsed/>
    <w:qFormat/>
    <w:rsid w:val="006869F4"/>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476E7"/>
    <w:rPr>
      <w:rFonts w:asciiTheme="majorHAnsi" w:eastAsiaTheme="majorEastAsia" w:hAnsiTheme="majorHAnsi" w:cstheme="majorBidi"/>
      <w:sz w:val="36"/>
      <w:szCs w:val="36"/>
    </w:rPr>
  </w:style>
  <w:style w:type="character" w:customStyle="1" w:styleId="berschrift1Zchn">
    <w:name w:val="Überschrift 1 Zchn"/>
    <w:basedOn w:val="Absatz-Standardschriftart"/>
    <w:link w:val="berschrift1"/>
    <w:uiPriority w:val="9"/>
    <w:rsid w:val="002476E7"/>
    <w:rPr>
      <w:rFonts w:asciiTheme="majorHAnsi" w:eastAsiaTheme="majorEastAsia" w:hAnsiTheme="majorHAnsi" w:cstheme="majorBidi"/>
      <w:spacing w:val="10"/>
      <w:sz w:val="36"/>
      <w:szCs w:val="36"/>
    </w:rPr>
  </w:style>
  <w:style w:type="character" w:customStyle="1" w:styleId="berschrift3Zchn">
    <w:name w:val="Überschrift 3 Zchn"/>
    <w:basedOn w:val="Absatz-Standardschriftart"/>
    <w:link w:val="berschrift3"/>
    <w:uiPriority w:val="9"/>
    <w:rsid w:val="002476E7"/>
    <w:rPr>
      <w:rFonts w:asciiTheme="majorHAnsi" w:eastAsiaTheme="majorEastAsia" w:hAnsiTheme="majorHAnsi" w:cstheme="majorBidi"/>
      <w:i/>
      <w:sz w:val="28"/>
      <w:szCs w:val="28"/>
    </w:rPr>
  </w:style>
  <w:style w:type="character" w:customStyle="1" w:styleId="berschrift4Zchn">
    <w:name w:val="Überschrift 4 Zchn"/>
    <w:basedOn w:val="Absatz-Standardschriftart"/>
    <w:link w:val="berschrift4"/>
    <w:uiPriority w:val="9"/>
    <w:semiHidden/>
    <w:rsid w:val="006869F4"/>
    <w:rPr>
      <w:rFonts w:asciiTheme="majorHAnsi" w:eastAsiaTheme="majorEastAsia" w:hAnsiTheme="majorHAnsi" w:cstheme="majorBidi"/>
      <w:i/>
      <w:iCs/>
      <w:sz w:val="28"/>
      <w:szCs w:val="28"/>
    </w:rPr>
  </w:style>
  <w:style w:type="character" w:customStyle="1" w:styleId="berschrift5Zchn">
    <w:name w:val="Überschrift 5 Zchn"/>
    <w:basedOn w:val="Absatz-Standardschriftart"/>
    <w:link w:val="berschrift5"/>
    <w:uiPriority w:val="9"/>
    <w:semiHidden/>
    <w:rsid w:val="006869F4"/>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6869F4"/>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semiHidden/>
    <w:rsid w:val="006869F4"/>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6869F4"/>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semiHidden/>
    <w:rsid w:val="006869F4"/>
    <w:rPr>
      <w:rFonts w:asciiTheme="majorHAnsi" w:eastAsiaTheme="majorEastAsia" w:hAnsiTheme="majorHAnsi" w:cstheme="majorBidi"/>
      <w:i/>
      <w:iCs/>
      <w:caps/>
    </w:rPr>
  </w:style>
  <w:style w:type="paragraph" w:styleId="Beschriftung">
    <w:name w:val="caption"/>
    <w:basedOn w:val="Standard"/>
    <w:next w:val="Standard"/>
    <w:uiPriority w:val="35"/>
    <w:semiHidden/>
    <w:unhideWhenUsed/>
    <w:qFormat/>
    <w:rsid w:val="006869F4"/>
    <w:pPr>
      <w:spacing w:line="240" w:lineRule="auto"/>
    </w:pPr>
    <w:rPr>
      <w:b/>
      <w:bCs/>
      <w:color w:val="629DD1" w:themeColor="accent2"/>
      <w:spacing w:val="10"/>
      <w:sz w:val="16"/>
      <w:szCs w:val="16"/>
    </w:rPr>
  </w:style>
  <w:style w:type="paragraph" w:styleId="Titel">
    <w:name w:val="Title"/>
    <w:basedOn w:val="Standard"/>
    <w:next w:val="Standard"/>
    <w:link w:val="TitelZchn"/>
    <w:uiPriority w:val="10"/>
    <w:qFormat/>
    <w:rsid w:val="006869F4"/>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sid w:val="006869F4"/>
    <w:rPr>
      <w:rFonts w:asciiTheme="majorHAnsi" w:eastAsiaTheme="majorEastAsia" w:hAnsiTheme="majorHAnsi" w:cstheme="majorBidi"/>
      <w:caps/>
      <w:spacing w:val="40"/>
      <w:sz w:val="76"/>
      <w:szCs w:val="76"/>
    </w:rPr>
  </w:style>
  <w:style w:type="paragraph" w:styleId="Untertitel">
    <w:name w:val="Subtitle"/>
    <w:basedOn w:val="Standard"/>
    <w:next w:val="Standard"/>
    <w:link w:val="UntertitelZchn"/>
    <w:uiPriority w:val="11"/>
    <w:qFormat/>
    <w:rsid w:val="006869F4"/>
    <w:pPr>
      <w:numPr>
        <w:ilvl w:val="1"/>
      </w:numPr>
      <w:spacing w:after="240"/>
    </w:pPr>
    <w:rPr>
      <w:color w:val="000000" w:themeColor="text1"/>
      <w:sz w:val="24"/>
      <w:szCs w:val="24"/>
    </w:rPr>
  </w:style>
  <w:style w:type="character" w:customStyle="1" w:styleId="UntertitelZchn">
    <w:name w:val="Untertitel Zchn"/>
    <w:basedOn w:val="Absatz-Standardschriftart"/>
    <w:link w:val="Untertitel"/>
    <w:uiPriority w:val="11"/>
    <w:rsid w:val="006869F4"/>
    <w:rPr>
      <w:color w:val="000000" w:themeColor="text1"/>
      <w:sz w:val="24"/>
      <w:szCs w:val="24"/>
    </w:rPr>
  </w:style>
  <w:style w:type="character" w:styleId="Fett">
    <w:name w:val="Strong"/>
    <w:basedOn w:val="Absatz-Standardschriftart"/>
    <w:uiPriority w:val="22"/>
    <w:qFormat/>
    <w:rsid w:val="006869F4"/>
    <w:rPr>
      <w:rFonts w:asciiTheme="minorHAnsi" w:eastAsiaTheme="minorEastAsia" w:hAnsiTheme="minorHAnsi" w:cstheme="minorBidi"/>
      <w:b/>
      <w:bCs/>
      <w:spacing w:val="0"/>
      <w:w w:val="100"/>
      <w:position w:val="0"/>
      <w:sz w:val="20"/>
      <w:szCs w:val="20"/>
    </w:rPr>
  </w:style>
  <w:style w:type="character" w:styleId="Hervorhebung">
    <w:name w:val="Emphasis"/>
    <w:basedOn w:val="Absatz-Standardschriftart"/>
    <w:uiPriority w:val="20"/>
    <w:qFormat/>
    <w:rsid w:val="006869F4"/>
    <w:rPr>
      <w:rFonts w:asciiTheme="minorHAnsi" w:eastAsiaTheme="minorEastAsia" w:hAnsiTheme="minorHAnsi" w:cstheme="minorBidi"/>
      <w:i/>
      <w:iCs/>
      <w:color w:val="3476B1" w:themeColor="accent2" w:themeShade="BF"/>
      <w:sz w:val="20"/>
      <w:szCs w:val="20"/>
    </w:rPr>
  </w:style>
  <w:style w:type="paragraph" w:styleId="KeinLeerraum">
    <w:name w:val="No Spacing"/>
    <w:uiPriority w:val="1"/>
    <w:qFormat/>
    <w:rsid w:val="006869F4"/>
    <w:pPr>
      <w:spacing w:after="0" w:line="240" w:lineRule="auto"/>
    </w:pPr>
  </w:style>
  <w:style w:type="paragraph" w:styleId="Zitat">
    <w:name w:val="Quote"/>
    <w:basedOn w:val="Standard"/>
    <w:next w:val="Standard"/>
    <w:link w:val="ZitatZchn"/>
    <w:uiPriority w:val="29"/>
    <w:qFormat/>
    <w:rsid w:val="006869F4"/>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sid w:val="006869F4"/>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6869F4"/>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ivesZitatZchn">
    <w:name w:val="Intensives Zitat Zchn"/>
    <w:basedOn w:val="Absatz-Standardschriftart"/>
    <w:link w:val="IntensivesZitat"/>
    <w:uiPriority w:val="30"/>
    <w:rsid w:val="006869F4"/>
    <w:rPr>
      <w:rFonts w:asciiTheme="majorHAnsi" w:eastAsiaTheme="majorEastAsia" w:hAnsiTheme="majorHAnsi" w:cstheme="majorBidi"/>
      <w:caps/>
      <w:color w:val="3476B1" w:themeColor="accent2" w:themeShade="BF"/>
      <w:spacing w:val="10"/>
      <w:sz w:val="28"/>
      <w:szCs w:val="28"/>
    </w:rPr>
  </w:style>
  <w:style w:type="character" w:styleId="SchwacheHervorhebung">
    <w:name w:val="Subtle Emphasis"/>
    <w:basedOn w:val="Absatz-Standardschriftart"/>
    <w:uiPriority w:val="19"/>
    <w:qFormat/>
    <w:rsid w:val="006869F4"/>
    <w:rPr>
      <w:i/>
      <w:iCs/>
      <w:color w:val="auto"/>
    </w:rPr>
  </w:style>
  <w:style w:type="character" w:styleId="IntensiveHervorhebung">
    <w:name w:val="Intense Emphasis"/>
    <w:basedOn w:val="Absatz-Standardschriftart"/>
    <w:uiPriority w:val="21"/>
    <w:qFormat/>
    <w:rsid w:val="006869F4"/>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chwacherVerweis">
    <w:name w:val="Subtle Reference"/>
    <w:basedOn w:val="Absatz-Standardschriftart"/>
    <w:uiPriority w:val="31"/>
    <w:qFormat/>
    <w:rsid w:val="006869F4"/>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6869F4"/>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6869F4"/>
    <w:rPr>
      <w:rFonts w:asciiTheme="minorHAnsi" w:eastAsiaTheme="minorEastAsia" w:hAnsiTheme="minorHAnsi" w:cstheme="minorBidi"/>
      <w:b/>
      <w:bCs/>
      <w:i/>
      <w:iCs/>
      <w:caps w:val="0"/>
      <w:smallCaps w:val="0"/>
      <w:color w:val="auto"/>
      <w:spacing w:val="10"/>
      <w:w w:val="100"/>
      <w:sz w:val="20"/>
      <w:szCs w:val="20"/>
    </w:rPr>
  </w:style>
  <w:style w:type="paragraph" w:styleId="Inhaltsverzeichnisberschrift">
    <w:name w:val="TOC Heading"/>
    <w:basedOn w:val="berschrift1"/>
    <w:next w:val="Standard"/>
    <w:uiPriority w:val="39"/>
    <w:semiHidden/>
    <w:unhideWhenUsed/>
    <w:qFormat/>
    <w:rsid w:val="006869F4"/>
    <w:pPr>
      <w:outlineLvl w:val="9"/>
    </w:pPr>
  </w:style>
  <w:style w:type="paragraph" w:customStyle="1" w:styleId="Vokabelangabe-einrck">
    <w:name w:val="Vokabelangabe-einrück"/>
    <w:basedOn w:val="Standard"/>
    <w:link w:val="Vokabelangabe-einrckZchn"/>
    <w:rsid w:val="00FE1EC7"/>
    <w:pPr>
      <w:spacing w:after="100" w:line="264" w:lineRule="auto"/>
    </w:pPr>
  </w:style>
  <w:style w:type="character" w:customStyle="1" w:styleId="Vokabelangabe-einrckZchn">
    <w:name w:val="Vokabelangabe-einrück Zchn"/>
    <w:basedOn w:val="Absatz-Standardschriftart"/>
    <w:link w:val="Vokabelangabe-einrck"/>
    <w:rsid w:val="00FE1EC7"/>
  </w:style>
  <w:style w:type="paragraph" w:styleId="Kopfzeile">
    <w:name w:val="header"/>
    <w:basedOn w:val="Standard"/>
    <w:link w:val="KopfzeileZchn"/>
    <w:uiPriority w:val="99"/>
    <w:unhideWhenUsed/>
    <w:rsid w:val="00A66B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6B90"/>
  </w:style>
  <w:style w:type="paragraph" w:styleId="Fuzeile">
    <w:name w:val="footer"/>
    <w:basedOn w:val="Standard"/>
    <w:link w:val="FuzeileZchn"/>
    <w:unhideWhenUsed/>
    <w:rsid w:val="00A66B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6B90"/>
  </w:style>
  <w:style w:type="paragraph" w:customStyle="1" w:styleId="TableContents">
    <w:name w:val="Table Contents"/>
    <w:basedOn w:val="Standard"/>
    <w:rsid w:val="004D05DA"/>
    <w:pPr>
      <w:suppressLineNumbers/>
      <w:spacing w:before="200"/>
    </w:pPr>
    <w:rPr>
      <w:sz w:val="22"/>
      <w:szCs w:val="22"/>
      <w:lang w:eastAsia="zh-CN" w:bidi="hi-IN"/>
    </w:rPr>
  </w:style>
  <w:style w:type="paragraph" w:styleId="StandardWeb">
    <w:name w:val="Normal (Web)"/>
    <w:basedOn w:val="Standard"/>
    <w:uiPriority w:val="99"/>
    <w:semiHidden/>
    <w:unhideWhenUsed/>
    <w:rsid w:val="005F30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F30D0"/>
    <w:rPr>
      <w:color w:val="0000FF"/>
      <w:u w:val="single"/>
    </w:rPr>
  </w:style>
  <w:style w:type="table" w:styleId="TabellemithellemGitternetz">
    <w:name w:val="Grid Table Light"/>
    <w:basedOn w:val="NormaleTabelle"/>
    <w:uiPriority w:val="40"/>
    <w:rsid w:val="00A215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42" w:type="dxa"/>
      </w:tblCellMar>
    </w:tblPr>
  </w:style>
  <w:style w:type="table" w:styleId="Tabellenraster">
    <w:name w:val="Table Grid"/>
    <w:basedOn w:val="NormaleTabelle"/>
    <w:uiPriority w:val="39"/>
    <w:rsid w:val="00A21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D462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D4626"/>
    <w:rPr>
      <w:sz w:val="20"/>
      <w:szCs w:val="20"/>
    </w:rPr>
  </w:style>
  <w:style w:type="character" w:styleId="Funotenzeichen">
    <w:name w:val="footnote reference"/>
    <w:basedOn w:val="Absatz-Standardschriftart"/>
    <w:uiPriority w:val="99"/>
    <w:semiHidden/>
    <w:unhideWhenUsed/>
    <w:rsid w:val="00FD4626"/>
    <w:rPr>
      <w:vertAlign w:val="superscript"/>
    </w:rPr>
  </w:style>
  <w:style w:type="character" w:styleId="NichtaufgelsteErwhnung">
    <w:name w:val="Unresolved Mention"/>
    <w:basedOn w:val="Absatz-Standardschriftart"/>
    <w:uiPriority w:val="99"/>
    <w:semiHidden/>
    <w:unhideWhenUsed/>
    <w:rsid w:val="00FD4626"/>
    <w:rPr>
      <w:color w:val="605E5C"/>
      <w:shd w:val="clear" w:color="auto" w:fill="E1DFDD"/>
    </w:rPr>
  </w:style>
  <w:style w:type="table" w:customStyle="1" w:styleId="Uebersetzungstabelle">
    <w:name w:val="Uebersetzungstabelle"/>
    <w:basedOn w:val="NormaleTabelle"/>
    <w:uiPriority w:val="99"/>
    <w:rsid w:val="00EF29B3"/>
    <w:pPr>
      <w:spacing w:after="0" w:line="240" w:lineRule="auto"/>
    </w:pPr>
    <w:rPr>
      <w:lang w:eastAsia="zh-CN" w:bidi="hi-IN"/>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bottom w:w="57" w:type="dxa"/>
      </w:tblCellMar>
    </w:tblPr>
    <w:trPr>
      <w:cantSplit/>
    </w:trPr>
    <w:tblStylePr w:type="firstCol">
      <w:pPr>
        <w:wordWrap/>
        <w:spacing w:beforeLines="0" w:before="0" w:beforeAutospacing="0" w:afterLines="0" w:after="0" w:afterAutospacing="0" w:line="312" w:lineRule="auto"/>
        <w:ind w:firstLineChars="0" w:firstLine="0"/>
        <w:contextualSpacing/>
        <w:jc w:val="left"/>
      </w:pPr>
      <w:rPr>
        <w:rFonts w:asciiTheme="minorHAnsi" w:hAnsiTheme="minorHAnsi"/>
        <w:sz w:val="22"/>
      </w:rPr>
    </w:tblStylePr>
  </w:style>
  <w:style w:type="paragraph" w:customStyle="1" w:styleId="Vokabelangabe">
    <w:name w:val="Vokabelangabe"/>
    <w:basedOn w:val="Standard"/>
    <w:autoRedefine/>
    <w:qFormat/>
    <w:rsid w:val="00EF29B3"/>
    <w:pPr>
      <w:suppressLineNumbers/>
      <w:spacing w:before="120" w:after="60" w:line="240" w:lineRule="auto"/>
      <w:ind w:left="284" w:hanging="284"/>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79804">
      <w:bodyDiv w:val="1"/>
      <w:marLeft w:val="0"/>
      <w:marRight w:val="0"/>
      <w:marTop w:val="0"/>
      <w:marBottom w:val="0"/>
      <w:divBdr>
        <w:top w:val="none" w:sz="0" w:space="0" w:color="auto"/>
        <w:left w:val="none" w:sz="0" w:space="0" w:color="auto"/>
        <w:bottom w:val="none" w:sz="0" w:space="0" w:color="auto"/>
        <w:right w:val="none" w:sz="0" w:space="0" w:color="auto"/>
      </w:divBdr>
    </w:div>
    <w:div w:id="1033968201">
      <w:bodyDiv w:val="1"/>
      <w:marLeft w:val="0"/>
      <w:marRight w:val="0"/>
      <w:marTop w:val="0"/>
      <w:marBottom w:val="0"/>
      <w:divBdr>
        <w:top w:val="none" w:sz="0" w:space="0" w:color="auto"/>
        <w:left w:val="none" w:sz="0" w:space="0" w:color="auto"/>
        <w:bottom w:val="none" w:sz="0" w:space="0" w:color="auto"/>
        <w:right w:val="none" w:sz="0" w:space="0" w:color="auto"/>
      </w:divBdr>
    </w:div>
    <w:div w:id="1423793857">
      <w:bodyDiv w:val="1"/>
      <w:marLeft w:val="0"/>
      <w:marRight w:val="0"/>
      <w:marTop w:val="0"/>
      <w:marBottom w:val="0"/>
      <w:divBdr>
        <w:top w:val="none" w:sz="0" w:space="0" w:color="auto"/>
        <w:left w:val="none" w:sz="0" w:space="0" w:color="auto"/>
        <w:bottom w:val="none" w:sz="0" w:space="0" w:color="auto"/>
        <w:right w:val="none" w:sz="0" w:space="0" w:color="auto"/>
      </w:divBdr>
    </w:div>
    <w:div w:id="14784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e-bw.de/faecher-und-schularten/sprachen-und-literatur/latein/sprache/grundwortschatz/pronomina-und-unveraenderliche-woerter/pronomin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wikipedia.org/wiki/Panaitios_von_Rhod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hule-bw.de/faecher-und-schularten/sprachen-und-literatur/latein/texte-und-medien/cicero-philosophie/de-officiis/3/cicero-de-officiis-3-34-das-nuetzlich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atein-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bs-2">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rbundene Kant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E8E50DC-51D5-48D1-B252-14191615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Cicero, De officiis - Lateinportal beim Landesbildungsserver</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De officiis - Lateinportal beim Landesbildungsserver</dc:title>
  <dc:subject/>
  <dc:creator/>
  <cp:keywords/>
  <dc:description/>
  <cp:lastModifiedBy/>
  <cp:revision>1</cp:revision>
  <dcterms:created xsi:type="dcterms:W3CDTF">2019-01-06T11:46:00Z</dcterms:created>
  <dcterms:modified xsi:type="dcterms:W3CDTF">2019-05-24T14:20:00Z</dcterms:modified>
</cp:coreProperties>
</file>