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AA1" w:rsidRDefault="00822AA1">
      <w:pPr>
        <w:pStyle w:val="berschrift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C. </w:t>
      </w:r>
      <w:proofErr w:type="spellStart"/>
      <w:r>
        <w:rPr>
          <w:rFonts w:ascii="Arial" w:hAnsi="Arial"/>
          <w:sz w:val="22"/>
          <w:szCs w:val="22"/>
        </w:rPr>
        <w:t>Sallustius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Crispus</w:t>
      </w:r>
      <w:proofErr w:type="spellEnd"/>
      <w:r>
        <w:rPr>
          <w:rFonts w:ascii="Arial" w:hAnsi="Arial"/>
          <w:sz w:val="22"/>
          <w:szCs w:val="22"/>
        </w:rPr>
        <w:t xml:space="preserve">: </w:t>
      </w:r>
      <w:proofErr w:type="spellStart"/>
      <w:r>
        <w:rPr>
          <w:rFonts w:ascii="Arial" w:hAnsi="Arial"/>
          <w:sz w:val="22"/>
          <w:szCs w:val="22"/>
        </w:rPr>
        <w:t>Catilinae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Coniuratio</w:t>
      </w:r>
      <w:proofErr w:type="spellEnd"/>
    </w:p>
    <w:p w:rsidR="00F93EA1" w:rsidRDefault="00225EE1">
      <w:pPr>
        <w:pStyle w:val="berschrift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Aus Caesars Rede vor dem Senat</w:t>
      </w:r>
    </w:p>
    <w:p w:rsidR="00F93EA1" w:rsidRDefault="00225EE1" w:rsidP="00822AA1">
      <w:pPr>
        <w:pStyle w:val="Textbody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Nach der Aufdeckung der Verschwörung des </w:t>
      </w:r>
      <w:proofErr w:type="spellStart"/>
      <w:r>
        <w:rPr>
          <w:rFonts w:ascii="Arial" w:hAnsi="Arial"/>
          <w:sz w:val="22"/>
          <w:szCs w:val="22"/>
        </w:rPr>
        <w:t>Catilina</w:t>
      </w:r>
      <w:proofErr w:type="spellEnd"/>
      <w:r>
        <w:rPr>
          <w:rFonts w:ascii="Arial" w:hAnsi="Arial"/>
          <w:sz w:val="22"/>
          <w:szCs w:val="22"/>
        </w:rPr>
        <w:t xml:space="preserve"> berät der Senat im Jahr 63 v. Chr., wie mit den Aufständischen verfahren werden soll. C. </w:t>
      </w:r>
      <w:proofErr w:type="spellStart"/>
      <w:r>
        <w:rPr>
          <w:rFonts w:ascii="Arial" w:hAnsi="Arial"/>
          <w:sz w:val="22"/>
          <w:szCs w:val="22"/>
        </w:rPr>
        <w:t>Iulius</w:t>
      </w:r>
      <w:proofErr w:type="spellEnd"/>
      <w:r>
        <w:rPr>
          <w:rFonts w:ascii="Arial" w:hAnsi="Arial"/>
          <w:sz w:val="22"/>
          <w:szCs w:val="22"/>
        </w:rPr>
        <w:t xml:space="preserve"> Caesar, hier noch vor seiner steilen politischen Karriere, rät zu einem milden Vorgehen, bei dem die Anhänger </w:t>
      </w:r>
      <w:proofErr w:type="spellStart"/>
      <w:r>
        <w:rPr>
          <w:rFonts w:ascii="Arial" w:hAnsi="Arial"/>
          <w:sz w:val="22"/>
          <w:szCs w:val="22"/>
        </w:rPr>
        <w:t>Catilinas</w:t>
      </w:r>
      <w:proofErr w:type="spellEnd"/>
      <w:r>
        <w:rPr>
          <w:rFonts w:ascii="Arial" w:hAnsi="Arial"/>
          <w:sz w:val="22"/>
          <w:szCs w:val="22"/>
        </w:rPr>
        <w:t xml:space="preserve"> in Landstädte (</w:t>
      </w:r>
      <w:proofErr w:type="spellStart"/>
      <w:r>
        <w:rPr>
          <w:rFonts w:ascii="Arial" w:hAnsi="Arial"/>
          <w:sz w:val="22"/>
          <w:szCs w:val="22"/>
        </w:rPr>
        <w:t>municipia</w:t>
      </w:r>
      <w:proofErr w:type="spellEnd"/>
      <w:r>
        <w:rPr>
          <w:rFonts w:ascii="Arial" w:hAnsi="Arial"/>
          <w:sz w:val="22"/>
          <w:szCs w:val="22"/>
        </w:rPr>
        <w:t>) verbannt werden.</w:t>
      </w:r>
    </w:p>
    <w:p w:rsidR="00F93EA1" w:rsidRDefault="00225EE1">
      <w:pPr>
        <w:pStyle w:val="Textbody"/>
      </w:pPr>
      <w:r>
        <w:rPr>
          <w:rFonts w:ascii="Arial" w:hAnsi="Arial"/>
          <w:sz w:val="22"/>
          <w:szCs w:val="22"/>
        </w:rPr>
        <w:t xml:space="preserve">Dieser Textauszug ist Teil des Lektüreprojekts </w:t>
      </w:r>
      <w:hyperlink r:id="rId7" w:history="1">
        <w:r w:rsidR="00223147" w:rsidRPr="00ED234E">
          <w:rPr>
            <w:rFonts w:ascii="Arial" w:hAnsi="Arial"/>
            <w:b/>
            <w:color w:val="0070C0"/>
            <w:sz w:val="22"/>
            <w:szCs w:val="22"/>
            <w:u w:val="single"/>
          </w:rPr>
          <w:t>Fluch</w:t>
        </w:r>
        <w:r w:rsidR="00223147" w:rsidRPr="00ED234E">
          <w:rPr>
            <w:rFonts w:ascii="Arial" w:hAnsi="Arial"/>
            <w:b/>
            <w:color w:val="0070C0"/>
            <w:sz w:val="22"/>
            <w:szCs w:val="22"/>
            <w:u w:val="single"/>
          </w:rPr>
          <w:t>t</w:t>
        </w:r>
        <w:r w:rsidR="00223147" w:rsidRPr="00ED234E">
          <w:rPr>
            <w:rFonts w:ascii="Arial" w:hAnsi="Arial"/>
            <w:b/>
            <w:color w:val="0070C0"/>
            <w:sz w:val="22"/>
            <w:szCs w:val="22"/>
            <w:u w:val="single"/>
          </w:rPr>
          <w:t xml:space="preserve">, Exil und </w:t>
        </w:r>
        <w:r w:rsidR="00223147" w:rsidRPr="00ED234E">
          <w:rPr>
            <w:rFonts w:ascii="Arial" w:hAnsi="Arial"/>
            <w:b/>
            <w:color w:val="0070C0"/>
            <w:sz w:val="22"/>
            <w:szCs w:val="22"/>
            <w:u w:val="single"/>
          </w:rPr>
          <w:t>A</w:t>
        </w:r>
        <w:r w:rsidR="00223147" w:rsidRPr="00ED234E">
          <w:rPr>
            <w:rFonts w:ascii="Arial" w:hAnsi="Arial"/>
            <w:b/>
            <w:color w:val="0070C0"/>
            <w:sz w:val="22"/>
            <w:szCs w:val="22"/>
            <w:u w:val="single"/>
          </w:rPr>
          <w:t>syl im antiken Rom</w:t>
        </w:r>
      </w:hyperlink>
      <w:r w:rsidR="00223147">
        <w:rPr>
          <w:rFonts w:ascii="Arial" w:hAnsi="Arial"/>
          <w:sz w:val="22"/>
          <w:szCs w:val="22"/>
        </w:rPr>
        <w:t>.</w:t>
      </w:r>
    </w:p>
    <w:tbl>
      <w:tblPr>
        <w:tblW w:w="4950" w:type="pct"/>
        <w:tblInd w:w="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1"/>
        <w:gridCol w:w="4761"/>
      </w:tblGrid>
      <w:tr w:rsidR="00F93EA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93EA1" w:rsidRDefault="00225EE1">
            <w:pPr>
              <w:pStyle w:val="TableContents"/>
              <w:spacing w:line="340" w:lineRule="atLeas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Text</w:t>
            </w:r>
          </w:p>
        </w:tc>
        <w:tc>
          <w:tcPr>
            <w:tcW w:w="47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93EA1" w:rsidRDefault="00225EE1" w:rsidP="00DE28F7">
            <w:pPr>
              <w:pStyle w:val="TableContents"/>
              <w:spacing w:before="57" w:line="312" w:lineRule="auto"/>
              <w:ind w:left="170" w:hanging="17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Übersetzungshilfen und Erläuterungen</w:t>
            </w:r>
          </w:p>
        </w:tc>
      </w:tr>
      <w:tr w:rsidR="00F93E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1" w:type="dxa"/>
            <w:tcBorders>
              <w:left w:val="single" w:sz="8" w:space="0" w:color="808080"/>
              <w:bottom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93EA1" w:rsidRPr="00DE28F7" w:rsidRDefault="00225EE1">
            <w:pPr>
              <w:pStyle w:val="TableContents"/>
              <w:spacing w:after="283" w:line="340" w:lineRule="atLeast"/>
              <w:rPr>
                <w:rFonts w:ascii="Arial" w:hAnsi="Arial"/>
                <w:sz w:val="22"/>
                <w:szCs w:val="22"/>
                <w:lang w:val="la-Latn"/>
              </w:rPr>
            </w:pPr>
            <w:r w:rsidRPr="00DE28F7">
              <w:rPr>
                <w:rFonts w:ascii="Arial" w:hAnsi="Arial"/>
                <w:sz w:val="22"/>
                <w:szCs w:val="22"/>
                <w:lang w:val="la-Latn"/>
              </w:rPr>
              <w:t xml:space="preserve">51.37 Maiores nostri, patres conscripti, neque consili neque audaciae umquam eguere; neque illis superbia obstat, quo minus aliena instituta, si modo proba erant, imitarentur. </w:t>
            </w:r>
            <w:r w:rsidRPr="00DE28F7">
              <w:rPr>
                <w:rFonts w:ascii="Arial" w:hAnsi="Arial"/>
                <w:sz w:val="22"/>
                <w:szCs w:val="22"/>
                <w:lang w:val="la-Latn"/>
              </w:rPr>
              <w:br/>
              <w:t xml:space="preserve">51.38 Arma atque tela militaria ab Samnitibus, insignia magistratuum ab Tuscis pleraque sumpserunt. </w:t>
            </w:r>
            <w:r w:rsidRPr="00DE28F7">
              <w:rPr>
                <w:rFonts w:ascii="Arial" w:hAnsi="Arial"/>
                <w:sz w:val="22"/>
                <w:szCs w:val="22"/>
                <w:lang w:val="la-Latn"/>
              </w:rPr>
              <w:br/>
              <w:t>Postremo, quod ubique apud socios aut hostes idoneum videbatur, cum summo studio domi exsequebantur: imitari quam invidere bonis malebant.</w:t>
            </w:r>
          </w:p>
        </w:tc>
        <w:tc>
          <w:tcPr>
            <w:tcW w:w="477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93EA1" w:rsidRDefault="00225EE1" w:rsidP="00DE28F7">
            <w:pPr>
              <w:pStyle w:val="TableContents"/>
              <w:spacing w:before="57" w:line="312" w:lineRule="auto"/>
              <w:ind w:left="170" w:hanging="17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obstare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, quo minus: im Wege stehen, jemanden an etwas hindern</w:t>
            </w:r>
          </w:p>
          <w:p w:rsidR="00F93EA1" w:rsidRDefault="00225EE1" w:rsidP="00DE28F7">
            <w:pPr>
              <w:pStyle w:val="TableContents"/>
              <w:spacing w:before="57" w:line="312" w:lineRule="auto"/>
              <w:ind w:left="170" w:hanging="17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institutum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: die Einrichtung, die Institution</w:t>
            </w:r>
            <w:r>
              <w:rPr>
                <w:rFonts w:ascii="Arial" w:hAnsi="Arial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Samnites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: die Samniten, ein italischer Volksstamm</w:t>
            </w:r>
          </w:p>
          <w:p w:rsidR="00DE28F7" w:rsidRDefault="00225EE1" w:rsidP="00DE28F7">
            <w:pPr>
              <w:pStyle w:val="TableContents"/>
              <w:spacing w:before="57" w:line="312" w:lineRule="auto"/>
              <w:ind w:left="170" w:hanging="17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insignia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: die Abzeichen; gemeint sind hier z.B. die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fasces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(Rutenbündel)</w:t>
            </w:r>
          </w:p>
          <w:p w:rsidR="00F93EA1" w:rsidRDefault="00225EE1" w:rsidP="00DE28F7">
            <w:pPr>
              <w:pStyle w:val="TableContents"/>
              <w:spacing w:before="57" w:line="312" w:lineRule="auto"/>
              <w:ind w:left="170" w:hanging="17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Tusci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: die Etrusker</w:t>
            </w:r>
          </w:p>
          <w:p w:rsidR="00F93EA1" w:rsidRDefault="00225EE1" w:rsidP="00DE28F7">
            <w:pPr>
              <w:pStyle w:val="TableContents"/>
              <w:spacing w:before="57" w:line="312" w:lineRule="auto"/>
              <w:ind w:left="170" w:hanging="17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pleraque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bezieht sich auf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insignia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: die meisten Abzeichen</w:t>
            </w:r>
          </w:p>
          <w:p w:rsidR="00F93EA1" w:rsidRDefault="00225EE1" w:rsidP="00DE28F7">
            <w:pPr>
              <w:pStyle w:val="TableContents"/>
              <w:spacing w:before="57" w:line="312" w:lineRule="auto"/>
              <w:ind w:left="170" w:hanging="17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exsequi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: einführen</w:t>
            </w:r>
          </w:p>
        </w:tc>
      </w:tr>
      <w:tr w:rsidR="00F93E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1" w:type="dxa"/>
            <w:tcBorders>
              <w:left w:val="single" w:sz="8" w:space="0" w:color="808080"/>
              <w:bottom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93EA1" w:rsidRPr="00DE28F7" w:rsidRDefault="00225EE1">
            <w:pPr>
              <w:pStyle w:val="TableContents"/>
              <w:spacing w:after="283" w:line="340" w:lineRule="atLeast"/>
              <w:rPr>
                <w:rFonts w:ascii="Arial" w:hAnsi="Arial"/>
                <w:sz w:val="22"/>
                <w:szCs w:val="22"/>
                <w:lang w:val="la-Latn"/>
              </w:rPr>
            </w:pPr>
            <w:r w:rsidRPr="00DE28F7">
              <w:rPr>
                <w:rFonts w:ascii="Arial" w:hAnsi="Arial"/>
                <w:sz w:val="22"/>
                <w:szCs w:val="22"/>
                <w:lang w:val="la-Latn"/>
              </w:rPr>
              <w:t>51.39 Sed eodem illo tempore Graeciae morem imitati verberibus animadvortebant in cives, de condemnatis summum supplicium sumebant.</w:t>
            </w:r>
          </w:p>
          <w:p w:rsidR="00F93EA1" w:rsidRPr="00DE28F7" w:rsidRDefault="00225EE1">
            <w:pPr>
              <w:pStyle w:val="TableContents"/>
              <w:spacing w:after="283" w:line="340" w:lineRule="atLeast"/>
              <w:rPr>
                <w:rFonts w:ascii="Arial" w:hAnsi="Arial"/>
                <w:sz w:val="22"/>
                <w:szCs w:val="22"/>
                <w:lang w:val="la-Latn"/>
              </w:rPr>
            </w:pPr>
            <w:r w:rsidRPr="00DE28F7">
              <w:rPr>
                <w:rFonts w:ascii="Arial" w:hAnsi="Arial"/>
                <w:sz w:val="22"/>
                <w:szCs w:val="22"/>
                <w:lang w:val="la-Latn"/>
              </w:rPr>
              <w:t>51.40 Postquam res publica adolevit et multitudine civium factiones valuere, circumveniri innocentes, alia huiusce modi fieri coepere, tum lex Porcia aliaeque leges paratae sunt, quibus legibus exsilium damnatis permissum est.</w:t>
            </w:r>
          </w:p>
          <w:p w:rsidR="00F93EA1" w:rsidRPr="00DE28F7" w:rsidRDefault="00225EE1">
            <w:pPr>
              <w:pStyle w:val="TableContents"/>
              <w:spacing w:after="283" w:line="340" w:lineRule="atLeast"/>
              <w:rPr>
                <w:rFonts w:ascii="Arial" w:hAnsi="Arial"/>
                <w:sz w:val="22"/>
                <w:szCs w:val="22"/>
                <w:lang w:val="la-Latn"/>
              </w:rPr>
            </w:pPr>
            <w:r w:rsidRPr="00DE28F7">
              <w:rPr>
                <w:rFonts w:ascii="Arial" w:hAnsi="Arial"/>
                <w:sz w:val="22"/>
                <w:szCs w:val="22"/>
                <w:lang w:val="la-Latn"/>
              </w:rPr>
              <w:t>51.41 Hanc ego causam, patres conscripti, quo minus novom consilium capiamus, in primis magnam puto.</w:t>
            </w:r>
          </w:p>
        </w:tc>
        <w:tc>
          <w:tcPr>
            <w:tcW w:w="477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93EA1" w:rsidRDefault="00225EE1" w:rsidP="00DE28F7">
            <w:pPr>
              <w:pStyle w:val="TableContents"/>
              <w:spacing w:before="57" w:line="312" w:lineRule="auto"/>
              <w:ind w:left="170" w:hanging="17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Sed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eodem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...: Subjekt ist weiterhin '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maiores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nostri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'.</w:t>
            </w:r>
          </w:p>
          <w:p w:rsidR="00F93EA1" w:rsidRDefault="00225EE1" w:rsidP="00DE28F7">
            <w:pPr>
              <w:pStyle w:val="TableContents"/>
              <w:spacing w:before="57" w:line="312" w:lineRule="auto"/>
              <w:ind w:left="170" w:hanging="17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verbera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verberum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, n.: die Prügel, die Auspeitschung</w:t>
            </w:r>
          </w:p>
          <w:p w:rsidR="00F93EA1" w:rsidRDefault="00225EE1" w:rsidP="00DE28F7">
            <w:pPr>
              <w:pStyle w:val="TableContents"/>
              <w:spacing w:before="57" w:line="312" w:lineRule="auto"/>
              <w:ind w:left="170" w:hanging="17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animadvortere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: (eine Strafe) vollziehen</w:t>
            </w:r>
          </w:p>
          <w:p w:rsidR="00F93EA1" w:rsidRDefault="00225EE1" w:rsidP="00DE28F7">
            <w:pPr>
              <w:pStyle w:val="TableContents"/>
              <w:spacing w:before="57" w:line="312" w:lineRule="auto"/>
              <w:ind w:left="170" w:hanging="17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summum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supplicium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: die Todesstrafe</w:t>
            </w:r>
          </w:p>
          <w:p w:rsidR="00F93EA1" w:rsidRDefault="00225EE1" w:rsidP="00DE28F7">
            <w:pPr>
              <w:pStyle w:val="TableContents"/>
              <w:spacing w:before="57" w:line="312" w:lineRule="auto"/>
              <w:ind w:left="170" w:hanging="17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adolescere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adolesco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adolevi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: wachsen</w:t>
            </w:r>
          </w:p>
          <w:p w:rsidR="00F93EA1" w:rsidRDefault="00225EE1" w:rsidP="00DE28F7">
            <w:pPr>
              <w:pStyle w:val="TableContents"/>
              <w:spacing w:before="57" w:line="312" w:lineRule="auto"/>
              <w:ind w:left="170" w:hanging="17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factio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factionis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, f.: die Gruppe, die Fraktion</w:t>
            </w:r>
          </w:p>
          <w:p w:rsidR="00F93EA1" w:rsidRDefault="00225EE1" w:rsidP="00DE28F7">
            <w:pPr>
              <w:pStyle w:val="TableContents"/>
              <w:spacing w:before="57" w:line="312" w:lineRule="auto"/>
              <w:ind w:left="170" w:hanging="17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circumvenire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(mit Akkusativ-Objekt): gegen jemanden vorgehen</w:t>
            </w:r>
          </w:p>
          <w:p w:rsidR="00F93EA1" w:rsidRDefault="00225EE1" w:rsidP="00DE28F7">
            <w:pPr>
              <w:pStyle w:val="TableContents"/>
              <w:spacing w:before="57" w:line="312" w:lineRule="auto"/>
              <w:ind w:left="170" w:hanging="17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lex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Porcia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: Gesetz vom Anfang des 2. Jh. v. Chr.</w:t>
            </w:r>
          </w:p>
          <w:p w:rsidR="00F93EA1" w:rsidRDefault="00225EE1" w:rsidP="00DE28F7">
            <w:pPr>
              <w:pStyle w:val="TableContents"/>
              <w:spacing w:before="57" w:line="312" w:lineRule="auto"/>
              <w:ind w:left="170" w:hanging="17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novom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=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novum</w:t>
            </w:r>
            <w:proofErr w:type="spellEnd"/>
          </w:p>
          <w:p w:rsidR="00F93EA1" w:rsidRDefault="00225EE1" w:rsidP="00DE28F7">
            <w:pPr>
              <w:pStyle w:val="TableContents"/>
              <w:spacing w:before="57" w:line="312" w:lineRule="auto"/>
              <w:ind w:left="170" w:hanging="17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novum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consilium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: Caesar meint hier den Beschluss, die Aufständischen hinzurichten.</w:t>
            </w:r>
          </w:p>
        </w:tc>
      </w:tr>
    </w:tbl>
    <w:p w:rsidR="00DE28F7" w:rsidRDefault="00DE28F7">
      <w:pPr>
        <w:pStyle w:val="Textbody"/>
      </w:pPr>
    </w:p>
    <w:p w:rsidR="00F93EA1" w:rsidRDefault="00F93EA1" w:rsidP="00DE28F7">
      <w:pPr>
        <w:pStyle w:val="Textbody"/>
      </w:pPr>
    </w:p>
    <w:tbl>
      <w:tblPr>
        <w:tblW w:w="4950" w:type="pct"/>
        <w:tblInd w:w="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1"/>
        <w:gridCol w:w="4761"/>
      </w:tblGrid>
      <w:tr w:rsidR="00F93EA1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93EA1" w:rsidRDefault="00225EE1">
            <w:pPr>
              <w:pStyle w:val="TableContents"/>
              <w:spacing w:line="340" w:lineRule="atLeast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Text</w:t>
            </w:r>
          </w:p>
        </w:tc>
        <w:tc>
          <w:tcPr>
            <w:tcW w:w="47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93EA1" w:rsidRDefault="00225EE1">
            <w:pPr>
              <w:pStyle w:val="TableContents"/>
              <w:spacing w:before="57"/>
              <w:ind w:left="170" w:hanging="17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Übersetzungshilfen und Erläuterungen</w:t>
            </w:r>
          </w:p>
        </w:tc>
      </w:tr>
      <w:tr w:rsidR="00F93E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1" w:type="dxa"/>
            <w:tcBorders>
              <w:left w:val="single" w:sz="8" w:space="0" w:color="808080"/>
              <w:bottom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93EA1" w:rsidRPr="00DE28F7" w:rsidRDefault="00225EE1">
            <w:pPr>
              <w:pStyle w:val="TableContents"/>
              <w:spacing w:after="283" w:line="340" w:lineRule="atLeast"/>
              <w:rPr>
                <w:rFonts w:ascii="Arial" w:hAnsi="Arial"/>
                <w:sz w:val="22"/>
                <w:szCs w:val="22"/>
                <w:lang w:val="la-Latn"/>
              </w:rPr>
            </w:pPr>
            <w:r>
              <w:rPr>
                <w:rFonts w:ascii="Arial" w:hAnsi="Arial"/>
                <w:sz w:val="22"/>
                <w:szCs w:val="22"/>
              </w:rPr>
              <w:t>51.42</w:t>
            </w:r>
            <w:r w:rsidRPr="00DE28F7">
              <w:rPr>
                <w:rFonts w:ascii="Arial" w:hAnsi="Arial"/>
                <w:sz w:val="22"/>
                <w:szCs w:val="22"/>
                <w:lang w:val="la-Latn"/>
              </w:rPr>
              <w:t>. Profecto virtus atque sapientia maior illis fuit, qui ex parvis opibus tantum imperium fecere, quam in nobis, qui ea bene parta vix retinemus.</w:t>
            </w:r>
          </w:p>
          <w:p w:rsidR="00F93EA1" w:rsidRDefault="00225EE1">
            <w:pPr>
              <w:pStyle w:val="TableContents"/>
              <w:spacing w:after="283" w:line="340" w:lineRule="atLeast"/>
              <w:rPr>
                <w:rFonts w:ascii="Arial" w:hAnsi="Arial"/>
                <w:sz w:val="22"/>
                <w:szCs w:val="22"/>
              </w:rPr>
            </w:pPr>
            <w:r w:rsidRPr="00DE28F7">
              <w:rPr>
                <w:rFonts w:ascii="Arial" w:hAnsi="Arial"/>
                <w:sz w:val="22"/>
                <w:szCs w:val="22"/>
                <w:lang w:val="la-Latn"/>
              </w:rPr>
              <w:t>51.43 Placet igitur eos dimitti et auge</w:t>
            </w:r>
            <w:r w:rsidR="00DE28F7">
              <w:rPr>
                <w:rFonts w:ascii="Arial" w:hAnsi="Arial"/>
                <w:sz w:val="22"/>
                <w:szCs w:val="22"/>
                <w:lang w:val="la-Latn"/>
              </w:rPr>
              <w:t>ri exercitum Catilinae? Minume.</w:t>
            </w:r>
            <w:r w:rsidR="00DE28F7">
              <w:rPr>
                <w:rFonts w:ascii="Arial" w:hAnsi="Arial"/>
                <w:sz w:val="22"/>
                <w:szCs w:val="22"/>
              </w:rPr>
              <w:br/>
            </w:r>
            <w:r w:rsidRPr="00DE28F7">
              <w:rPr>
                <w:rFonts w:ascii="Arial" w:hAnsi="Arial"/>
                <w:sz w:val="22"/>
                <w:szCs w:val="22"/>
                <w:lang w:val="la-Latn"/>
              </w:rPr>
              <w:t>Sed ita censeo: publicandas eorum pecunias, ipsos in vinculis habendos per municipia, quae maxume opibus valent; neu quis de iis postea ad senatu</w:t>
            </w:r>
            <w:r w:rsidR="00DE28F7">
              <w:rPr>
                <w:rFonts w:ascii="Arial" w:hAnsi="Arial"/>
                <w:sz w:val="22"/>
                <w:szCs w:val="22"/>
                <w:lang w:val="la-Latn"/>
              </w:rPr>
              <w:t>m referat neve cum populo agat;</w:t>
            </w:r>
            <w:r w:rsidR="00DE28F7">
              <w:rPr>
                <w:rFonts w:ascii="Arial" w:hAnsi="Arial"/>
                <w:sz w:val="22"/>
                <w:szCs w:val="22"/>
              </w:rPr>
              <w:br/>
            </w:r>
            <w:r w:rsidRPr="00DE28F7">
              <w:rPr>
                <w:rFonts w:ascii="Arial" w:hAnsi="Arial"/>
                <w:sz w:val="22"/>
                <w:szCs w:val="22"/>
                <w:lang w:val="la-Latn"/>
              </w:rPr>
              <w:t>qui aliter fecerit, senatum existumare eum contra rem publicam et salutem omnium facturum."</w:t>
            </w:r>
          </w:p>
        </w:tc>
        <w:tc>
          <w:tcPr>
            <w:tcW w:w="477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93EA1" w:rsidRDefault="00225EE1">
            <w:pPr>
              <w:pStyle w:val="TableContents"/>
              <w:spacing w:before="57"/>
              <w:ind w:left="170" w:hanging="17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opes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: die Mittel</w:t>
            </w:r>
          </w:p>
          <w:p w:rsidR="00F93EA1" w:rsidRDefault="00225EE1">
            <w:pPr>
              <w:pStyle w:val="TableContents"/>
              <w:spacing w:before="57"/>
              <w:ind w:left="170" w:hanging="17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fecere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~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fecerunt</w:t>
            </w:r>
            <w:proofErr w:type="spellEnd"/>
          </w:p>
          <w:p w:rsidR="00F93EA1" w:rsidRDefault="00225EE1">
            <w:pPr>
              <w:pStyle w:val="TableContents"/>
              <w:spacing w:before="57"/>
              <w:ind w:left="170" w:hanging="17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parta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: von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parere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pario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peperi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, partum: gewinnen, erlangen</w:t>
            </w:r>
          </w:p>
          <w:p w:rsidR="00F93EA1" w:rsidRDefault="00225EE1">
            <w:pPr>
              <w:pStyle w:val="TableContents"/>
              <w:spacing w:before="57"/>
              <w:ind w:left="170" w:hanging="17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placet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: hier im Sinne von 'es ist richtig', der Ausdruck gehört zur Formelsprache der politischen Beratung.</w:t>
            </w:r>
          </w:p>
          <w:p w:rsidR="00F93EA1" w:rsidRDefault="00225EE1">
            <w:pPr>
              <w:pStyle w:val="TableContents"/>
              <w:spacing w:before="57"/>
              <w:ind w:left="170" w:hanging="17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publicare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: einziehen, beschlagnahmen</w:t>
            </w:r>
          </w:p>
          <w:p w:rsidR="00F93EA1" w:rsidRDefault="00225EE1">
            <w:pPr>
              <w:pStyle w:val="TableContents"/>
              <w:spacing w:before="57"/>
              <w:ind w:left="170" w:hanging="17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vincula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: die Fesseln, das Gefängnis</w:t>
            </w:r>
          </w:p>
          <w:p w:rsidR="00F93EA1" w:rsidRDefault="00225EE1">
            <w:pPr>
              <w:pStyle w:val="TableContents"/>
              <w:spacing w:before="57"/>
              <w:ind w:left="170" w:hanging="17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neu ...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neve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: dass weder ... noch</w:t>
            </w:r>
          </w:p>
          <w:p w:rsidR="00F93EA1" w:rsidRDefault="00225EE1">
            <w:pPr>
              <w:pStyle w:val="TableContents"/>
              <w:spacing w:before="57"/>
              <w:ind w:left="170" w:hanging="17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ad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senatum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referre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: einen Antrag beim Senat stellen</w:t>
            </w:r>
          </w:p>
          <w:p w:rsidR="00F93EA1" w:rsidRDefault="00225EE1">
            <w:pPr>
              <w:pStyle w:val="TableContents"/>
              <w:spacing w:before="57"/>
              <w:ind w:left="170" w:hanging="17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existumare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~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existimare</w:t>
            </w:r>
            <w:proofErr w:type="spellEnd"/>
          </w:p>
        </w:tc>
      </w:tr>
    </w:tbl>
    <w:p w:rsidR="00F93EA1" w:rsidRDefault="00225EE1">
      <w:pPr>
        <w:pStyle w:val="berschrift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Interpretationsaufgaben</w:t>
      </w:r>
    </w:p>
    <w:p w:rsidR="00F93EA1" w:rsidRDefault="00225EE1">
      <w:pPr>
        <w:pStyle w:val="Textbody"/>
        <w:numPr>
          <w:ilvl w:val="0"/>
          <w:numId w:val="1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Untersuchen Sie, mit welchen Argumenten Caesar dafür wirbt, die </w:t>
      </w:r>
      <w:proofErr w:type="spellStart"/>
      <w:r>
        <w:rPr>
          <w:rFonts w:ascii="Arial" w:hAnsi="Arial"/>
          <w:sz w:val="22"/>
          <w:szCs w:val="22"/>
        </w:rPr>
        <w:t>Catilinarier</w:t>
      </w:r>
      <w:proofErr w:type="spellEnd"/>
      <w:r>
        <w:rPr>
          <w:rFonts w:ascii="Arial" w:hAnsi="Arial"/>
          <w:sz w:val="22"/>
          <w:szCs w:val="22"/>
        </w:rPr>
        <w:t xml:space="preserve"> zu verschonen.</w:t>
      </w:r>
    </w:p>
    <w:p w:rsidR="00F93EA1" w:rsidRDefault="00225EE1">
      <w:pPr>
        <w:pStyle w:val="Textbody"/>
        <w:numPr>
          <w:ilvl w:val="0"/>
          <w:numId w:val="1"/>
        </w:numPr>
        <w:spacing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Suchen Sie (mit lateinischen Belegen) die Textstellen heraus, in denen Caesar sich in seiner Argumentation auf die Vergangenheit, d.h. die römische Geschichte bezieht.</w:t>
      </w:r>
    </w:p>
    <w:p w:rsidR="00F93EA1" w:rsidRDefault="00225EE1">
      <w:pPr>
        <w:pStyle w:val="Textbody"/>
        <w:numPr>
          <w:ilvl w:val="0"/>
          <w:numId w:val="1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Stellen Sie dar, wie Caesar die Verbannung in italische Landstädte im Vergleich zur Hinrichtung bewertet.</w:t>
      </w:r>
    </w:p>
    <w:p w:rsidR="00F93EA1" w:rsidRDefault="00225EE1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</w:p>
    <w:p w:rsidR="00F93EA1" w:rsidRDefault="00225EE1">
      <w:pPr>
        <w:pStyle w:val="Textbody"/>
      </w:pPr>
      <w:r>
        <w:t> </w:t>
      </w:r>
    </w:p>
    <w:p w:rsidR="00816B10" w:rsidRDefault="00816B10" w:rsidP="00816B10">
      <w:pPr>
        <w:pStyle w:val="StandardWeb"/>
      </w:pPr>
      <w:r>
        <w:rPr>
          <w:rStyle w:val="Fett"/>
          <w:rFonts w:ascii="Arial" w:hAnsi="Arial" w:cs="Arial"/>
        </w:rPr>
        <w:t>Fortsetzung</w:t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Catilina</w:t>
      </w:r>
      <w:proofErr w:type="spellEnd"/>
      <w:r>
        <w:rPr>
          <w:rFonts w:ascii="Arial" w:hAnsi="Arial" w:cs="Arial"/>
        </w:rPr>
        <w:t xml:space="preserve"> stellt das Exil als Schande dar. </w:t>
      </w:r>
      <w:hyperlink r:id="rId8" w:history="1">
        <w:r>
          <w:rPr>
            <w:rStyle w:val="Hyperlink"/>
            <w:rFonts w:ascii="Arial" w:hAnsi="Arial" w:cs="Arial"/>
          </w:rPr>
          <w:t xml:space="preserve">Sallust, </w:t>
        </w:r>
        <w:proofErr w:type="spellStart"/>
        <w:r>
          <w:rPr>
            <w:rStyle w:val="Hyperlink"/>
            <w:rFonts w:ascii="Arial" w:hAnsi="Arial" w:cs="Arial"/>
          </w:rPr>
          <w:t>Coniur</w:t>
        </w:r>
        <w:r>
          <w:rPr>
            <w:rStyle w:val="Hyperlink"/>
            <w:rFonts w:ascii="Arial" w:hAnsi="Arial" w:cs="Arial"/>
          </w:rPr>
          <w:t>a</w:t>
        </w:r>
        <w:r>
          <w:rPr>
            <w:rStyle w:val="Hyperlink"/>
            <w:rFonts w:ascii="Arial" w:hAnsi="Arial" w:cs="Arial"/>
          </w:rPr>
          <w:t>tio</w:t>
        </w:r>
        <w:proofErr w:type="spellEnd"/>
        <w:r>
          <w:rPr>
            <w:rStyle w:val="Hyperlink"/>
            <w:rFonts w:ascii="Arial" w:hAnsi="Arial" w:cs="Arial"/>
          </w:rPr>
          <w:t xml:space="preserve"> </w:t>
        </w:r>
        <w:proofErr w:type="spellStart"/>
        <w:r>
          <w:rPr>
            <w:rStyle w:val="Hyperlink"/>
            <w:rFonts w:ascii="Arial" w:hAnsi="Arial" w:cs="Arial"/>
          </w:rPr>
          <w:t>Catilinae</w:t>
        </w:r>
        <w:proofErr w:type="spellEnd"/>
        <w:r>
          <w:rPr>
            <w:rStyle w:val="Hyperlink"/>
            <w:rFonts w:ascii="Arial" w:hAnsi="Arial" w:cs="Arial"/>
          </w:rPr>
          <w:t xml:space="preserve"> 58</w:t>
        </w:r>
      </w:hyperlink>
      <w:bookmarkStart w:id="0" w:name="_GoBack"/>
      <w:bookmarkEnd w:id="0"/>
    </w:p>
    <w:p w:rsidR="00F93EA1" w:rsidRDefault="00F93EA1"/>
    <w:sectPr w:rsidR="00F93EA1"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1E3" w:rsidRDefault="008871E3">
      <w:r>
        <w:separator/>
      </w:r>
    </w:p>
  </w:endnote>
  <w:endnote w:type="continuationSeparator" w:id="0">
    <w:p w:rsidR="008871E3" w:rsidRDefault="0088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4" w:type="dxa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856"/>
      <w:gridCol w:w="5366"/>
      <w:gridCol w:w="882"/>
    </w:tblGrid>
    <w:tr w:rsidR="00223147" w:rsidRPr="00C920E5" w:rsidTr="00BC3C5B">
      <w:tc>
        <w:tcPr>
          <w:tcW w:w="1701" w:type="dxa"/>
          <w:shd w:val="clear" w:color="auto" w:fill="auto"/>
        </w:tcPr>
        <w:p w:rsidR="00223147" w:rsidRPr="00C920E5" w:rsidRDefault="001D4F64" w:rsidP="00223147">
          <w:pPr>
            <w:pStyle w:val="Fuzeile"/>
            <w:jc w:val="center"/>
          </w:pPr>
          <w:r w:rsidRPr="006F6843">
            <w:rPr>
              <w:noProof/>
            </w:rPr>
            <w:drawing>
              <wp:inline distT="0" distB="0" distL="0" distR="0">
                <wp:extent cx="1676400" cy="533400"/>
                <wp:effectExtent l="0" t="0" r="0" b="0"/>
                <wp:docPr id="1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shd w:val="clear" w:color="auto" w:fill="auto"/>
        </w:tcPr>
        <w:p w:rsidR="00223147" w:rsidRPr="00C920E5" w:rsidRDefault="00223147" w:rsidP="00223147">
          <w:pPr>
            <w:pStyle w:val="Fuzeile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 xml:space="preserve">Sallust, </w:t>
          </w:r>
          <w:proofErr w:type="spellStart"/>
          <w:r>
            <w:rPr>
              <w:rFonts w:ascii="Verdana" w:hAnsi="Verdana"/>
              <w:sz w:val="20"/>
              <w:szCs w:val="20"/>
            </w:rPr>
            <w:t>Coniuratio</w:t>
          </w:r>
          <w:proofErr w:type="spellEnd"/>
          <w:r>
            <w:rPr>
              <w:rFonts w:ascii="Verdana" w:hAnsi="Verdana"/>
              <w:sz w:val="20"/>
              <w:szCs w:val="20"/>
            </w:rPr>
            <w:t xml:space="preserve"> </w:t>
          </w:r>
          <w:proofErr w:type="spellStart"/>
          <w:r>
            <w:rPr>
              <w:rFonts w:ascii="Verdana" w:hAnsi="Verdana"/>
              <w:sz w:val="20"/>
              <w:szCs w:val="20"/>
            </w:rPr>
            <w:t>Catilinae</w:t>
          </w:r>
          <w:proofErr w:type="spellEnd"/>
        </w:p>
        <w:p w:rsidR="00223147" w:rsidRPr="00C920E5" w:rsidRDefault="00223147" w:rsidP="00223147">
          <w:pPr>
            <w:pStyle w:val="Fuzeile"/>
            <w:spacing w:before="80"/>
            <w:jc w:val="center"/>
            <w:rPr>
              <w:rFonts w:ascii="Verdana" w:hAnsi="Verdana"/>
              <w:sz w:val="16"/>
              <w:szCs w:val="16"/>
            </w:rPr>
          </w:pPr>
          <w:r w:rsidRPr="00C920E5">
            <w:rPr>
              <w:rFonts w:ascii="Verdana" w:hAnsi="Verdana"/>
              <w:i/>
              <w:sz w:val="16"/>
              <w:szCs w:val="16"/>
            </w:rPr>
            <w:t>Lateinische Bibliothek</w:t>
          </w:r>
        </w:p>
        <w:p w:rsidR="00223147" w:rsidRPr="00C920E5" w:rsidRDefault="00223147" w:rsidP="00223147">
          <w:pPr>
            <w:pStyle w:val="Fuzeile"/>
            <w:spacing w:before="80"/>
            <w:jc w:val="center"/>
            <w:rPr>
              <w:rFonts w:ascii="Verdana" w:hAnsi="Verdana"/>
              <w:sz w:val="18"/>
              <w:szCs w:val="18"/>
            </w:rPr>
          </w:pPr>
          <w:hyperlink r:id="rId2" w:history="1">
            <w:r w:rsidRPr="00C920E5">
              <w:rPr>
                <w:rStyle w:val="Hyperlink"/>
                <w:rFonts w:ascii="Verdana" w:hAnsi="Verdana"/>
                <w:sz w:val="18"/>
                <w:szCs w:val="18"/>
              </w:rPr>
              <w:t>www.latein-bw.de</w:t>
            </w:r>
          </w:hyperlink>
          <w:r w:rsidRPr="00C920E5">
            <w:rPr>
              <w:rFonts w:ascii="Verdana" w:hAnsi="Verdana"/>
              <w:sz w:val="18"/>
              <w:szCs w:val="18"/>
            </w:rPr>
            <w:t xml:space="preserve"> </w:t>
          </w:r>
        </w:p>
      </w:tc>
      <w:tc>
        <w:tcPr>
          <w:tcW w:w="882" w:type="dxa"/>
          <w:shd w:val="clear" w:color="auto" w:fill="auto"/>
          <w:noWrap/>
          <w:tcMar>
            <w:left w:w="57" w:type="dxa"/>
            <w:right w:w="57" w:type="dxa"/>
          </w:tcMar>
          <w:tcFitText/>
          <w:vAlign w:val="center"/>
        </w:tcPr>
        <w:p w:rsidR="00223147" w:rsidRPr="00C920E5" w:rsidRDefault="00223147" w:rsidP="00223147">
          <w:pPr>
            <w:rPr>
              <w:sz w:val="18"/>
              <w:szCs w:val="18"/>
            </w:rPr>
          </w:pPr>
          <w:r w:rsidRPr="00FF3EDC">
            <w:rPr>
              <w:spacing w:val="29"/>
              <w:sz w:val="18"/>
              <w:szCs w:val="18"/>
            </w:rPr>
            <w:t xml:space="preserve">Seite </w:t>
          </w:r>
          <w:r w:rsidRPr="00FF3EDC">
            <w:rPr>
              <w:spacing w:val="29"/>
              <w:sz w:val="18"/>
              <w:szCs w:val="18"/>
            </w:rPr>
            <w:fldChar w:fldCharType="begin"/>
          </w:r>
          <w:r w:rsidRPr="00FF3EDC">
            <w:rPr>
              <w:spacing w:val="29"/>
              <w:sz w:val="18"/>
              <w:szCs w:val="18"/>
            </w:rPr>
            <w:instrText>PAGE   \* MERGEFORMAT</w:instrText>
          </w:r>
          <w:r w:rsidRPr="00FF3EDC">
            <w:rPr>
              <w:spacing w:val="29"/>
              <w:sz w:val="18"/>
              <w:szCs w:val="18"/>
            </w:rPr>
            <w:fldChar w:fldCharType="separate"/>
          </w:r>
          <w:r w:rsidR="001D4F64">
            <w:rPr>
              <w:noProof/>
              <w:spacing w:val="29"/>
              <w:sz w:val="18"/>
              <w:szCs w:val="18"/>
            </w:rPr>
            <w:t>1</w:t>
          </w:r>
          <w:r w:rsidRPr="00FF3EDC">
            <w:rPr>
              <w:spacing w:val="29"/>
              <w:sz w:val="18"/>
              <w:szCs w:val="18"/>
            </w:rPr>
            <w:fldChar w:fldCharType="end"/>
          </w:r>
          <w:r w:rsidRPr="00FF3EDC">
            <w:rPr>
              <w:spacing w:val="6"/>
              <w:sz w:val="18"/>
              <w:szCs w:val="18"/>
            </w:rPr>
            <w:t xml:space="preserve"> </w:t>
          </w:r>
        </w:p>
      </w:tc>
    </w:tr>
  </w:tbl>
  <w:p w:rsidR="00225EE1" w:rsidRDefault="00225EE1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1E3" w:rsidRDefault="008871E3">
      <w:r>
        <w:rPr>
          <w:color w:val="000000"/>
        </w:rPr>
        <w:separator/>
      </w:r>
    </w:p>
  </w:footnote>
  <w:footnote w:type="continuationSeparator" w:id="0">
    <w:p w:rsidR="008871E3" w:rsidRDefault="00887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C1144"/>
    <w:multiLevelType w:val="multilevel"/>
    <w:tmpl w:val="4014C47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A1"/>
    <w:rsid w:val="00141DD4"/>
    <w:rsid w:val="001D4F64"/>
    <w:rsid w:val="00223147"/>
    <w:rsid w:val="00225EE1"/>
    <w:rsid w:val="002B08E3"/>
    <w:rsid w:val="00344AEA"/>
    <w:rsid w:val="003624B4"/>
    <w:rsid w:val="003C7D4D"/>
    <w:rsid w:val="00434903"/>
    <w:rsid w:val="00556BFC"/>
    <w:rsid w:val="00816B10"/>
    <w:rsid w:val="0082288D"/>
    <w:rsid w:val="00822AA1"/>
    <w:rsid w:val="008871E3"/>
    <w:rsid w:val="00BC3C5B"/>
    <w:rsid w:val="00DA49AD"/>
    <w:rsid w:val="00DC34E1"/>
    <w:rsid w:val="00DE28F7"/>
    <w:rsid w:val="00ED234E"/>
    <w:rsid w:val="00F9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D81B5-6568-4B57-927F-FF8E35B6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berschrift3">
    <w:name w:val="heading 3"/>
    <w:basedOn w:val="Heading"/>
    <w:next w:val="Textbody"/>
    <w:pPr>
      <w:outlineLvl w:val="2"/>
    </w:pPr>
    <w:rPr>
      <w:rFonts w:ascii="Times New Roman" w:eastAsia="SimSu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uzeile">
    <w:name w:val="footer"/>
    <w:basedOn w:val="Standard"/>
    <w:link w:val="FuzeileZchn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08E3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link w:val="Sprechblasentext"/>
    <w:uiPriority w:val="99"/>
    <w:semiHidden/>
    <w:rsid w:val="002B08E3"/>
    <w:rPr>
      <w:rFonts w:ascii="Tahoma" w:hAnsi="Tahoma" w:cs="Mangal"/>
      <w:sz w:val="16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DA49A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link w:val="Kopfzeile"/>
    <w:uiPriority w:val="99"/>
    <w:rsid w:val="00DA49AD"/>
    <w:rPr>
      <w:rFonts w:cs="Mangal"/>
      <w:kern w:val="3"/>
      <w:sz w:val="24"/>
      <w:szCs w:val="21"/>
      <w:lang w:eastAsia="zh-CN" w:bidi="hi-IN"/>
    </w:rPr>
  </w:style>
  <w:style w:type="paragraph" w:styleId="StandardWeb">
    <w:name w:val="Normal (Web)"/>
    <w:basedOn w:val="Standard"/>
    <w:uiPriority w:val="99"/>
    <w:semiHidden/>
    <w:unhideWhenUsed/>
    <w:rsid w:val="00816B10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de-DE" w:bidi="ar-SA"/>
    </w:rPr>
  </w:style>
  <w:style w:type="character" w:styleId="Fett">
    <w:name w:val="Strong"/>
    <w:uiPriority w:val="22"/>
    <w:qFormat/>
    <w:rsid w:val="00816B10"/>
    <w:rPr>
      <w:b/>
      <w:bCs/>
    </w:rPr>
  </w:style>
  <w:style w:type="character" w:styleId="BesuchterHyperlink">
    <w:name w:val="BesuchterHyperlink"/>
    <w:uiPriority w:val="99"/>
    <w:semiHidden/>
    <w:unhideWhenUsed/>
    <w:rsid w:val="00344AEA"/>
    <w:rPr>
      <w:color w:val="800080"/>
      <w:u w:val="single"/>
    </w:rPr>
  </w:style>
  <w:style w:type="character" w:customStyle="1" w:styleId="FuzeileZchn">
    <w:name w:val="Fußzeile Zchn"/>
    <w:link w:val="Fuzeile"/>
    <w:uiPriority w:val="99"/>
    <w:rsid w:val="00223147"/>
    <w:rPr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-bw.de/faecher-und-schularten/sprachen-und-literatur/latein/texte-und-medien/sallust/catilina-58-rede-catilina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ule-bw.de/faecher-und-schularten/sprachen-und-literatur/latein/texte-und-medien/flucht-exil-asyl-im-antiken-r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ule-bw.de/unterricht/faecher/latein/lateinische-bibliothek/sallus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Links>
    <vt:vector size="18" baseType="variant">
      <vt:variant>
        <vt:i4>786459</vt:i4>
      </vt:variant>
      <vt:variant>
        <vt:i4>3</vt:i4>
      </vt:variant>
      <vt:variant>
        <vt:i4>0</vt:i4>
      </vt:variant>
      <vt:variant>
        <vt:i4>5</vt:i4>
      </vt:variant>
      <vt:variant>
        <vt:lpwstr>http://www.schule-bw.de/faecher-und-schularten/sprachen-und-literatur/latein/texte-und-medien/sallust/catilina-58-rede-catilinas.html</vt:lpwstr>
      </vt:variant>
      <vt:variant>
        <vt:lpwstr/>
      </vt:variant>
      <vt:variant>
        <vt:i4>2621553</vt:i4>
      </vt:variant>
      <vt:variant>
        <vt:i4>0</vt:i4>
      </vt:variant>
      <vt:variant>
        <vt:i4>0</vt:i4>
      </vt:variant>
      <vt:variant>
        <vt:i4>5</vt:i4>
      </vt:variant>
      <vt:variant>
        <vt:lpwstr>http://www.schule-bw.de/faecher-und-schularten/sprachen-und-literatur/latein/texte-und-medien/flucht-exil-asyl-im-antiken-rom/</vt:lpwstr>
      </vt:variant>
      <vt:variant>
        <vt:lpwstr/>
      </vt:variant>
      <vt:variant>
        <vt:i4>5177410</vt:i4>
      </vt:variant>
      <vt:variant>
        <vt:i4>0</vt:i4>
      </vt:variant>
      <vt:variant>
        <vt:i4>0</vt:i4>
      </vt:variant>
      <vt:variant>
        <vt:i4>5</vt:i4>
      </vt:variant>
      <vt:variant>
        <vt:lpwstr>http://www.schule-bw.de/unterricht/faecher/latein/lateinische-bibliothek/sallust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Tilman Bechthold-Hengelhaupt</dc:creator>
  <cp:keywords/>
  <cp:lastModifiedBy>Tilman Bechthold-Hengelhaupt</cp:lastModifiedBy>
  <cp:revision>3</cp:revision>
  <dcterms:created xsi:type="dcterms:W3CDTF">2017-06-29T17:48:00Z</dcterms:created>
  <dcterms:modified xsi:type="dcterms:W3CDTF">2017-06-29T17:49:00Z</dcterms:modified>
</cp:coreProperties>
</file>