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1B" w:rsidRPr="00EA5A73" w:rsidRDefault="00921E1B" w:rsidP="00EA5A7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</w:pPr>
      <w:r w:rsidRPr="00EA5A73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</w:rPr>
        <w:t>Romulus richtet das Asyl ein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  <w:gridCol w:w="3629"/>
      </w:tblGrid>
      <w:tr w:rsidR="00921E1B" w:rsidRPr="0098200B" w:rsidTr="00921E1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21E1B" w:rsidRPr="00921E1B" w:rsidRDefault="00821313" w:rsidP="00921E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200B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097280" cy="74676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921E1B" w:rsidRPr="00EA5A73" w:rsidRDefault="00921E1B" w:rsidP="00921E1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A5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Lateinische Bibliothek</w:t>
            </w:r>
            <w:r w:rsidRPr="00EA5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  <w:t xml:space="preserve">Livius, ab </w:t>
            </w:r>
            <w:proofErr w:type="spellStart"/>
            <w:r w:rsidRPr="00EA5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urbe</w:t>
            </w:r>
            <w:proofErr w:type="spellEnd"/>
            <w:r w:rsidRPr="00EA5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A5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condita</w:t>
            </w:r>
            <w:proofErr w:type="spellEnd"/>
            <w:r w:rsidRPr="00EA5A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1, 8</w:t>
            </w:r>
          </w:p>
        </w:tc>
      </w:tr>
    </w:tbl>
    <w:p w:rsidR="00921E1B" w:rsidRPr="00921E1B" w:rsidRDefault="00921E1B" w:rsidP="0092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1E1B">
        <w:rPr>
          <w:rFonts w:ascii="Arial" w:eastAsia="Times New Roman" w:hAnsi="Arial" w:cs="Arial"/>
          <w:sz w:val="24"/>
          <w:szCs w:val="24"/>
          <w:lang w:eastAsia="de-DE"/>
        </w:rPr>
        <w:t>Bei diesem Text sollte man beachten, dass Livius' Berichte über die römische Frühzeit kaum nachprüfbar sind, so dass ihr dokumentarischer Wert umstritten ist.</w:t>
      </w:r>
    </w:p>
    <w:p w:rsidR="00921E1B" w:rsidRPr="00921E1B" w:rsidRDefault="00921E1B" w:rsidP="00921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1E1B">
        <w:rPr>
          <w:rFonts w:ascii="Arial" w:eastAsia="Times New Roman" w:hAnsi="Arial" w:cs="Arial"/>
          <w:sz w:val="24"/>
          <w:szCs w:val="24"/>
          <w:lang w:eastAsia="de-DE"/>
        </w:rPr>
        <w:t>Um die Einwohnerzahl der neu gegründeten Stadt zu erhöhen, richtet König Romulus nach griechischem Vorbild ein Asyl ein.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2"/>
        <w:gridCol w:w="4299"/>
      </w:tblGrid>
      <w:tr w:rsidR="00921E1B" w:rsidRPr="0098200B" w:rsidTr="001D6B1D">
        <w:trPr>
          <w:cantSplit/>
        </w:trPr>
        <w:tc>
          <w:tcPr>
            <w:tcW w:w="2578" w:type="pct"/>
            <w:vAlign w:val="center"/>
            <w:hideMark/>
          </w:tcPr>
          <w:p w:rsidR="00921E1B" w:rsidRPr="0098200B" w:rsidRDefault="00921E1B" w:rsidP="00921E1B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>Crescebat interim urbs munitionibus alia atque alia appetendo loca,</w:t>
            </w:r>
          </w:p>
          <w:p w:rsidR="00921E1B" w:rsidRPr="0098200B" w:rsidRDefault="00921E1B" w:rsidP="00921E1B">
            <w:pPr>
              <w:ind w:left="708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cum in spem magis futurae multitudinis quam ad id, </w:t>
            </w:r>
          </w:p>
          <w:p w:rsidR="00921E1B" w:rsidRPr="0098200B" w:rsidRDefault="00921E1B" w:rsidP="00921E1B">
            <w:pPr>
              <w:ind w:left="1416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>quod tum hominum erat,</w:t>
            </w:r>
          </w:p>
          <w:p w:rsidR="00921E1B" w:rsidRPr="0098200B" w:rsidRDefault="00921E1B" w:rsidP="00921E1B">
            <w:pPr>
              <w:ind w:left="708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>munirent.</w:t>
            </w:r>
          </w:p>
        </w:tc>
        <w:tc>
          <w:tcPr>
            <w:tcW w:w="2373" w:type="pct"/>
            <w:vAlign w:val="center"/>
            <w:hideMark/>
          </w:tcPr>
          <w:p w:rsidR="00921E1B" w:rsidRPr="00921E1B" w:rsidRDefault="00921E1B" w:rsidP="00921E1B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appetere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: hier: hinzufügen</w:t>
            </w:r>
          </w:p>
          <w:p w:rsidR="00921E1B" w:rsidRPr="00921E1B" w:rsidRDefault="00921E1B" w:rsidP="00921E1B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munitionibus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 ... 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appetendo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loca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: Die ganze Konstruktion ist von '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appetendo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' abhängig. Dieses Gerundium können Sie mit einem modalen Nebensatz übersetzen: Indem man ... '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Munitionibus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' ist Dativ-Objekt zu 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appetendo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: wozu fügte man (die Orte) hinzu?</w:t>
            </w:r>
          </w:p>
        </w:tc>
      </w:tr>
      <w:tr w:rsidR="00921E1B" w:rsidRPr="0098200B" w:rsidTr="001D6B1D">
        <w:trPr>
          <w:cantSplit/>
        </w:trPr>
        <w:tc>
          <w:tcPr>
            <w:tcW w:w="2578" w:type="pct"/>
            <w:vAlign w:val="center"/>
            <w:hideMark/>
          </w:tcPr>
          <w:p w:rsidR="00921E1B" w:rsidRPr="0098200B" w:rsidRDefault="00921E1B" w:rsidP="00921E1B">
            <w:pPr>
              <w:ind w:left="708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>Deinde ne vana urbis magnitudo esset,</w:t>
            </w:r>
          </w:p>
          <w:p w:rsidR="00921E1B" w:rsidRPr="0098200B" w:rsidRDefault="00921E1B" w:rsidP="00921E1B">
            <w:pPr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adiciendae multitudinis causa vetere consilio condentium urbes, </w:t>
            </w:r>
          </w:p>
          <w:p w:rsidR="00921E1B" w:rsidRPr="0098200B" w:rsidRDefault="00921E1B" w:rsidP="00921E1B">
            <w:pPr>
              <w:ind w:left="708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>qui obscuram atque humilem conciendo ad se multitudinem natam e terra sibi prolem ementiebantur,</w:t>
            </w:r>
          </w:p>
          <w:p w:rsidR="00921E1B" w:rsidRPr="0098200B" w:rsidRDefault="00921E1B" w:rsidP="00921E1B">
            <w:pPr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locum, </w:t>
            </w:r>
          </w:p>
          <w:p w:rsidR="00921E1B" w:rsidRPr="0098200B" w:rsidRDefault="00921E1B" w:rsidP="00921E1B">
            <w:pPr>
              <w:ind w:left="708"/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>qui nunc saeptus descendentibus inter duos lucos est,</w:t>
            </w:r>
          </w:p>
          <w:p w:rsidR="00921E1B" w:rsidRPr="0098200B" w:rsidRDefault="00921E1B" w:rsidP="00921E1B">
            <w:pPr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>asylum aperit.</w:t>
            </w:r>
          </w:p>
        </w:tc>
        <w:tc>
          <w:tcPr>
            <w:tcW w:w="2373" w:type="pct"/>
            <w:vAlign w:val="center"/>
            <w:hideMark/>
          </w:tcPr>
          <w:p w:rsidR="00921E1B" w:rsidRPr="00921E1B" w:rsidRDefault="00921E1B" w:rsidP="00921E1B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vanus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: leer</w:t>
            </w:r>
          </w:p>
          <w:p w:rsidR="00921E1B" w:rsidRPr="00921E1B" w:rsidRDefault="00921E1B" w:rsidP="00921E1B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r w:rsidRPr="00921E1B">
              <w:rPr>
                <w:rFonts w:ascii="Arial" w:eastAsia="Times New Roman" w:hAnsi="Arial" w:cs="Arial"/>
                <w:lang w:eastAsia="de-DE"/>
              </w:rPr>
              <w:t>causa (nachgestellt) mit Genitiv: um ... zu</w:t>
            </w:r>
          </w:p>
          <w:p w:rsidR="00921E1B" w:rsidRPr="00921E1B" w:rsidRDefault="00921E1B" w:rsidP="00921E1B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condentium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urbes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: '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urbes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' ist Akkusativ-Objekt zum Partizip '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condentium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'.</w:t>
            </w:r>
          </w:p>
          <w:p w:rsidR="00921E1B" w:rsidRPr="00921E1B" w:rsidRDefault="00921E1B" w:rsidP="00921E1B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concieo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 (oder 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concio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), 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concivi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concitum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: herbeirufen</w:t>
            </w:r>
          </w:p>
          <w:p w:rsidR="00921E1B" w:rsidRPr="00921E1B" w:rsidRDefault="00921E1B" w:rsidP="00921E1B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proles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: das Volk</w:t>
            </w:r>
          </w:p>
          <w:p w:rsidR="00921E1B" w:rsidRDefault="00921E1B" w:rsidP="00921E1B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ementiri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: erdichten, erfinden</w:t>
            </w:r>
          </w:p>
          <w:p w:rsidR="00AD5195" w:rsidRPr="00AD5195" w:rsidRDefault="00AD5195" w:rsidP="00AD5195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AD5195">
              <w:rPr>
                <w:rFonts w:ascii="Arial" w:eastAsia="Times New Roman" w:hAnsi="Arial" w:cs="Arial"/>
                <w:lang w:eastAsia="de-DE"/>
              </w:rPr>
              <w:t>locum</w:t>
            </w:r>
            <w:proofErr w:type="spellEnd"/>
            <w:r w:rsidRPr="00AD5195">
              <w:rPr>
                <w:rFonts w:ascii="Arial" w:eastAsia="Times New Roman" w:hAnsi="Arial" w:cs="Arial"/>
                <w:lang w:eastAsia="de-DE"/>
              </w:rPr>
              <w:t xml:space="preserve"> ... </w:t>
            </w:r>
            <w:proofErr w:type="spellStart"/>
            <w:r w:rsidRPr="00AD5195">
              <w:rPr>
                <w:rFonts w:ascii="Arial" w:eastAsia="Times New Roman" w:hAnsi="Arial" w:cs="Arial"/>
                <w:lang w:eastAsia="de-DE"/>
              </w:rPr>
              <w:t>saeptus</w:t>
            </w:r>
            <w:proofErr w:type="spellEnd"/>
            <w:r w:rsidRPr="00AD5195">
              <w:rPr>
                <w:rFonts w:ascii="Arial" w:eastAsia="Times New Roman" w:hAnsi="Arial" w:cs="Arial"/>
                <w:lang w:eastAsia="de-DE"/>
              </w:rPr>
              <w:t xml:space="preserve">; </w:t>
            </w:r>
            <w:proofErr w:type="spellStart"/>
            <w:r w:rsidRPr="00AD5195">
              <w:rPr>
                <w:rFonts w:ascii="Arial" w:eastAsia="Times New Roman" w:hAnsi="Arial" w:cs="Arial"/>
                <w:lang w:eastAsia="de-DE"/>
              </w:rPr>
              <w:t>saeptus</w:t>
            </w:r>
            <w:proofErr w:type="spellEnd"/>
            <w:r w:rsidRPr="00AD5195">
              <w:rPr>
                <w:rFonts w:ascii="Arial" w:eastAsia="Times New Roman" w:hAnsi="Arial" w:cs="Arial"/>
                <w:lang w:eastAsia="de-DE"/>
              </w:rPr>
              <w:t xml:space="preserve"> = eingezäunt. Der Ort des alten Asyls lag am Osthang des Kapitols. Zu Livius' Zeiten war er nicht mehr zugänglich ('</w:t>
            </w:r>
            <w:proofErr w:type="spellStart"/>
            <w:r w:rsidRPr="00AD5195">
              <w:rPr>
                <w:rFonts w:ascii="Arial" w:eastAsia="Times New Roman" w:hAnsi="Arial" w:cs="Arial"/>
                <w:lang w:eastAsia="de-DE"/>
              </w:rPr>
              <w:t>saeptus</w:t>
            </w:r>
            <w:proofErr w:type="spellEnd"/>
            <w:r w:rsidRPr="00AD5195">
              <w:rPr>
                <w:rFonts w:ascii="Arial" w:eastAsia="Times New Roman" w:hAnsi="Arial" w:cs="Arial"/>
                <w:lang w:eastAsia="de-DE"/>
              </w:rPr>
              <w:t xml:space="preserve">'), </w:t>
            </w:r>
            <w:proofErr w:type="spellStart"/>
            <w:r w:rsidRPr="00AD5195">
              <w:rPr>
                <w:rFonts w:ascii="Arial" w:eastAsia="Times New Roman" w:hAnsi="Arial" w:cs="Arial"/>
                <w:lang w:eastAsia="de-DE"/>
              </w:rPr>
              <w:t>d.h</w:t>
            </w:r>
            <w:proofErr w:type="spellEnd"/>
            <w:r w:rsidRPr="00AD5195">
              <w:rPr>
                <w:rFonts w:ascii="Arial" w:eastAsia="Times New Roman" w:hAnsi="Arial" w:cs="Arial"/>
                <w:lang w:eastAsia="de-DE"/>
              </w:rPr>
              <w:t xml:space="preserve"> er wurde auch nicht mehr als Heiligtum gepflegt.</w:t>
            </w:r>
          </w:p>
          <w:p w:rsidR="00AD5195" w:rsidRPr="00AD5195" w:rsidRDefault="00AD5195" w:rsidP="00AD5195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AD5195">
              <w:rPr>
                <w:rFonts w:ascii="Arial" w:eastAsia="Times New Roman" w:hAnsi="Arial" w:cs="Arial"/>
                <w:lang w:eastAsia="de-DE"/>
              </w:rPr>
              <w:t>asylum</w:t>
            </w:r>
            <w:proofErr w:type="spellEnd"/>
            <w:r w:rsidRPr="00AD5195">
              <w:rPr>
                <w:rFonts w:ascii="Arial" w:eastAsia="Times New Roman" w:hAnsi="Arial" w:cs="Arial"/>
                <w:lang w:eastAsia="de-DE"/>
              </w:rPr>
              <w:t>: Das Asyl, die Freistatt.</w:t>
            </w:r>
          </w:p>
          <w:p w:rsidR="00AD5195" w:rsidRPr="00921E1B" w:rsidRDefault="00AD5195" w:rsidP="00921E1B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21E1B" w:rsidRPr="0098200B" w:rsidTr="001D6B1D">
        <w:trPr>
          <w:cantSplit/>
        </w:trPr>
        <w:tc>
          <w:tcPr>
            <w:tcW w:w="2578" w:type="pct"/>
            <w:vAlign w:val="center"/>
            <w:hideMark/>
          </w:tcPr>
          <w:p w:rsidR="00AD5195" w:rsidRPr="0098200B" w:rsidRDefault="00921E1B" w:rsidP="00921E1B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lastRenderedPageBreak/>
              <w:t xml:space="preserve">Eo ex finitimis populis turba omnis sine discrimine, </w:t>
            </w:r>
          </w:p>
          <w:p w:rsidR="00AD5195" w:rsidRPr="0098200B" w:rsidRDefault="00921E1B" w:rsidP="00AD5195">
            <w:pPr>
              <w:ind w:left="708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liber an servus esset, </w:t>
            </w:r>
          </w:p>
          <w:p w:rsidR="00921E1B" w:rsidRPr="0098200B" w:rsidRDefault="00921E1B" w:rsidP="00921E1B">
            <w:pPr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avida novarum rerum perfugit, idque primum ad coeptam magnitudinem roboris fuit. </w:t>
            </w:r>
          </w:p>
        </w:tc>
        <w:tc>
          <w:tcPr>
            <w:tcW w:w="2373" w:type="pct"/>
            <w:vAlign w:val="center"/>
            <w:hideMark/>
          </w:tcPr>
          <w:p w:rsidR="00AD5195" w:rsidRPr="006C36E6" w:rsidRDefault="00921E1B" w:rsidP="00AD5195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discrimen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discriminis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, n.: der Unterschied (daher das Fremdwort </w:t>
            </w:r>
            <w:r w:rsidRPr="006C36E6">
              <w:rPr>
                <w:rFonts w:ascii="Arial" w:eastAsia="Times New Roman" w:hAnsi="Arial" w:cs="Arial"/>
                <w:lang w:eastAsia="de-DE"/>
              </w:rPr>
              <w:t>Diskriminierung</w:t>
            </w:r>
            <w:r w:rsidRPr="00921E1B">
              <w:rPr>
                <w:rFonts w:ascii="Arial" w:eastAsia="Times New Roman" w:hAnsi="Arial" w:cs="Arial"/>
                <w:lang w:eastAsia="de-DE"/>
              </w:rPr>
              <w:t xml:space="preserve">: einen Unterschied machen). Von </w:t>
            </w:r>
            <w:proofErr w:type="spellStart"/>
            <w:r w:rsidRPr="006C36E6">
              <w:rPr>
                <w:rFonts w:ascii="Arial" w:eastAsia="Times New Roman" w:hAnsi="Arial" w:cs="Arial"/>
                <w:lang w:eastAsia="de-DE"/>
              </w:rPr>
              <w:t>discrimen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 hängt ein indirekter Fragesatz ab, und zwar eine Doppelfrage. Siehe hierzu den Grundwortschatz,  </w:t>
            </w:r>
            <w:r w:rsidR="006C36E6">
              <w:rPr>
                <w:rFonts w:ascii="Arial" w:eastAsia="Times New Roman" w:hAnsi="Arial" w:cs="Arial"/>
                <w:lang w:eastAsia="de-DE"/>
              </w:rPr>
              <w:t>Fragewörter</w:t>
            </w:r>
            <w:bookmarkStart w:id="0" w:name="_GoBack"/>
            <w:bookmarkEnd w:id="0"/>
          </w:p>
          <w:p w:rsidR="00921E1B" w:rsidRPr="00921E1B" w:rsidRDefault="00921E1B" w:rsidP="00AD5195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primum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 ... 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fuit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: es war der Beginn... Von </w:t>
            </w:r>
            <w:proofErr w:type="spellStart"/>
            <w:r w:rsidRPr="006C36E6">
              <w:rPr>
                <w:rFonts w:ascii="Arial" w:eastAsia="Times New Roman" w:hAnsi="Arial" w:cs="Arial"/>
                <w:lang w:eastAsia="de-DE"/>
              </w:rPr>
              <w:t>primum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 hängt </w:t>
            </w:r>
            <w:proofErr w:type="spellStart"/>
            <w:r w:rsidRPr="006C36E6">
              <w:rPr>
                <w:rFonts w:ascii="Arial" w:eastAsia="Times New Roman" w:hAnsi="Arial" w:cs="Arial"/>
                <w:lang w:eastAsia="de-DE"/>
              </w:rPr>
              <w:t>roboris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 ab (Genitivus </w:t>
            </w: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partitivus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).</w:t>
            </w:r>
          </w:p>
        </w:tc>
      </w:tr>
      <w:tr w:rsidR="00921E1B" w:rsidRPr="0098200B" w:rsidTr="001D6B1D">
        <w:trPr>
          <w:cantSplit/>
        </w:trPr>
        <w:tc>
          <w:tcPr>
            <w:tcW w:w="2578" w:type="pct"/>
            <w:vAlign w:val="center"/>
            <w:hideMark/>
          </w:tcPr>
          <w:p w:rsidR="00921E1B" w:rsidRPr="0098200B" w:rsidRDefault="00921E1B" w:rsidP="00921E1B">
            <w:pPr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>Cum iam virium haud paeniteret, consilium deinde viribus parat.</w:t>
            </w:r>
          </w:p>
        </w:tc>
        <w:tc>
          <w:tcPr>
            <w:tcW w:w="2373" w:type="pct"/>
            <w:vAlign w:val="center"/>
            <w:hideMark/>
          </w:tcPr>
          <w:p w:rsidR="00921E1B" w:rsidRPr="00921E1B" w:rsidRDefault="00921E1B" w:rsidP="00921E1B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paenitet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 xml:space="preserve"> (m. Genitiv): man bereut eine Sache</w:t>
            </w:r>
          </w:p>
        </w:tc>
      </w:tr>
      <w:tr w:rsidR="00921E1B" w:rsidRPr="0098200B" w:rsidTr="001D6B1D">
        <w:trPr>
          <w:cantSplit/>
        </w:trPr>
        <w:tc>
          <w:tcPr>
            <w:tcW w:w="2578" w:type="pct"/>
            <w:vAlign w:val="center"/>
            <w:hideMark/>
          </w:tcPr>
          <w:p w:rsidR="00921E1B" w:rsidRPr="0098200B" w:rsidRDefault="00921E1B" w:rsidP="00921E1B">
            <w:pPr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 xml:space="preserve">Centum creat senatores, sive quia is numerus satis erat, sive quia soli centum erant, qui creari patres possent. </w:t>
            </w:r>
          </w:p>
          <w:p w:rsidR="00921E1B" w:rsidRPr="0098200B" w:rsidRDefault="00921E1B" w:rsidP="00921E1B">
            <w:pPr>
              <w:rPr>
                <w:rFonts w:ascii="Arial" w:hAnsi="Arial" w:cs="Arial"/>
                <w:sz w:val="24"/>
                <w:szCs w:val="24"/>
                <w:lang w:val="la-Latn" w:eastAsia="de-DE"/>
              </w:rPr>
            </w:pPr>
            <w:r w:rsidRPr="0098200B">
              <w:rPr>
                <w:rFonts w:ascii="Arial" w:hAnsi="Arial" w:cs="Arial"/>
                <w:sz w:val="24"/>
                <w:szCs w:val="24"/>
                <w:lang w:val="la-Latn" w:eastAsia="de-DE"/>
              </w:rPr>
              <w:t>Patres certe ab honore patriciique progenies eorum appellati.</w:t>
            </w:r>
          </w:p>
        </w:tc>
        <w:tc>
          <w:tcPr>
            <w:tcW w:w="2373" w:type="pct"/>
            <w:vAlign w:val="center"/>
            <w:hideMark/>
          </w:tcPr>
          <w:p w:rsidR="00AD5195" w:rsidRDefault="00921E1B" w:rsidP="00AD5195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creare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: auswählen</w:t>
            </w:r>
          </w:p>
          <w:p w:rsidR="00921E1B" w:rsidRPr="00921E1B" w:rsidRDefault="00921E1B" w:rsidP="00AD5195">
            <w:pPr>
              <w:spacing w:line="312" w:lineRule="auto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921E1B">
              <w:rPr>
                <w:rFonts w:ascii="Arial" w:eastAsia="Times New Roman" w:hAnsi="Arial" w:cs="Arial"/>
                <w:lang w:eastAsia="de-DE"/>
              </w:rPr>
              <w:t>progenies</w:t>
            </w:r>
            <w:proofErr w:type="spellEnd"/>
            <w:r w:rsidRPr="00921E1B">
              <w:rPr>
                <w:rFonts w:ascii="Arial" w:eastAsia="Times New Roman" w:hAnsi="Arial" w:cs="Arial"/>
                <w:lang w:eastAsia="de-DE"/>
              </w:rPr>
              <w:t>: die Nachkommenschaft</w:t>
            </w:r>
          </w:p>
        </w:tc>
      </w:tr>
    </w:tbl>
    <w:p w:rsidR="00BC425A" w:rsidRPr="00921E1B" w:rsidRDefault="00BC425A" w:rsidP="007465D8">
      <w:pPr>
        <w:rPr>
          <w:rFonts w:ascii="Arial" w:hAnsi="Arial" w:cs="Arial"/>
        </w:rPr>
      </w:pPr>
    </w:p>
    <w:sectPr w:rsidR="00BC425A" w:rsidRPr="00921E1B" w:rsidSect="002F376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92" w:rsidRDefault="00351592" w:rsidP="00921E1B">
      <w:pPr>
        <w:spacing w:line="240" w:lineRule="auto"/>
      </w:pPr>
      <w:r>
        <w:separator/>
      </w:r>
    </w:p>
  </w:endnote>
  <w:endnote w:type="continuationSeparator" w:id="0">
    <w:p w:rsidR="00351592" w:rsidRDefault="00351592" w:rsidP="00921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4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36"/>
      <w:gridCol w:w="4886"/>
      <w:gridCol w:w="882"/>
    </w:tblGrid>
    <w:tr w:rsidR="00921E1B" w:rsidRPr="0098200B" w:rsidTr="003651EF">
      <w:tc>
        <w:tcPr>
          <w:tcW w:w="1701" w:type="dxa"/>
          <w:shd w:val="clear" w:color="auto" w:fill="auto"/>
        </w:tcPr>
        <w:p w:rsidR="00921E1B" w:rsidRPr="0098200B" w:rsidRDefault="008639A6" w:rsidP="003651EF">
          <w:pPr>
            <w:pStyle w:val="Fuzeile"/>
            <w:jc w:val="center"/>
          </w:pPr>
          <w:r>
            <w:rPr>
              <w:noProof/>
            </w:rPr>
            <w:drawing>
              <wp:inline distT="0" distB="0" distL="0" distR="0">
                <wp:extent cx="1976438" cy="632460"/>
                <wp:effectExtent l="0" t="0" r="508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Neu-Schriftzug-für-wo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706" cy="634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</w:tcPr>
        <w:p w:rsidR="00921E1B" w:rsidRPr="0098200B" w:rsidRDefault="00921E1B" w:rsidP="003651EF">
          <w:pPr>
            <w:pStyle w:val="Fuzeile"/>
            <w:jc w:val="center"/>
            <w:rPr>
              <w:rFonts w:ascii="Verdana" w:hAnsi="Verdana"/>
              <w:sz w:val="20"/>
              <w:szCs w:val="20"/>
            </w:rPr>
          </w:pPr>
          <w:r w:rsidRPr="0098200B">
            <w:rPr>
              <w:rFonts w:ascii="Verdana" w:hAnsi="Verdana"/>
              <w:sz w:val="20"/>
              <w:szCs w:val="20"/>
            </w:rPr>
            <w:t>Ti</w:t>
          </w:r>
          <w:r w:rsidR="0081059B" w:rsidRPr="0098200B">
            <w:rPr>
              <w:rFonts w:ascii="Verdana" w:hAnsi="Verdana"/>
              <w:sz w:val="20"/>
              <w:szCs w:val="20"/>
            </w:rPr>
            <w:t xml:space="preserve">tus Livius: Ab </w:t>
          </w:r>
          <w:proofErr w:type="spellStart"/>
          <w:r w:rsidR="0081059B" w:rsidRPr="0098200B">
            <w:rPr>
              <w:rFonts w:ascii="Verdana" w:hAnsi="Verdana"/>
              <w:sz w:val="20"/>
              <w:szCs w:val="20"/>
            </w:rPr>
            <w:t>urbe</w:t>
          </w:r>
          <w:proofErr w:type="spellEnd"/>
          <w:r w:rsidR="0081059B" w:rsidRPr="0098200B"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 w:rsidR="0081059B" w:rsidRPr="0098200B">
            <w:rPr>
              <w:rFonts w:ascii="Verdana" w:hAnsi="Verdana"/>
              <w:sz w:val="20"/>
              <w:szCs w:val="20"/>
            </w:rPr>
            <w:t>condita</w:t>
          </w:r>
          <w:proofErr w:type="spellEnd"/>
          <w:r w:rsidR="0081059B" w:rsidRPr="0098200B">
            <w:rPr>
              <w:rFonts w:ascii="Verdana" w:hAnsi="Verdana"/>
              <w:sz w:val="20"/>
              <w:szCs w:val="20"/>
            </w:rPr>
            <w:t xml:space="preserve"> 1, 8</w:t>
          </w:r>
        </w:p>
        <w:p w:rsidR="00921E1B" w:rsidRPr="0098200B" w:rsidRDefault="00921E1B" w:rsidP="00821313">
          <w:pPr>
            <w:pStyle w:val="Fuzeile"/>
            <w:spacing w:before="80"/>
            <w:jc w:val="center"/>
            <w:rPr>
              <w:rFonts w:ascii="Verdana" w:hAnsi="Verdana"/>
              <w:sz w:val="16"/>
              <w:szCs w:val="16"/>
            </w:rPr>
          </w:pPr>
          <w:r w:rsidRPr="0098200B">
            <w:rPr>
              <w:rFonts w:ascii="Verdana" w:hAnsi="Verdana"/>
              <w:i/>
              <w:sz w:val="16"/>
              <w:szCs w:val="16"/>
            </w:rPr>
            <w:t>Lateinische Bibliothek</w:t>
          </w:r>
        </w:p>
        <w:p w:rsidR="00921E1B" w:rsidRPr="0098200B" w:rsidRDefault="003651EF" w:rsidP="003651EF">
          <w:pPr>
            <w:pStyle w:val="Fuzeile"/>
            <w:spacing w:before="80"/>
            <w:jc w:val="center"/>
            <w:rPr>
              <w:rFonts w:ascii="Verdana" w:hAnsi="Verdana"/>
              <w:sz w:val="18"/>
              <w:szCs w:val="18"/>
            </w:rPr>
          </w:pPr>
          <w:hyperlink r:id="rId2" w:history="1">
            <w:r w:rsidR="00921E1B" w:rsidRPr="0098200B">
              <w:rPr>
                <w:rStyle w:val="Hyperlink"/>
                <w:rFonts w:ascii="Verdana" w:hAnsi="Verdana"/>
                <w:sz w:val="18"/>
                <w:szCs w:val="18"/>
              </w:rPr>
              <w:t>www.latein-bw.de</w:t>
            </w:r>
          </w:hyperlink>
          <w:r w:rsidR="00921E1B" w:rsidRPr="0098200B">
            <w:rPr>
              <w:rFonts w:ascii="Verdana" w:hAnsi="Verdana"/>
              <w:sz w:val="18"/>
              <w:szCs w:val="18"/>
            </w:rPr>
            <w:t xml:space="preserve"> </w:t>
          </w:r>
        </w:p>
      </w:tc>
      <w:tc>
        <w:tcPr>
          <w:tcW w:w="882" w:type="dxa"/>
          <w:shd w:val="clear" w:color="auto" w:fill="auto"/>
          <w:noWrap/>
          <w:tcMar>
            <w:left w:w="57" w:type="dxa"/>
            <w:right w:w="57" w:type="dxa"/>
          </w:tcMar>
          <w:tcFitText/>
          <w:vAlign w:val="center"/>
        </w:tcPr>
        <w:p w:rsidR="00921E1B" w:rsidRPr="0098200B" w:rsidRDefault="00921E1B" w:rsidP="003651EF">
          <w:pPr>
            <w:rPr>
              <w:sz w:val="18"/>
              <w:szCs w:val="18"/>
            </w:rPr>
          </w:pPr>
          <w:r w:rsidRPr="00EE16CA">
            <w:rPr>
              <w:spacing w:val="24"/>
              <w:sz w:val="18"/>
              <w:szCs w:val="18"/>
            </w:rPr>
            <w:t xml:space="preserve">Seite </w:t>
          </w:r>
          <w:r w:rsidRPr="00EE16CA">
            <w:rPr>
              <w:spacing w:val="24"/>
              <w:sz w:val="18"/>
              <w:szCs w:val="18"/>
            </w:rPr>
            <w:fldChar w:fldCharType="begin"/>
          </w:r>
          <w:r w:rsidRPr="00EE16CA">
            <w:rPr>
              <w:spacing w:val="24"/>
              <w:sz w:val="18"/>
              <w:szCs w:val="18"/>
            </w:rPr>
            <w:instrText>PAGE   \* MERGEFORMAT</w:instrText>
          </w:r>
          <w:r w:rsidRPr="00EE16CA">
            <w:rPr>
              <w:spacing w:val="24"/>
              <w:sz w:val="18"/>
              <w:szCs w:val="18"/>
            </w:rPr>
            <w:fldChar w:fldCharType="separate"/>
          </w:r>
          <w:r w:rsidR="006C36E6">
            <w:rPr>
              <w:noProof/>
              <w:spacing w:val="24"/>
              <w:sz w:val="18"/>
              <w:szCs w:val="18"/>
            </w:rPr>
            <w:t>1</w:t>
          </w:r>
          <w:r w:rsidRPr="00EE16CA">
            <w:rPr>
              <w:spacing w:val="24"/>
              <w:sz w:val="18"/>
              <w:szCs w:val="18"/>
            </w:rPr>
            <w:fldChar w:fldCharType="end"/>
          </w:r>
          <w:r w:rsidRPr="00EE16CA">
            <w:rPr>
              <w:spacing w:val="48"/>
              <w:sz w:val="18"/>
              <w:szCs w:val="18"/>
            </w:rPr>
            <w:t xml:space="preserve"> </w:t>
          </w:r>
        </w:p>
      </w:tc>
    </w:tr>
  </w:tbl>
  <w:p w:rsidR="00921E1B" w:rsidRDefault="00921E1B" w:rsidP="008213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92" w:rsidRDefault="00351592" w:rsidP="00921E1B">
      <w:pPr>
        <w:spacing w:line="240" w:lineRule="auto"/>
      </w:pPr>
      <w:r>
        <w:separator/>
      </w:r>
    </w:p>
  </w:footnote>
  <w:footnote w:type="continuationSeparator" w:id="0">
    <w:p w:rsidR="00351592" w:rsidRDefault="00351592" w:rsidP="00921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1B"/>
    <w:rsid w:val="000811C3"/>
    <w:rsid w:val="001D6B1D"/>
    <w:rsid w:val="002F3761"/>
    <w:rsid w:val="00351592"/>
    <w:rsid w:val="003651EF"/>
    <w:rsid w:val="00517DDC"/>
    <w:rsid w:val="00591F74"/>
    <w:rsid w:val="006C36E6"/>
    <w:rsid w:val="00735996"/>
    <w:rsid w:val="007465D8"/>
    <w:rsid w:val="0081059B"/>
    <w:rsid w:val="00821313"/>
    <w:rsid w:val="008639A6"/>
    <w:rsid w:val="00914959"/>
    <w:rsid w:val="00921E1B"/>
    <w:rsid w:val="0098200B"/>
    <w:rsid w:val="00A14681"/>
    <w:rsid w:val="00AD5195"/>
    <w:rsid w:val="00BC425A"/>
    <w:rsid w:val="00D12733"/>
    <w:rsid w:val="00EA5A73"/>
    <w:rsid w:val="00EE16CA"/>
    <w:rsid w:val="00EF3D07"/>
    <w:rsid w:val="00F051CC"/>
    <w:rsid w:val="00F471EA"/>
    <w:rsid w:val="00F742D5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60A4B"/>
  <w15:chartTrackingRefBased/>
  <w15:docId w15:val="{1D7A32B2-B0B8-43AB-92DC-4A3CD19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5195"/>
    <w:pPr>
      <w:spacing w:line="360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921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21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AD519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D5195"/>
  </w:style>
  <w:style w:type="character" w:customStyle="1" w:styleId="berschrift1Zchn">
    <w:name w:val="Überschrift 1 Zchn"/>
    <w:link w:val="berschrift1"/>
    <w:uiPriority w:val="9"/>
    <w:rsid w:val="00921E1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link w:val="berschrift3"/>
    <w:uiPriority w:val="9"/>
    <w:rsid w:val="00921E1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921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921E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1E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1E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E1B"/>
  </w:style>
  <w:style w:type="paragraph" w:styleId="Fuzeile">
    <w:name w:val="footer"/>
    <w:basedOn w:val="Standard"/>
    <w:link w:val="FuzeileZchn"/>
    <w:uiPriority w:val="99"/>
    <w:unhideWhenUsed/>
    <w:rsid w:val="00921E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tein-bw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Romulus richtet das Asyl ein</vt:lpstr>
    </vt:vector>
  </TitlesOfParts>
  <Company/>
  <LinksUpToDate>false</LinksUpToDate>
  <CharactersWithSpaces>2359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https://plone.schule-bw.de/unterricht/faecher/latein/grundwortschatz/gws-html/subjunktionen.html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http://www.latein-bw.de/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Romulus richtet das Asyl ein</dc:title>
  <dc:subject/>
  <dc:creator>Bechthold-Hengelhaupt</dc:creator>
  <cp:keywords/>
  <cp:lastModifiedBy>Tilman Bechthold-Hengelhaupt</cp:lastModifiedBy>
  <cp:revision>5</cp:revision>
  <dcterms:created xsi:type="dcterms:W3CDTF">2017-06-29T16:51:00Z</dcterms:created>
  <dcterms:modified xsi:type="dcterms:W3CDTF">2017-06-29T16:52:00Z</dcterms:modified>
</cp:coreProperties>
</file>