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FC7" w:rsidRDefault="00EB5E35">
      <w:pPr>
        <w:pStyle w:val="berschrift3"/>
        <w:rPr>
          <w:rFonts w:ascii="Arial" w:hAnsi="Arial"/>
          <w:sz w:val="22"/>
          <w:szCs w:val="22"/>
        </w:rPr>
      </w:pPr>
      <w:bookmarkStart w:id="0" w:name="_GoBack"/>
      <w:bookmarkEnd w:id="0"/>
      <w:r>
        <w:rPr>
          <w:rFonts w:ascii="Arial" w:hAnsi="Arial"/>
          <w:sz w:val="22"/>
          <w:szCs w:val="22"/>
        </w:rPr>
        <w:t>Sallust, Coniuratio Catilinae (Die Verschwörung des Catilina) 58, 1-12</w:t>
      </w:r>
    </w:p>
    <w:p w:rsidR="00BB2FC7" w:rsidRDefault="00EB5E35">
      <w:pPr>
        <w:pStyle w:val="berschrift3"/>
        <w:rPr>
          <w:rFonts w:ascii="Arial" w:hAnsi="Arial"/>
          <w:sz w:val="22"/>
          <w:szCs w:val="22"/>
        </w:rPr>
      </w:pPr>
      <w:r>
        <w:rPr>
          <w:rFonts w:ascii="Arial" w:hAnsi="Arial"/>
          <w:sz w:val="22"/>
          <w:szCs w:val="22"/>
        </w:rPr>
        <w:t>Aus Catilinas Rede vor seinen Anhängern</w:t>
      </w:r>
    </w:p>
    <w:p w:rsidR="00BB2FC7" w:rsidRDefault="00EB5E35">
      <w:pPr>
        <w:pStyle w:val="Textbody"/>
        <w:rPr>
          <w:rFonts w:ascii="Arial" w:hAnsi="Arial"/>
        </w:rPr>
      </w:pPr>
      <w:r>
        <w:rPr>
          <w:rFonts w:ascii="Arial" w:hAnsi="Arial"/>
        </w:rPr>
        <w:t>Kurz vor der entscheidenden Schlacht in Etrurien mahnt Catilina seine Mitkämpfer zur Entschlossenheit.</w:t>
      </w:r>
    </w:p>
    <w:p w:rsidR="0066654B" w:rsidRDefault="0066654B" w:rsidP="0066654B">
      <w:pPr>
        <w:pStyle w:val="Textbody"/>
      </w:pPr>
      <w:r>
        <w:rPr>
          <w:rFonts w:ascii="Arial" w:hAnsi="Arial"/>
          <w:sz w:val="22"/>
          <w:szCs w:val="22"/>
        </w:rPr>
        <w:t xml:space="preserve">Dieser Textauszug ist Teil des Lektüreprojekts </w:t>
      </w:r>
      <w:hyperlink r:id="rId7" w:history="1">
        <w:r w:rsidRPr="00ED234E">
          <w:rPr>
            <w:rFonts w:ascii="Arial" w:hAnsi="Arial"/>
            <w:b/>
            <w:color w:val="0070C0"/>
            <w:sz w:val="22"/>
            <w:szCs w:val="22"/>
            <w:u w:val="single"/>
          </w:rPr>
          <w:t>Fluch</w:t>
        </w:r>
        <w:r w:rsidRPr="00ED234E">
          <w:rPr>
            <w:rFonts w:ascii="Arial" w:hAnsi="Arial"/>
            <w:b/>
            <w:color w:val="0070C0"/>
            <w:sz w:val="22"/>
            <w:szCs w:val="22"/>
            <w:u w:val="single"/>
          </w:rPr>
          <w:t>t</w:t>
        </w:r>
        <w:r w:rsidRPr="00ED234E">
          <w:rPr>
            <w:rFonts w:ascii="Arial" w:hAnsi="Arial"/>
            <w:b/>
            <w:color w:val="0070C0"/>
            <w:sz w:val="22"/>
            <w:szCs w:val="22"/>
            <w:u w:val="single"/>
          </w:rPr>
          <w:t xml:space="preserve">, Exil und </w:t>
        </w:r>
        <w:r w:rsidRPr="00ED234E">
          <w:rPr>
            <w:rFonts w:ascii="Arial" w:hAnsi="Arial"/>
            <w:b/>
            <w:color w:val="0070C0"/>
            <w:sz w:val="22"/>
            <w:szCs w:val="22"/>
            <w:u w:val="single"/>
          </w:rPr>
          <w:t>A</w:t>
        </w:r>
        <w:r w:rsidRPr="00ED234E">
          <w:rPr>
            <w:rFonts w:ascii="Arial" w:hAnsi="Arial"/>
            <w:b/>
            <w:color w:val="0070C0"/>
            <w:sz w:val="22"/>
            <w:szCs w:val="22"/>
            <w:u w:val="single"/>
          </w:rPr>
          <w:t>syl im antiken Rom</w:t>
        </w:r>
      </w:hyperlink>
      <w:r>
        <w:rPr>
          <w:rFonts w:ascii="Arial" w:hAnsi="Arial"/>
          <w:sz w:val="22"/>
          <w:szCs w:val="22"/>
        </w:rPr>
        <w:t>.</w:t>
      </w:r>
    </w:p>
    <w:tbl>
      <w:tblPr>
        <w:tblW w:w="4950" w:type="pct"/>
        <w:tblInd w:w="60" w:type="dxa"/>
        <w:tblLayout w:type="fixed"/>
        <w:tblCellMar>
          <w:left w:w="10" w:type="dxa"/>
          <w:right w:w="10" w:type="dxa"/>
        </w:tblCellMar>
        <w:tblLook w:val="04A0" w:firstRow="1" w:lastRow="0" w:firstColumn="1" w:lastColumn="0" w:noHBand="0" w:noVBand="1"/>
      </w:tblPr>
      <w:tblGrid>
        <w:gridCol w:w="4761"/>
        <w:gridCol w:w="4761"/>
      </w:tblGrid>
      <w:tr w:rsidR="00BB2FC7" w:rsidTr="00061B54">
        <w:tblPrEx>
          <w:tblCellMar>
            <w:top w:w="0" w:type="dxa"/>
            <w:bottom w:w="0" w:type="dxa"/>
          </w:tblCellMar>
        </w:tblPrEx>
        <w:trPr>
          <w:cantSplit/>
          <w:tblHeader/>
        </w:trPr>
        <w:tc>
          <w:tcPr>
            <w:tcW w:w="4830" w:type="dxa"/>
            <w:tcBorders>
              <w:top w:val="single" w:sz="8" w:space="0" w:color="808080"/>
              <w:left w:val="single" w:sz="8" w:space="0" w:color="808080"/>
              <w:bottom w:val="single" w:sz="8" w:space="0" w:color="808080"/>
            </w:tcBorders>
            <w:tcMar>
              <w:top w:w="60" w:type="dxa"/>
              <w:left w:w="60" w:type="dxa"/>
              <w:bottom w:w="60" w:type="dxa"/>
              <w:right w:w="60" w:type="dxa"/>
            </w:tcMar>
            <w:vAlign w:val="center"/>
          </w:tcPr>
          <w:p w:rsidR="00BB2FC7" w:rsidRDefault="00EB5E35">
            <w:pPr>
              <w:pStyle w:val="TableContents"/>
              <w:spacing w:line="360" w:lineRule="auto"/>
              <w:jc w:val="center"/>
              <w:rPr>
                <w:rFonts w:ascii="Arial" w:hAnsi="Arial"/>
              </w:rPr>
            </w:pPr>
            <w:r>
              <w:rPr>
                <w:rFonts w:ascii="Arial" w:hAnsi="Arial"/>
              </w:rPr>
              <w:t>Text</w:t>
            </w:r>
          </w:p>
        </w:tc>
        <w:tc>
          <w:tcPr>
            <w:tcW w:w="4830" w:type="dxa"/>
            <w:tcBorders>
              <w:top w:val="single" w:sz="8" w:space="0" w:color="808080"/>
              <w:left w:val="single" w:sz="8" w:space="0" w:color="808080"/>
              <w:bottom w:val="single" w:sz="8" w:space="0" w:color="808080"/>
              <w:right w:val="single" w:sz="8" w:space="0" w:color="808080"/>
            </w:tcBorders>
            <w:tcMar>
              <w:top w:w="60" w:type="dxa"/>
              <w:left w:w="60" w:type="dxa"/>
              <w:bottom w:w="60" w:type="dxa"/>
              <w:right w:w="60" w:type="dxa"/>
            </w:tcMar>
            <w:vAlign w:val="center"/>
          </w:tcPr>
          <w:p w:rsidR="00BB2FC7" w:rsidRDefault="00EB5E35" w:rsidP="00061B54">
            <w:pPr>
              <w:pStyle w:val="TableContents"/>
              <w:spacing w:before="57" w:line="360" w:lineRule="atLeast"/>
              <w:ind w:left="170" w:hanging="170"/>
              <w:jc w:val="center"/>
              <w:rPr>
                <w:rFonts w:ascii="Arial" w:hAnsi="Arial"/>
              </w:rPr>
            </w:pPr>
            <w:r>
              <w:rPr>
                <w:rFonts w:ascii="Arial" w:hAnsi="Arial"/>
              </w:rPr>
              <w:t>Übersetzungshilfen und Erläuterungen</w:t>
            </w:r>
          </w:p>
        </w:tc>
      </w:tr>
      <w:tr w:rsidR="00BB2FC7" w:rsidTr="00061B54">
        <w:tblPrEx>
          <w:tblCellMar>
            <w:top w:w="0" w:type="dxa"/>
            <w:bottom w:w="0" w:type="dxa"/>
          </w:tblCellMar>
        </w:tblPrEx>
        <w:trPr>
          <w:cantSplit/>
        </w:trPr>
        <w:tc>
          <w:tcPr>
            <w:tcW w:w="4830" w:type="dxa"/>
            <w:tcBorders>
              <w:left w:val="single" w:sz="8" w:space="0" w:color="808080"/>
              <w:bottom w:val="single" w:sz="8" w:space="0" w:color="808080"/>
            </w:tcBorders>
            <w:tcMar>
              <w:top w:w="60" w:type="dxa"/>
              <w:left w:w="60" w:type="dxa"/>
              <w:bottom w:w="60" w:type="dxa"/>
              <w:right w:w="60" w:type="dxa"/>
            </w:tcMar>
            <w:vAlign w:val="center"/>
          </w:tcPr>
          <w:p w:rsidR="00BB2FC7" w:rsidRPr="00061B54" w:rsidRDefault="00EB5E35">
            <w:pPr>
              <w:pStyle w:val="TableContents"/>
              <w:spacing w:after="283" w:line="360" w:lineRule="auto"/>
              <w:rPr>
                <w:rFonts w:ascii="Arial" w:hAnsi="Arial"/>
                <w:lang w:val="la-Latn"/>
              </w:rPr>
            </w:pPr>
            <w:r w:rsidRPr="00061B54">
              <w:rPr>
                <w:rFonts w:ascii="Arial" w:hAnsi="Arial"/>
                <w:lang w:val="la-Latn"/>
              </w:rPr>
              <w:t>58.1. Conpertum ego habeo, milites, verba virtutem non addere, neque ex ignavo strenuom neque fortem ex timido exercitum oratione imperatoris fieri.</w:t>
            </w:r>
          </w:p>
        </w:tc>
        <w:tc>
          <w:tcPr>
            <w:tcW w:w="4830" w:type="dxa"/>
            <w:tcBorders>
              <w:left w:val="single" w:sz="8" w:space="0" w:color="808080"/>
              <w:bottom w:val="single" w:sz="8" w:space="0" w:color="808080"/>
              <w:right w:val="single" w:sz="8" w:space="0" w:color="808080"/>
            </w:tcBorders>
            <w:tcMar>
              <w:top w:w="60" w:type="dxa"/>
              <w:left w:w="60" w:type="dxa"/>
              <w:bottom w:w="60" w:type="dxa"/>
              <w:right w:w="60" w:type="dxa"/>
            </w:tcMar>
            <w:vAlign w:val="center"/>
          </w:tcPr>
          <w:p w:rsidR="00BB2FC7" w:rsidRDefault="00EB5E35" w:rsidP="00061B54">
            <w:pPr>
              <w:pStyle w:val="TableContents"/>
              <w:spacing w:before="57" w:line="360" w:lineRule="atLeast"/>
              <w:ind w:left="170" w:hanging="170"/>
              <w:rPr>
                <w:rFonts w:ascii="Arial" w:hAnsi="Arial"/>
              </w:rPr>
            </w:pPr>
            <w:r>
              <w:rPr>
                <w:rFonts w:ascii="Arial" w:hAnsi="Arial"/>
              </w:rPr>
              <w:t>conpertum habere: wissen, in Erfahrung gebracht haben</w:t>
            </w:r>
          </w:p>
          <w:p w:rsidR="00BB2FC7" w:rsidRDefault="00EB5E35" w:rsidP="00061B54">
            <w:pPr>
              <w:pStyle w:val="TableContents"/>
              <w:spacing w:before="57" w:line="360" w:lineRule="atLeast"/>
              <w:ind w:left="170" w:hanging="170"/>
              <w:rPr>
                <w:rFonts w:ascii="Arial" w:hAnsi="Arial"/>
              </w:rPr>
            </w:pPr>
            <w:r>
              <w:rPr>
                <w:rFonts w:ascii="Arial" w:hAnsi="Arial"/>
              </w:rPr>
              <w:t>strenuom = strenuum; strenuus: eifrig, entschlossen</w:t>
            </w:r>
          </w:p>
        </w:tc>
      </w:tr>
      <w:tr w:rsidR="00BB2FC7" w:rsidTr="00061B54">
        <w:tblPrEx>
          <w:tblCellMar>
            <w:top w:w="0" w:type="dxa"/>
            <w:bottom w:w="0" w:type="dxa"/>
          </w:tblCellMar>
        </w:tblPrEx>
        <w:trPr>
          <w:cantSplit/>
        </w:trPr>
        <w:tc>
          <w:tcPr>
            <w:tcW w:w="4830" w:type="dxa"/>
            <w:tcBorders>
              <w:left w:val="single" w:sz="8" w:space="0" w:color="808080"/>
              <w:bottom w:val="single" w:sz="8" w:space="0" w:color="808080"/>
            </w:tcBorders>
            <w:tcMar>
              <w:top w:w="60" w:type="dxa"/>
              <w:left w:w="60" w:type="dxa"/>
              <w:bottom w:w="60" w:type="dxa"/>
              <w:right w:w="60" w:type="dxa"/>
            </w:tcMar>
            <w:vAlign w:val="center"/>
          </w:tcPr>
          <w:p w:rsidR="00BB2FC7" w:rsidRPr="00061B54" w:rsidRDefault="00EB5E35" w:rsidP="001857BB">
            <w:pPr>
              <w:pStyle w:val="TableContents"/>
              <w:spacing w:line="360" w:lineRule="auto"/>
              <w:rPr>
                <w:rFonts w:ascii="Arial" w:hAnsi="Arial"/>
                <w:lang w:val="la-Latn"/>
              </w:rPr>
            </w:pPr>
            <w:r w:rsidRPr="00061B54">
              <w:rPr>
                <w:rFonts w:ascii="Arial" w:hAnsi="Arial"/>
                <w:lang w:val="la-Latn"/>
              </w:rPr>
              <w:t xml:space="preserve">58.2. </w:t>
            </w:r>
            <w:r w:rsidR="001857BB">
              <w:rPr>
                <w:rFonts w:ascii="Arial" w:hAnsi="Arial"/>
              </w:rPr>
              <w:t>Q</w:t>
            </w:r>
            <w:r w:rsidRPr="00061B54">
              <w:rPr>
                <w:rFonts w:ascii="Arial" w:hAnsi="Arial"/>
                <w:lang w:val="la-Latn"/>
              </w:rPr>
              <w:t>uanta quoiusque animo audacia natura aut moribus inest, tanta in bello patere solet. quem neque gloria neque pericula excitant, nequiquam hortere: timo</w:t>
            </w:r>
            <w:r w:rsidR="001857BB">
              <w:rPr>
                <w:rFonts w:ascii="Arial" w:hAnsi="Arial"/>
                <w:lang w:val="la-Latn"/>
              </w:rPr>
              <w:t xml:space="preserve">r animi auribus officit. </w:t>
            </w:r>
            <w:r w:rsidR="001857BB">
              <w:rPr>
                <w:rFonts w:ascii="Arial" w:hAnsi="Arial"/>
                <w:lang w:val="la-Latn"/>
              </w:rPr>
              <w:br/>
              <w:t>58.3</w:t>
            </w:r>
            <w:r w:rsidR="001857BB">
              <w:rPr>
                <w:rFonts w:ascii="Arial" w:hAnsi="Arial"/>
              </w:rPr>
              <w:t>. S</w:t>
            </w:r>
            <w:r w:rsidRPr="00061B54">
              <w:rPr>
                <w:rFonts w:ascii="Arial" w:hAnsi="Arial"/>
                <w:lang w:val="la-Latn"/>
              </w:rPr>
              <w:t>ed ego vos, quo pauca monerem, advocavi, simul uti causam mei consili aperirem.</w:t>
            </w:r>
          </w:p>
        </w:tc>
        <w:tc>
          <w:tcPr>
            <w:tcW w:w="4830" w:type="dxa"/>
            <w:tcBorders>
              <w:left w:val="single" w:sz="8" w:space="0" w:color="808080"/>
              <w:bottom w:val="single" w:sz="8" w:space="0" w:color="808080"/>
              <w:right w:val="single" w:sz="8" w:space="0" w:color="808080"/>
            </w:tcBorders>
            <w:tcMar>
              <w:top w:w="60" w:type="dxa"/>
              <w:left w:w="60" w:type="dxa"/>
              <w:bottom w:w="60" w:type="dxa"/>
              <w:right w:w="60" w:type="dxa"/>
            </w:tcMar>
            <w:vAlign w:val="center"/>
          </w:tcPr>
          <w:p w:rsidR="00BB2FC7" w:rsidRDefault="00EB5E35" w:rsidP="00061B54">
            <w:pPr>
              <w:pStyle w:val="TableContents"/>
              <w:spacing w:before="57" w:line="360" w:lineRule="atLeast"/>
              <w:ind w:left="170" w:hanging="170"/>
              <w:rPr>
                <w:rFonts w:ascii="Arial" w:hAnsi="Arial"/>
              </w:rPr>
            </w:pPr>
            <w:r>
              <w:rPr>
                <w:rFonts w:ascii="Arial" w:hAnsi="Arial"/>
              </w:rPr>
              <w:t>quoius = cuius</w:t>
            </w:r>
          </w:p>
          <w:p w:rsidR="00BB2FC7" w:rsidRDefault="00EB5E35" w:rsidP="00061B54">
            <w:pPr>
              <w:pStyle w:val="TableContents"/>
              <w:spacing w:before="57" w:line="360" w:lineRule="atLeast"/>
              <w:ind w:left="170" w:hanging="170"/>
              <w:rPr>
                <w:rFonts w:ascii="Arial" w:hAnsi="Arial"/>
              </w:rPr>
            </w:pPr>
            <w:r>
              <w:rPr>
                <w:rFonts w:ascii="Arial" w:hAnsi="Arial"/>
              </w:rPr>
              <w:t>patere: sich zeigen</w:t>
            </w:r>
          </w:p>
          <w:p w:rsidR="00BB2FC7" w:rsidRDefault="00EB5E35" w:rsidP="00061B54">
            <w:pPr>
              <w:pStyle w:val="TableContents"/>
              <w:spacing w:before="57" w:line="360" w:lineRule="atLeast"/>
              <w:ind w:left="170" w:hanging="170"/>
              <w:rPr>
                <w:rFonts w:ascii="Arial" w:hAnsi="Arial"/>
              </w:rPr>
            </w:pPr>
            <w:r>
              <w:rPr>
                <w:rFonts w:ascii="Arial" w:hAnsi="Arial"/>
              </w:rPr>
              <w:t>quem: Zu diesem Relativpronomen muss man sich an den Satzanfang ein Bezugswort wie 'virum' hinzudenken</w:t>
            </w:r>
          </w:p>
          <w:p w:rsidR="00BB2FC7" w:rsidRDefault="00EB5E35" w:rsidP="00061B54">
            <w:pPr>
              <w:pStyle w:val="TableContents"/>
              <w:spacing w:before="57" w:line="360" w:lineRule="atLeast"/>
              <w:ind w:left="170" w:hanging="170"/>
              <w:rPr>
                <w:rFonts w:ascii="Arial" w:hAnsi="Arial"/>
              </w:rPr>
            </w:pPr>
            <w:r>
              <w:rPr>
                <w:rFonts w:ascii="Arial" w:hAnsi="Arial"/>
              </w:rPr>
              <w:t>hortere = horteris</w:t>
            </w:r>
          </w:p>
          <w:p w:rsidR="00BB2FC7" w:rsidRDefault="00EB5E35" w:rsidP="00061B54">
            <w:pPr>
              <w:pStyle w:val="TableContents"/>
              <w:spacing w:before="57" w:line="360" w:lineRule="atLeast"/>
              <w:ind w:left="170" w:hanging="170"/>
              <w:rPr>
                <w:rFonts w:ascii="Arial" w:hAnsi="Arial"/>
              </w:rPr>
            </w:pPr>
            <w:r>
              <w:rPr>
                <w:rFonts w:ascii="Arial" w:hAnsi="Arial"/>
              </w:rPr>
              <w:t>simul uti: damit</w:t>
            </w:r>
          </w:p>
        </w:tc>
      </w:tr>
      <w:tr w:rsidR="00BB2FC7" w:rsidTr="00061B54">
        <w:tblPrEx>
          <w:tblCellMar>
            <w:top w:w="0" w:type="dxa"/>
            <w:bottom w:w="0" w:type="dxa"/>
          </w:tblCellMar>
        </w:tblPrEx>
        <w:trPr>
          <w:cantSplit/>
        </w:trPr>
        <w:tc>
          <w:tcPr>
            <w:tcW w:w="4830" w:type="dxa"/>
            <w:tcBorders>
              <w:left w:val="single" w:sz="8" w:space="0" w:color="808080"/>
              <w:bottom w:val="single" w:sz="8" w:space="0" w:color="808080"/>
            </w:tcBorders>
            <w:tcMar>
              <w:top w:w="60" w:type="dxa"/>
              <w:left w:w="60" w:type="dxa"/>
              <w:bottom w:w="60" w:type="dxa"/>
              <w:right w:w="60" w:type="dxa"/>
            </w:tcMar>
            <w:vAlign w:val="center"/>
          </w:tcPr>
          <w:p w:rsidR="004B5189" w:rsidRDefault="00EB5E35" w:rsidP="008D2528">
            <w:pPr>
              <w:pStyle w:val="TableContents"/>
              <w:spacing w:line="360" w:lineRule="auto"/>
              <w:rPr>
                <w:lang w:val="la-Latn"/>
              </w:rPr>
            </w:pPr>
            <w:r w:rsidRPr="00061B54">
              <w:rPr>
                <w:rFonts w:ascii="Arial" w:hAnsi="Arial"/>
                <w:lang w:val="la-Latn"/>
              </w:rPr>
              <w:t>58.4 Scitis equidem, milites, socordia atque ignavia Lentuli quantam ipsi nobisque cladem adtulerit, quoque modo, dum ex urbe praesidia opperior, in Galliam proficisci nequiverim.</w:t>
            </w:r>
          </w:p>
          <w:p w:rsidR="004B5189" w:rsidRPr="004B5189" w:rsidRDefault="004B5189" w:rsidP="004B5189">
            <w:pPr>
              <w:rPr>
                <w:lang w:val="la-Latn"/>
              </w:rPr>
            </w:pPr>
          </w:p>
          <w:p w:rsidR="00BB2FC7" w:rsidRPr="004B5189" w:rsidRDefault="00BB2FC7" w:rsidP="004B5189">
            <w:pPr>
              <w:rPr>
                <w:lang w:val="la-Latn"/>
              </w:rPr>
            </w:pPr>
          </w:p>
        </w:tc>
        <w:tc>
          <w:tcPr>
            <w:tcW w:w="4830" w:type="dxa"/>
            <w:tcBorders>
              <w:left w:val="single" w:sz="8" w:space="0" w:color="808080"/>
              <w:bottom w:val="single" w:sz="8" w:space="0" w:color="808080"/>
              <w:right w:val="single" w:sz="8" w:space="0" w:color="808080"/>
            </w:tcBorders>
            <w:tcMar>
              <w:top w:w="60" w:type="dxa"/>
              <w:left w:w="60" w:type="dxa"/>
              <w:bottom w:w="60" w:type="dxa"/>
              <w:right w:w="60" w:type="dxa"/>
            </w:tcMar>
            <w:vAlign w:val="center"/>
          </w:tcPr>
          <w:p w:rsidR="00BB2FC7" w:rsidRDefault="00EB5E35" w:rsidP="00061B54">
            <w:pPr>
              <w:pStyle w:val="TableContents"/>
              <w:spacing w:before="57" w:line="360" w:lineRule="atLeast"/>
              <w:ind w:left="170" w:hanging="170"/>
              <w:rPr>
                <w:rFonts w:ascii="Arial" w:hAnsi="Arial"/>
              </w:rPr>
            </w:pPr>
            <w:r>
              <w:rPr>
                <w:rFonts w:ascii="Arial" w:hAnsi="Arial"/>
              </w:rPr>
              <w:t>socordia: die Unentschiedenheit</w:t>
            </w:r>
          </w:p>
          <w:p w:rsidR="00BB2FC7" w:rsidRDefault="00EB5E35" w:rsidP="00061B54">
            <w:pPr>
              <w:pStyle w:val="TableContents"/>
              <w:spacing w:before="57" w:line="360" w:lineRule="atLeast"/>
              <w:ind w:left="170" w:hanging="170"/>
              <w:rPr>
                <w:rFonts w:ascii="Arial" w:hAnsi="Arial"/>
              </w:rPr>
            </w:pPr>
            <w:r>
              <w:rPr>
                <w:rFonts w:ascii="Arial" w:hAnsi="Arial"/>
              </w:rPr>
              <w:t>Lentulus: P. Cornelius Lentulus Sura, einer der Mitverschwörer. Er war im Jahr 63 Prätor und war nach dem Auszug des Catilina der Vertreter der Verschwörung in Rom. Er wurde noch während seiner Prätur hingerichtet.</w:t>
            </w:r>
          </w:p>
          <w:p w:rsidR="00BB2FC7" w:rsidRDefault="00EB5E35" w:rsidP="00061B54">
            <w:pPr>
              <w:pStyle w:val="TableContents"/>
              <w:spacing w:before="57" w:line="360" w:lineRule="atLeast"/>
              <w:ind w:left="170" w:hanging="170"/>
              <w:rPr>
                <w:rFonts w:ascii="Arial" w:hAnsi="Arial"/>
              </w:rPr>
            </w:pPr>
            <w:r>
              <w:rPr>
                <w:rFonts w:ascii="Arial" w:hAnsi="Arial"/>
              </w:rPr>
              <w:t>opperior: warten</w:t>
            </w:r>
          </w:p>
          <w:p w:rsidR="00BB2FC7" w:rsidRDefault="00EB5E35" w:rsidP="00061B54">
            <w:pPr>
              <w:pStyle w:val="TableContents"/>
              <w:spacing w:before="57" w:line="360" w:lineRule="atLeast"/>
              <w:ind w:left="170" w:hanging="170"/>
              <w:rPr>
                <w:rFonts w:ascii="Arial" w:hAnsi="Arial"/>
              </w:rPr>
            </w:pPr>
            <w:r>
              <w:rPr>
                <w:rFonts w:ascii="Arial" w:hAnsi="Arial"/>
              </w:rPr>
              <w:t>nequivi ist Perfekt von nequio: nicht können</w:t>
            </w:r>
          </w:p>
        </w:tc>
      </w:tr>
      <w:tr w:rsidR="00BB2FC7" w:rsidTr="00061B54">
        <w:tblPrEx>
          <w:tblCellMar>
            <w:top w:w="0" w:type="dxa"/>
            <w:bottom w:w="0" w:type="dxa"/>
          </w:tblCellMar>
        </w:tblPrEx>
        <w:trPr>
          <w:cantSplit/>
        </w:trPr>
        <w:tc>
          <w:tcPr>
            <w:tcW w:w="4830" w:type="dxa"/>
            <w:tcBorders>
              <w:left w:val="single" w:sz="8" w:space="0" w:color="808080"/>
              <w:bottom w:val="single" w:sz="8" w:space="0" w:color="808080"/>
            </w:tcBorders>
            <w:tcMar>
              <w:top w:w="60" w:type="dxa"/>
              <w:left w:w="60" w:type="dxa"/>
              <w:bottom w:w="60" w:type="dxa"/>
              <w:right w:w="60" w:type="dxa"/>
            </w:tcMar>
            <w:vAlign w:val="center"/>
          </w:tcPr>
          <w:p w:rsidR="00BB2FC7" w:rsidRPr="00061B54" w:rsidRDefault="00EB5E35">
            <w:pPr>
              <w:pStyle w:val="TableContents"/>
              <w:spacing w:after="283" w:line="360" w:lineRule="auto"/>
              <w:rPr>
                <w:rFonts w:ascii="Arial" w:hAnsi="Arial"/>
                <w:lang w:val="la-Latn"/>
              </w:rPr>
            </w:pPr>
            <w:r w:rsidRPr="00061B54">
              <w:rPr>
                <w:rFonts w:ascii="Arial" w:hAnsi="Arial"/>
                <w:lang w:val="la-Latn"/>
              </w:rPr>
              <w:lastRenderedPageBreak/>
              <w:t xml:space="preserve">58.5 Nunc vero quo loco res nostrae sint, iuxta mecum omnes intellegitis. </w:t>
            </w:r>
            <w:r w:rsidRPr="00061B54">
              <w:rPr>
                <w:rFonts w:ascii="Arial" w:hAnsi="Arial"/>
                <w:lang w:val="la-Latn"/>
              </w:rPr>
              <w:br/>
              <w:t>58.6 Exercitus hostium duo, unus ab urbe, alter a Gallia obstant; diutius in his locis esse, si maxume animus ferat, frumenti atque aliarum rerum egestas prohibet.</w:t>
            </w:r>
          </w:p>
        </w:tc>
        <w:tc>
          <w:tcPr>
            <w:tcW w:w="4830" w:type="dxa"/>
            <w:tcBorders>
              <w:left w:val="single" w:sz="8" w:space="0" w:color="808080"/>
              <w:bottom w:val="single" w:sz="8" w:space="0" w:color="808080"/>
              <w:right w:val="single" w:sz="8" w:space="0" w:color="808080"/>
            </w:tcBorders>
            <w:tcMar>
              <w:top w:w="60" w:type="dxa"/>
              <w:left w:w="60" w:type="dxa"/>
              <w:bottom w:w="60" w:type="dxa"/>
              <w:right w:w="60" w:type="dxa"/>
            </w:tcMar>
            <w:vAlign w:val="center"/>
          </w:tcPr>
          <w:p w:rsidR="00BB2FC7" w:rsidRDefault="00EB5E35" w:rsidP="00061B54">
            <w:pPr>
              <w:pStyle w:val="TableContents"/>
              <w:spacing w:before="57" w:line="360" w:lineRule="atLeast"/>
              <w:ind w:left="170" w:hanging="170"/>
              <w:rPr>
                <w:rFonts w:ascii="Arial" w:hAnsi="Arial"/>
              </w:rPr>
            </w:pPr>
            <w:r>
              <w:rPr>
                <w:rFonts w:ascii="Arial" w:hAnsi="Arial"/>
              </w:rPr>
              <w:t>iuxta mecum: so wie ich</w:t>
            </w:r>
          </w:p>
          <w:p w:rsidR="00BB2FC7" w:rsidRDefault="00EB5E35" w:rsidP="00061B54">
            <w:pPr>
              <w:pStyle w:val="TableContents"/>
              <w:spacing w:before="57" w:line="360" w:lineRule="atLeast"/>
              <w:ind w:left="170" w:hanging="170"/>
              <w:rPr>
                <w:rFonts w:ascii="Arial" w:hAnsi="Arial"/>
              </w:rPr>
            </w:pPr>
            <w:r>
              <w:rPr>
                <w:rFonts w:ascii="Arial" w:hAnsi="Arial"/>
              </w:rPr>
              <w:t>si (hier): auch wenn</w:t>
            </w:r>
          </w:p>
          <w:p w:rsidR="00BB2FC7" w:rsidRDefault="00EB5E35" w:rsidP="00061B54">
            <w:pPr>
              <w:pStyle w:val="TableContents"/>
              <w:spacing w:before="57" w:line="360" w:lineRule="atLeast"/>
              <w:ind w:left="170" w:hanging="170"/>
              <w:rPr>
                <w:rFonts w:ascii="Arial" w:hAnsi="Arial"/>
              </w:rPr>
            </w:pPr>
            <w:r>
              <w:rPr>
                <w:rFonts w:ascii="Arial" w:hAnsi="Arial"/>
              </w:rPr>
              <w:t>animus (nos) fert: wir möchten gerne, wir dringen darauf</w:t>
            </w:r>
          </w:p>
        </w:tc>
      </w:tr>
      <w:tr w:rsidR="00BB2FC7" w:rsidTr="00061B54">
        <w:tblPrEx>
          <w:tblCellMar>
            <w:top w:w="0" w:type="dxa"/>
            <w:bottom w:w="0" w:type="dxa"/>
          </w:tblCellMar>
        </w:tblPrEx>
        <w:trPr>
          <w:cantSplit/>
        </w:trPr>
        <w:tc>
          <w:tcPr>
            <w:tcW w:w="4830" w:type="dxa"/>
            <w:tcBorders>
              <w:left w:val="single" w:sz="8" w:space="0" w:color="808080"/>
              <w:bottom w:val="single" w:sz="8" w:space="0" w:color="808080"/>
            </w:tcBorders>
            <w:tcMar>
              <w:top w:w="60" w:type="dxa"/>
              <w:left w:w="60" w:type="dxa"/>
              <w:bottom w:w="60" w:type="dxa"/>
              <w:right w:w="60" w:type="dxa"/>
            </w:tcMar>
            <w:vAlign w:val="center"/>
          </w:tcPr>
          <w:p w:rsidR="00BB2FC7" w:rsidRPr="00061B54" w:rsidRDefault="00EB5E35">
            <w:pPr>
              <w:pStyle w:val="TableContents"/>
              <w:spacing w:after="283" w:line="360" w:lineRule="auto"/>
              <w:rPr>
                <w:rFonts w:ascii="Arial" w:hAnsi="Arial"/>
                <w:lang w:val="la-Latn"/>
              </w:rPr>
            </w:pPr>
            <w:r w:rsidRPr="00061B54">
              <w:rPr>
                <w:rFonts w:ascii="Arial" w:hAnsi="Arial"/>
                <w:lang w:val="la-Latn"/>
              </w:rPr>
              <w:t xml:space="preserve">58.7 Quocumque ire placet, ferro iter aperiundum est. </w:t>
            </w:r>
            <w:r w:rsidRPr="00061B54">
              <w:rPr>
                <w:rFonts w:ascii="Arial" w:hAnsi="Arial"/>
                <w:lang w:val="la-Latn"/>
              </w:rPr>
              <w:br/>
              <w:t>58.8 Quapropter vos moneo, uti forti atque parato animo sitis et, cum proelium inibitis, memineritis vos divitias, decus, gloriam, praeterea libertatem atque patriam in dextris vostris portare.</w:t>
            </w:r>
          </w:p>
          <w:p w:rsidR="00BB2FC7" w:rsidRPr="00061B54" w:rsidRDefault="00EB5E35">
            <w:pPr>
              <w:pStyle w:val="TableContents"/>
              <w:spacing w:after="283" w:line="360" w:lineRule="auto"/>
              <w:rPr>
                <w:rFonts w:ascii="Arial" w:hAnsi="Arial"/>
                <w:lang w:val="la-Latn"/>
              </w:rPr>
            </w:pPr>
            <w:r w:rsidRPr="00061B54">
              <w:rPr>
                <w:rFonts w:ascii="Arial" w:hAnsi="Arial"/>
                <w:lang w:val="la-Latn"/>
              </w:rPr>
              <w:t>58.9 Si vincimus, omnia nobis tuta erunt: commeatus abunde, municipia atque coloniae patebunt; 58.10 si metu cesserimus, eadem illa advorsa fient: neque locus neque amicus quisquam teget, quem arma non texerint.</w:t>
            </w:r>
          </w:p>
        </w:tc>
        <w:tc>
          <w:tcPr>
            <w:tcW w:w="4830" w:type="dxa"/>
            <w:tcBorders>
              <w:left w:val="single" w:sz="8" w:space="0" w:color="808080"/>
              <w:bottom w:val="single" w:sz="8" w:space="0" w:color="808080"/>
              <w:right w:val="single" w:sz="8" w:space="0" w:color="808080"/>
            </w:tcBorders>
            <w:tcMar>
              <w:top w:w="60" w:type="dxa"/>
              <w:left w:w="60" w:type="dxa"/>
              <w:bottom w:w="60" w:type="dxa"/>
              <w:right w:w="60" w:type="dxa"/>
            </w:tcMar>
            <w:vAlign w:val="center"/>
          </w:tcPr>
          <w:p w:rsidR="00BB2FC7" w:rsidRDefault="00EB5E35">
            <w:pPr>
              <w:pStyle w:val="TableContents"/>
              <w:spacing w:before="57" w:line="227" w:lineRule="atLeast"/>
              <w:ind w:left="170" w:hanging="170"/>
              <w:rPr>
                <w:rFonts w:ascii="Arial" w:hAnsi="Arial"/>
              </w:rPr>
            </w:pPr>
            <w:r>
              <w:rPr>
                <w:rFonts w:ascii="Arial" w:hAnsi="Arial"/>
              </w:rPr>
              <w:t>uti = ut</w:t>
            </w:r>
          </w:p>
          <w:p w:rsidR="00BB2FC7" w:rsidRDefault="00EB5E35">
            <w:pPr>
              <w:pStyle w:val="TableContents"/>
              <w:spacing w:before="57" w:line="227" w:lineRule="atLeast"/>
              <w:ind w:left="170" w:hanging="170"/>
              <w:rPr>
                <w:rFonts w:ascii="Arial" w:hAnsi="Arial"/>
              </w:rPr>
            </w:pPr>
            <w:r>
              <w:rPr>
                <w:rFonts w:ascii="Arial" w:hAnsi="Arial"/>
              </w:rPr>
              <w:t>voster = vester</w:t>
            </w:r>
          </w:p>
          <w:p w:rsidR="00BB2FC7" w:rsidRDefault="00EB5E35">
            <w:pPr>
              <w:pStyle w:val="TableContents"/>
              <w:spacing w:before="57" w:line="227" w:lineRule="atLeast"/>
              <w:ind w:left="170" w:hanging="170"/>
              <w:rPr>
                <w:rFonts w:ascii="Arial" w:hAnsi="Arial"/>
              </w:rPr>
            </w:pPr>
            <w:r>
              <w:rPr>
                <w:rFonts w:ascii="Arial" w:hAnsi="Arial"/>
              </w:rPr>
              <w:t>commeatus: Lebensmittel</w:t>
            </w:r>
          </w:p>
          <w:p w:rsidR="00BB2FC7" w:rsidRDefault="00EB5E35">
            <w:pPr>
              <w:pStyle w:val="TableContents"/>
              <w:spacing w:before="57" w:line="227" w:lineRule="atLeast"/>
              <w:ind w:left="170" w:hanging="170"/>
              <w:rPr>
                <w:rFonts w:ascii="Arial" w:hAnsi="Arial"/>
              </w:rPr>
            </w:pPr>
            <w:r>
              <w:rPr>
                <w:rFonts w:ascii="Arial" w:hAnsi="Arial"/>
              </w:rPr>
              <w:t>abunde: im Überfluss</w:t>
            </w:r>
          </w:p>
          <w:p w:rsidR="00BB2FC7" w:rsidRDefault="00EB5E35">
            <w:pPr>
              <w:pStyle w:val="TableContents"/>
              <w:spacing w:before="57" w:line="227" w:lineRule="atLeast"/>
              <w:ind w:left="170" w:hanging="170"/>
              <w:rPr>
                <w:rFonts w:ascii="Arial" w:hAnsi="Arial"/>
              </w:rPr>
            </w:pPr>
            <w:r>
              <w:rPr>
                <w:rFonts w:ascii="Arial" w:hAnsi="Arial"/>
              </w:rPr>
              <w:t>advorsa (=adversa): das Gegenteil</w:t>
            </w:r>
          </w:p>
        </w:tc>
      </w:tr>
      <w:tr w:rsidR="00BB2FC7" w:rsidTr="00061B54">
        <w:tblPrEx>
          <w:tblCellMar>
            <w:top w:w="0" w:type="dxa"/>
            <w:bottom w:w="0" w:type="dxa"/>
          </w:tblCellMar>
        </w:tblPrEx>
        <w:trPr>
          <w:cantSplit/>
        </w:trPr>
        <w:tc>
          <w:tcPr>
            <w:tcW w:w="4830" w:type="dxa"/>
            <w:tcBorders>
              <w:left w:val="single" w:sz="8" w:space="0" w:color="808080"/>
              <w:bottom w:val="single" w:sz="8" w:space="0" w:color="808080"/>
            </w:tcBorders>
            <w:tcMar>
              <w:top w:w="60" w:type="dxa"/>
              <w:left w:w="60" w:type="dxa"/>
              <w:bottom w:w="60" w:type="dxa"/>
              <w:right w:w="60" w:type="dxa"/>
            </w:tcMar>
            <w:vAlign w:val="center"/>
          </w:tcPr>
          <w:p w:rsidR="00BB2FC7" w:rsidRPr="00061B54" w:rsidRDefault="00EB5E35">
            <w:pPr>
              <w:pStyle w:val="TableContents"/>
              <w:spacing w:after="283" w:line="360" w:lineRule="auto"/>
              <w:rPr>
                <w:rFonts w:ascii="Arial" w:hAnsi="Arial"/>
                <w:lang w:val="la-Latn"/>
              </w:rPr>
            </w:pPr>
            <w:r w:rsidRPr="00061B54">
              <w:rPr>
                <w:rFonts w:ascii="Arial" w:hAnsi="Arial"/>
                <w:lang w:val="la-Latn"/>
              </w:rPr>
              <w:t xml:space="preserve">58.11 Praeterea, milites, non eadem nobis et illis necessitudo inpendet: nos pro patria, pro libertate, pro vita certamus, illis supervacaneum est pugnare pro potentia paucorum. </w:t>
            </w:r>
            <w:r w:rsidRPr="00061B54">
              <w:rPr>
                <w:rFonts w:ascii="Arial" w:hAnsi="Arial"/>
                <w:lang w:val="la-Latn"/>
              </w:rPr>
              <w:br/>
              <w:t>58.12 Quo audacius aggredimini memores pristinae virtutis!</w:t>
            </w:r>
          </w:p>
        </w:tc>
        <w:tc>
          <w:tcPr>
            <w:tcW w:w="4830" w:type="dxa"/>
            <w:tcBorders>
              <w:left w:val="single" w:sz="8" w:space="0" w:color="808080"/>
              <w:bottom w:val="single" w:sz="8" w:space="0" w:color="808080"/>
              <w:right w:val="single" w:sz="8" w:space="0" w:color="808080"/>
            </w:tcBorders>
            <w:tcMar>
              <w:top w:w="60" w:type="dxa"/>
              <w:left w:w="60" w:type="dxa"/>
              <w:bottom w:w="60" w:type="dxa"/>
              <w:right w:w="60" w:type="dxa"/>
            </w:tcMar>
            <w:vAlign w:val="center"/>
          </w:tcPr>
          <w:p w:rsidR="00BB2FC7" w:rsidRDefault="00EB5E35">
            <w:pPr>
              <w:pStyle w:val="TableContents"/>
              <w:spacing w:before="57" w:line="227" w:lineRule="atLeast"/>
              <w:ind w:left="170" w:hanging="170"/>
              <w:rPr>
                <w:rFonts w:ascii="Arial" w:hAnsi="Arial"/>
              </w:rPr>
            </w:pPr>
            <w:r>
              <w:rPr>
                <w:rFonts w:ascii="Arial" w:hAnsi="Arial"/>
              </w:rPr>
              <w:t>certare: kämpfen</w:t>
            </w:r>
          </w:p>
          <w:p w:rsidR="00BB2FC7" w:rsidRDefault="00EB5E35">
            <w:pPr>
              <w:pStyle w:val="TableContents"/>
              <w:spacing w:before="57" w:line="227" w:lineRule="atLeast"/>
              <w:ind w:left="170" w:hanging="170"/>
              <w:rPr>
                <w:rFonts w:ascii="Arial" w:hAnsi="Arial"/>
              </w:rPr>
            </w:pPr>
            <w:r>
              <w:rPr>
                <w:rFonts w:ascii="Arial" w:hAnsi="Arial"/>
              </w:rPr>
              <w:t>supervacaneum: überflüssig</w:t>
            </w:r>
            <w:r>
              <w:rPr>
                <w:rFonts w:ascii="Arial" w:hAnsi="Arial"/>
              </w:rPr>
              <w:br/>
              <w:t>quo: um so</w:t>
            </w:r>
          </w:p>
        </w:tc>
      </w:tr>
    </w:tbl>
    <w:p w:rsidR="00061B54" w:rsidRDefault="00061B54">
      <w:pPr>
        <w:pStyle w:val="Textbody"/>
      </w:pPr>
    </w:p>
    <w:p w:rsidR="00BB2FC7" w:rsidRDefault="00061B54" w:rsidP="00061B54">
      <w:pPr>
        <w:pStyle w:val="Textbody"/>
      </w:pPr>
      <w:r>
        <w:br w:type="page"/>
      </w:r>
    </w:p>
    <w:tbl>
      <w:tblPr>
        <w:tblW w:w="4950" w:type="pct"/>
        <w:tblInd w:w="60" w:type="dxa"/>
        <w:tblLayout w:type="fixed"/>
        <w:tblCellMar>
          <w:left w:w="10" w:type="dxa"/>
          <w:right w:w="10" w:type="dxa"/>
        </w:tblCellMar>
        <w:tblLook w:val="04A0" w:firstRow="1" w:lastRow="0" w:firstColumn="1" w:lastColumn="0" w:noHBand="0" w:noVBand="1"/>
      </w:tblPr>
      <w:tblGrid>
        <w:gridCol w:w="4761"/>
        <w:gridCol w:w="4761"/>
      </w:tblGrid>
      <w:tr w:rsidR="00BB2FC7">
        <w:tblPrEx>
          <w:tblCellMar>
            <w:top w:w="0" w:type="dxa"/>
            <w:bottom w:w="0" w:type="dxa"/>
          </w:tblCellMar>
        </w:tblPrEx>
        <w:trPr>
          <w:cantSplit/>
          <w:tblHeader/>
        </w:trPr>
        <w:tc>
          <w:tcPr>
            <w:tcW w:w="4771" w:type="dxa"/>
            <w:tcBorders>
              <w:top w:val="single" w:sz="8" w:space="0" w:color="808080"/>
              <w:left w:val="single" w:sz="8" w:space="0" w:color="808080"/>
              <w:bottom w:val="single" w:sz="8" w:space="0" w:color="808080"/>
            </w:tcBorders>
            <w:tcMar>
              <w:top w:w="60" w:type="dxa"/>
              <w:left w:w="60" w:type="dxa"/>
              <w:bottom w:w="60" w:type="dxa"/>
              <w:right w:w="60" w:type="dxa"/>
            </w:tcMar>
            <w:vAlign w:val="center"/>
          </w:tcPr>
          <w:p w:rsidR="00BB2FC7" w:rsidRDefault="00EB5E35">
            <w:pPr>
              <w:pStyle w:val="TableContents"/>
              <w:spacing w:line="360" w:lineRule="auto"/>
              <w:jc w:val="center"/>
              <w:rPr>
                <w:rFonts w:ascii="Arial" w:hAnsi="Arial"/>
              </w:rPr>
            </w:pPr>
            <w:r>
              <w:rPr>
                <w:rFonts w:ascii="Arial" w:hAnsi="Arial"/>
              </w:rPr>
              <w:lastRenderedPageBreak/>
              <w:t>Text</w:t>
            </w:r>
          </w:p>
        </w:tc>
        <w:tc>
          <w:tcPr>
            <w:tcW w:w="4771" w:type="dxa"/>
            <w:tcBorders>
              <w:top w:val="single" w:sz="8" w:space="0" w:color="808080"/>
              <w:left w:val="single" w:sz="8" w:space="0" w:color="808080"/>
              <w:bottom w:val="single" w:sz="8" w:space="0" w:color="808080"/>
              <w:right w:val="single" w:sz="8" w:space="0" w:color="808080"/>
            </w:tcBorders>
            <w:tcMar>
              <w:top w:w="60" w:type="dxa"/>
              <w:left w:w="60" w:type="dxa"/>
              <w:bottom w:w="60" w:type="dxa"/>
              <w:right w:w="60" w:type="dxa"/>
            </w:tcMar>
            <w:vAlign w:val="center"/>
          </w:tcPr>
          <w:p w:rsidR="00BB2FC7" w:rsidRDefault="00EB5E35">
            <w:pPr>
              <w:pStyle w:val="TableContents"/>
              <w:spacing w:before="57" w:line="227" w:lineRule="atLeast"/>
              <w:ind w:left="170" w:hanging="170"/>
              <w:jc w:val="center"/>
              <w:rPr>
                <w:rFonts w:ascii="Arial" w:hAnsi="Arial"/>
              </w:rPr>
            </w:pPr>
            <w:r>
              <w:rPr>
                <w:rFonts w:ascii="Arial" w:hAnsi="Arial"/>
              </w:rPr>
              <w:t>Übersetzungshilfen und Erläuterungen</w:t>
            </w:r>
          </w:p>
        </w:tc>
      </w:tr>
      <w:tr w:rsidR="00BB2FC7">
        <w:tblPrEx>
          <w:tblCellMar>
            <w:top w:w="0" w:type="dxa"/>
            <w:bottom w:w="0" w:type="dxa"/>
          </w:tblCellMar>
        </w:tblPrEx>
        <w:trPr>
          <w:cantSplit/>
        </w:trPr>
        <w:tc>
          <w:tcPr>
            <w:tcW w:w="4771" w:type="dxa"/>
            <w:tcBorders>
              <w:left w:val="single" w:sz="8" w:space="0" w:color="808080"/>
              <w:bottom w:val="single" w:sz="8" w:space="0" w:color="808080"/>
            </w:tcBorders>
            <w:tcMar>
              <w:top w:w="60" w:type="dxa"/>
              <w:left w:w="60" w:type="dxa"/>
              <w:bottom w:w="60" w:type="dxa"/>
              <w:right w:w="60" w:type="dxa"/>
            </w:tcMar>
            <w:vAlign w:val="center"/>
          </w:tcPr>
          <w:p w:rsidR="00BB2FC7" w:rsidRPr="00061B54" w:rsidRDefault="00EB5E35">
            <w:pPr>
              <w:pStyle w:val="TableContents"/>
              <w:spacing w:after="283" w:line="360" w:lineRule="auto"/>
              <w:rPr>
                <w:rFonts w:ascii="Arial" w:hAnsi="Arial"/>
                <w:lang w:val="la-Latn"/>
              </w:rPr>
            </w:pPr>
            <w:r w:rsidRPr="00061B54">
              <w:rPr>
                <w:rFonts w:ascii="Arial" w:hAnsi="Arial"/>
                <w:lang w:val="la-Latn"/>
              </w:rPr>
              <w:t>58.13. Licuit vobis cum summa turpitudine in exsilio aetatem agere, potuistis nonnulli Romae amissis bonis alienas opes exspectare: 58.14. quia illa foeda atque intoleranda viris videbantur, haec sequi decrevistis.</w:t>
            </w:r>
          </w:p>
          <w:p w:rsidR="00BB2FC7" w:rsidRPr="00061B54" w:rsidRDefault="00EB5E35">
            <w:pPr>
              <w:pStyle w:val="TableContents"/>
              <w:spacing w:after="283" w:line="360" w:lineRule="auto"/>
              <w:rPr>
                <w:rFonts w:ascii="Arial" w:hAnsi="Arial"/>
                <w:lang w:val="la-Latn"/>
              </w:rPr>
            </w:pPr>
            <w:r w:rsidRPr="00061B54">
              <w:rPr>
                <w:rFonts w:ascii="Arial" w:hAnsi="Arial"/>
                <w:lang w:val="la-Latn"/>
              </w:rPr>
              <w:t>58.15. Si haec relinquere voltis, audacia opus est; nemo nisi victor pace bellum mutavit.</w:t>
            </w:r>
          </w:p>
        </w:tc>
        <w:tc>
          <w:tcPr>
            <w:tcW w:w="4771" w:type="dxa"/>
            <w:tcBorders>
              <w:left w:val="single" w:sz="8" w:space="0" w:color="808080"/>
              <w:bottom w:val="single" w:sz="8" w:space="0" w:color="808080"/>
              <w:right w:val="single" w:sz="8" w:space="0" w:color="808080"/>
            </w:tcBorders>
            <w:tcMar>
              <w:top w:w="60" w:type="dxa"/>
              <w:left w:w="60" w:type="dxa"/>
              <w:bottom w:w="60" w:type="dxa"/>
              <w:right w:w="60" w:type="dxa"/>
            </w:tcMar>
            <w:vAlign w:val="center"/>
          </w:tcPr>
          <w:p w:rsidR="00BB2FC7" w:rsidRDefault="00EB5E35">
            <w:pPr>
              <w:pStyle w:val="TableContents"/>
              <w:spacing w:before="57" w:line="227" w:lineRule="atLeast"/>
              <w:ind w:left="170" w:hanging="170"/>
              <w:rPr>
                <w:rFonts w:ascii="Arial" w:hAnsi="Arial"/>
              </w:rPr>
            </w:pPr>
            <w:r>
              <w:rPr>
                <w:rFonts w:ascii="Arial" w:hAnsi="Arial"/>
              </w:rPr>
              <w:t>licuit / potuistis: Die lateinische Sprache wählt bei vergangenen und nicht gewählten Möglichkeiten die logische Lösung und zieht daher den Indikativ vor: ihr konntet (aber habt es nicht gemacht). Das Deutsche verwendet den Konjunktiv Irrealis: ihr hättet können.</w:t>
            </w:r>
          </w:p>
          <w:p w:rsidR="00BB2FC7" w:rsidRDefault="00EB5E35">
            <w:pPr>
              <w:pStyle w:val="TableContents"/>
              <w:spacing w:before="57" w:line="227" w:lineRule="atLeast"/>
              <w:ind w:left="170" w:hanging="170"/>
              <w:rPr>
                <w:rFonts w:ascii="Arial" w:hAnsi="Arial"/>
              </w:rPr>
            </w:pPr>
            <w:r>
              <w:rPr>
                <w:rFonts w:ascii="Arial" w:hAnsi="Arial"/>
              </w:rPr>
              <w:t>foedus: hässlich, schlimm</w:t>
            </w:r>
          </w:p>
          <w:p w:rsidR="00BB2FC7" w:rsidRDefault="00EB5E35">
            <w:pPr>
              <w:pStyle w:val="TableContents"/>
              <w:spacing w:before="57" w:line="227" w:lineRule="atLeast"/>
              <w:ind w:left="170" w:hanging="170"/>
              <w:rPr>
                <w:rFonts w:ascii="Arial" w:hAnsi="Arial"/>
              </w:rPr>
            </w:pPr>
            <w:r>
              <w:rPr>
                <w:rFonts w:ascii="Arial" w:hAnsi="Arial"/>
              </w:rPr>
              <w:t>voltis = vultis</w:t>
            </w:r>
          </w:p>
        </w:tc>
      </w:tr>
      <w:tr w:rsidR="00BB2FC7">
        <w:tblPrEx>
          <w:tblCellMar>
            <w:top w:w="0" w:type="dxa"/>
            <w:bottom w:w="0" w:type="dxa"/>
          </w:tblCellMar>
        </w:tblPrEx>
        <w:trPr>
          <w:cantSplit/>
        </w:trPr>
        <w:tc>
          <w:tcPr>
            <w:tcW w:w="4771" w:type="dxa"/>
            <w:tcBorders>
              <w:left w:val="single" w:sz="8" w:space="0" w:color="808080"/>
              <w:bottom w:val="single" w:sz="8" w:space="0" w:color="808080"/>
            </w:tcBorders>
            <w:tcMar>
              <w:top w:w="60" w:type="dxa"/>
              <w:left w:w="60" w:type="dxa"/>
              <w:bottom w:w="60" w:type="dxa"/>
              <w:right w:w="60" w:type="dxa"/>
            </w:tcMar>
            <w:vAlign w:val="center"/>
          </w:tcPr>
          <w:p w:rsidR="00BB2FC7" w:rsidRPr="00061B54" w:rsidRDefault="00EB5E35">
            <w:pPr>
              <w:pStyle w:val="TableContents"/>
              <w:spacing w:after="283" w:line="360" w:lineRule="auto"/>
              <w:rPr>
                <w:rFonts w:ascii="Arial" w:hAnsi="Arial"/>
                <w:lang w:val="la-Latn"/>
              </w:rPr>
            </w:pPr>
            <w:r w:rsidRPr="00061B54">
              <w:rPr>
                <w:rFonts w:ascii="Arial" w:hAnsi="Arial"/>
                <w:lang w:val="la-Latn"/>
              </w:rPr>
              <w:t xml:space="preserve">58.16. Nam in fuga salutem sperare, quom arma, quibus corpus tegitur, ab hostibus avorteris, ea vero dementia est. </w:t>
            </w:r>
            <w:r w:rsidRPr="00061B54">
              <w:rPr>
                <w:rFonts w:ascii="Arial" w:hAnsi="Arial"/>
                <w:lang w:val="la-Latn"/>
              </w:rPr>
              <w:br/>
              <w:t>58.17. Semper in proelio iis maxumum est periculum, qui maxume timent; audacia pro muro habetur.</w:t>
            </w:r>
          </w:p>
        </w:tc>
        <w:tc>
          <w:tcPr>
            <w:tcW w:w="4771" w:type="dxa"/>
            <w:tcBorders>
              <w:left w:val="single" w:sz="8" w:space="0" w:color="808080"/>
              <w:bottom w:val="single" w:sz="8" w:space="0" w:color="808080"/>
              <w:right w:val="single" w:sz="8" w:space="0" w:color="808080"/>
            </w:tcBorders>
            <w:tcMar>
              <w:top w:w="60" w:type="dxa"/>
              <w:left w:w="60" w:type="dxa"/>
              <w:bottom w:w="60" w:type="dxa"/>
              <w:right w:w="60" w:type="dxa"/>
            </w:tcMar>
            <w:vAlign w:val="center"/>
          </w:tcPr>
          <w:p w:rsidR="008D2528" w:rsidRDefault="00EB5E35">
            <w:pPr>
              <w:pStyle w:val="TableContents"/>
              <w:spacing w:before="57" w:line="227" w:lineRule="atLeast"/>
              <w:ind w:left="170" w:hanging="170"/>
              <w:rPr>
                <w:rFonts w:ascii="Arial" w:hAnsi="Arial"/>
              </w:rPr>
            </w:pPr>
            <w:r>
              <w:rPr>
                <w:rFonts w:ascii="Arial" w:hAnsi="Arial"/>
              </w:rPr>
              <w:t>quom = cum</w:t>
            </w:r>
          </w:p>
          <w:p w:rsidR="00BB2FC7" w:rsidRDefault="00EB5E35">
            <w:pPr>
              <w:pStyle w:val="TableContents"/>
              <w:spacing w:before="57" w:line="227" w:lineRule="atLeast"/>
              <w:ind w:left="170" w:hanging="170"/>
              <w:rPr>
                <w:rFonts w:ascii="Arial" w:hAnsi="Arial"/>
              </w:rPr>
            </w:pPr>
            <w:r>
              <w:rPr>
                <w:rFonts w:ascii="Arial" w:hAnsi="Arial"/>
              </w:rPr>
              <w:t>avortere = avertere: abwenden</w:t>
            </w:r>
          </w:p>
        </w:tc>
      </w:tr>
    </w:tbl>
    <w:p w:rsidR="00BB2FC7" w:rsidRDefault="00BB2FC7">
      <w:pPr>
        <w:pStyle w:val="HorizontalLine"/>
        <w:rPr>
          <w:rFonts w:ascii="Arial" w:hAnsi="Arial"/>
        </w:rPr>
      </w:pPr>
    </w:p>
    <w:p w:rsidR="00BB2FC7" w:rsidRDefault="00EB5E35">
      <w:pPr>
        <w:pStyle w:val="berschrift3"/>
        <w:rPr>
          <w:rFonts w:ascii="Arial" w:hAnsi="Arial"/>
        </w:rPr>
      </w:pPr>
      <w:r>
        <w:rPr>
          <w:rFonts w:ascii="Arial" w:hAnsi="Arial"/>
        </w:rPr>
        <w:t>Interpretationsaufgaben</w:t>
      </w:r>
    </w:p>
    <w:p w:rsidR="00BB2FC7" w:rsidRDefault="00EB5E35" w:rsidP="00FF3EDC">
      <w:pPr>
        <w:pStyle w:val="Textbody"/>
        <w:numPr>
          <w:ilvl w:val="0"/>
          <w:numId w:val="1"/>
        </w:numPr>
        <w:spacing w:after="0" w:line="360" w:lineRule="auto"/>
        <w:ind w:left="709" w:hanging="284"/>
        <w:rPr>
          <w:rFonts w:ascii="Arial" w:hAnsi="Arial"/>
        </w:rPr>
      </w:pPr>
      <w:r>
        <w:rPr>
          <w:rFonts w:ascii="Arial" w:hAnsi="Arial"/>
        </w:rPr>
        <w:t>Stellen Sie die Argumente, mit denen Catilina seine Mitkämpfer anzustacheln sucht, in einer Liste zusammen.</w:t>
      </w:r>
    </w:p>
    <w:p w:rsidR="00BB2FC7" w:rsidRDefault="00EB5E35" w:rsidP="00FF3EDC">
      <w:pPr>
        <w:pStyle w:val="Textbody"/>
        <w:numPr>
          <w:ilvl w:val="0"/>
          <w:numId w:val="1"/>
        </w:numPr>
        <w:spacing w:after="0" w:line="360" w:lineRule="auto"/>
        <w:ind w:left="709" w:hanging="284"/>
        <w:rPr>
          <w:rFonts w:ascii="Arial" w:hAnsi="Arial"/>
        </w:rPr>
      </w:pPr>
      <w:r>
        <w:rPr>
          <w:rFonts w:ascii="Arial" w:hAnsi="Arial"/>
        </w:rPr>
        <w:t>Suchen Sie die Schlüsselwörter heraus, mit denen Catilina die von ihm verteidigten Werte bezeichnet.</w:t>
      </w:r>
    </w:p>
    <w:p w:rsidR="00BB2FC7" w:rsidRDefault="00EB5E35" w:rsidP="00FF3EDC">
      <w:pPr>
        <w:pStyle w:val="Textbody"/>
        <w:numPr>
          <w:ilvl w:val="0"/>
          <w:numId w:val="1"/>
        </w:numPr>
        <w:spacing w:line="360" w:lineRule="auto"/>
        <w:ind w:left="709" w:hanging="284"/>
      </w:pPr>
      <w:r>
        <w:rPr>
          <w:rFonts w:ascii="Arial" w:hAnsi="Arial"/>
        </w:rPr>
        <w:t xml:space="preserve">Untersuchen Sie das Bild des Exils, das Catilina in 58.13 entwirft, und vergleichen Sie dieses Bild mit Caesars Darstellung des Exils in </w:t>
      </w:r>
      <w:hyperlink r:id="rId8" w:history="1">
        <w:r w:rsidRPr="001857BB">
          <w:rPr>
            <w:rFonts w:ascii="Arial" w:hAnsi="Arial"/>
            <w:color w:val="0070C0"/>
            <w:u w:val="single"/>
          </w:rPr>
          <w:t>Coniu</w:t>
        </w:r>
        <w:r w:rsidRPr="001857BB">
          <w:rPr>
            <w:rFonts w:ascii="Arial" w:hAnsi="Arial"/>
            <w:color w:val="0070C0"/>
            <w:u w:val="single"/>
          </w:rPr>
          <w:t>r</w:t>
        </w:r>
        <w:r w:rsidRPr="001857BB">
          <w:rPr>
            <w:rFonts w:ascii="Arial" w:hAnsi="Arial"/>
            <w:color w:val="0070C0"/>
            <w:u w:val="single"/>
          </w:rPr>
          <w:t>ati</w:t>
        </w:r>
        <w:r w:rsidRPr="001857BB">
          <w:rPr>
            <w:rFonts w:ascii="Arial" w:hAnsi="Arial"/>
            <w:color w:val="0070C0"/>
            <w:u w:val="single"/>
          </w:rPr>
          <w:t>o</w:t>
        </w:r>
        <w:r w:rsidRPr="001857BB">
          <w:rPr>
            <w:rFonts w:ascii="Arial" w:hAnsi="Arial"/>
            <w:color w:val="0070C0"/>
            <w:u w:val="single"/>
          </w:rPr>
          <w:t xml:space="preserve"> </w:t>
        </w:r>
        <w:r w:rsidRPr="001857BB">
          <w:rPr>
            <w:rFonts w:ascii="Arial" w:hAnsi="Arial"/>
            <w:color w:val="0070C0"/>
            <w:u w:val="single"/>
          </w:rPr>
          <w:t>C</w:t>
        </w:r>
        <w:r w:rsidRPr="001857BB">
          <w:rPr>
            <w:rFonts w:ascii="Arial" w:hAnsi="Arial"/>
            <w:color w:val="0070C0"/>
            <w:u w:val="single"/>
          </w:rPr>
          <w:t>atilinae 5</w:t>
        </w:r>
        <w:r w:rsidRPr="001857BB">
          <w:rPr>
            <w:rFonts w:ascii="Arial" w:hAnsi="Arial"/>
            <w:color w:val="0070C0"/>
            <w:u w:val="single"/>
          </w:rPr>
          <w:t>1</w:t>
        </w:r>
        <w:r w:rsidRPr="001857BB">
          <w:rPr>
            <w:rFonts w:ascii="Arial" w:hAnsi="Arial"/>
            <w:color w:val="0070C0"/>
            <w:u w:val="single"/>
          </w:rPr>
          <w:t>.37-43</w:t>
        </w:r>
      </w:hyperlink>
      <w:r w:rsidR="001857BB">
        <w:rPr>
          <w:rFonts w:ascii="Arial" w:hAnsi="Arial"/>
        </w:rPr>
        <w:t>.</w:t>
      </w:r>
    </w:p>
    <w:p w:rsidR="00BB2FC7" w:rsidRDefault="00BB2FC7" w:rsidP="00395692">
      <w:pPr>
        <w:tabs>
          <w:tab w:val="left" w:pos="2717"/>
        </w:tabs>
        <w:rPr>
          <w:rFonts w:ascii="Arial" w:hAnsi="Arial"/>
        </w:rPr>
      </w:pPr>
    </w:p>
    <w:sectPr w:rsidR="00BB2FC7">
      <w:foot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269" w:rsidRDefault="000C3269">
      <w:r>
        <w:separator/>
      </w:r>
    </w:p>
  </w:endnote>
  <w:endnote w:type="continuationSeparator" w:id="0">
    <w:p w:rsidR="000C3269" w:rsidRDefault="000C3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8100AAF7" w:usb1="0000807B" w:usb2="00000008" w:usb3="00000000" w:csb0="0000009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04" w:type="dxa"/>
      <w:tblInd w:w="108" w:type="dxa"/>
      <w:tblBorders>
        <w:top w:val="single" w:sz="4" w:space="0" w:color="auto"/>
      </w:tblBorders>
      <w:tblLook w:val="04A0" w:firstRow="1" w:lastRow="0" w:firstColumn="1" w:lastColumn="0" w:noHBand="0" w:noVBand="1"/>
    </w:tblPr>
    <w:tblGrid>
      <w:gridCol w:w="2856"/>
      <w:gridCol w:w="5366"/>
      <w:gridCol w:w="882"/>
    </w:tblGrid>
    <w:tr w:rsidR="00FF3EDC" w:rsidRPr="00C920E5" w:rsidTr="00EB5E35">
      <w:tc>
        <w:tcPr>
          <w:tcW w:w="1701" w:type="dxa"/>
          <w:shd w:val="clear" w:color="auto" w:fill="auto"/>
        </w:tcPr>
        <w:p w:rsidR="00FF3EDC" w:rsidRPr="00C920E5" w:rsidRDefault="00B54D02" w:rsidP="00EB5E35">
          <w:pPr>
            <w:pStyle w:val="Fuzeile"/>
            <w:jc w:val="center"/>
          </w:pPr>
          <w:r w:rsidRPr="006F6843">
            <w:rPr>
              <w:noProof/>
            </w:rPr>
            <w:drawing>
              <wp:inline distT="0" distB="0" distL="0" distR="0">
                <wp:extent cx="1676400" cy="533400"/>
                <wp:effectExtent l="0" t="0" r="0" b="0"/>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533400"/>
                        </a:xfrm>
                        <a:prstGeom prst="rect">
                          <a:avLst/>
                        </a:prstGeom>
                        <a:noFill/>
                        <a:ln>
                          <a:noFill/>
                        </a:ln>
                      </pic:spPr>
                    </pic:pic>
                  </a:graphicData>
                </a:graphic>
              </wp:inline>
            </w:drawing>
          </w:r>
        </w:p>
      </w:tc>
      <w:tc>
        <w:tcPr>
          <w:tcW w:w="6521" w:type="dxa"/>
          <w:shd w:val="clear" w:color="auto" w:fill="auto"/>
        </w:tcPr>
        <w:p w:rsidR="00FF3EDC" w:rsidRPr="00C920E5" w:rsidRDefault="00FF3EDC" w:rsidP="00EB5E35">
          <w:pPr>
            <w:pStyle w:val="Fuzeile"/>
            <w:jc w:val="center"/>
            <w:rPr>
              <w:rFonts w:ascii="Verdana" w:hAnsi="Verdana"/>
              <w:sz w:val="20"/>
              <w:szCs w:val="20"/>
            </w:rPr>
          </w:pPr>
          <w:r>
            <w:rPr>
              <w:rFonts w:ascii="Verdana" w:hAnsi="Verdana"/>
              <w:sz w:val="20"/>
              <w:szCs w:val="20"/>
            </w:rPr>
            <w:t>Sallust, Coniuratio Catilinae</w:t>
          </w:r>
        </w:p>
        <w:p w:rsidR="00FF3EDC" w:rsidRPr="00C920E5" w:rsidRDefault="00FF3EDC" w:rsidP="004B5189">
          <w:pPr>
            <w:pStyle w:val="Fuzeile"/>
            <w:spacing w:before="80"/>
            <w:jc w:val="center"/>
            <w:rPr>
              <w:rFonts w:ascii="Verdana" w:hAnsi="Verdana"/>
              <w:sz w:val="16"/>
              <w:szCs w:val="16"/>
            </w:rPr>
          </w:pPr>
          <w:r w:rsidRPr="00C920E5">
            <w:rPr>
              <w:rFonts w:ascii="Verdana" w:hAnsi="Verdana"/>
              <w:i/>
              <w:sz w:val="16"/>
              <w:szCs w:val="16"/>
            </w:rPr>
            <w:t>Lateinische Bibliothek</w:t>
          </w:r>
        </w:p>
        <w:p w:rsidR="00FF3EDC" w:rsidRPr="00C920E5" w:rsidRDefault="00FF3EDC" w:rsidP="00EB5E35">
          <w:pPr>
            <w:pStyle w:val="Fuzeile"/>
            <w:spacing w:before="80"/>
            <w:jc w:val="center"/>
            <w:rPr>
              <w:rFonts w:ascii="Verdana" w:hAnsi="Verdana"/>
              <w:sz w:val="18"/>
              <w:szCs w:val="18"/>
            </w:rPr>
          </w:pPr>
          <w:hyperlink r:id="rId2" w:history="1">
            <w:r w:rsidRPr="00C920E5">
              <w:rPr>
                <w:rStyle w:val="Hyperlink"/>
                <w:rFonts w:ascii="Verdana" w:hAnsi="Verdana"/>
                <w:sz w:val="18"/>
                <w:szCs w:val="18"/>
              </w:rPr>
              <w:t>www.latein-bw.de</w:t>
            </w:r>
          </w:hyperlink>
          <w:r w:rsidRPr="00C920E5">
            <w:rPr>
              <w:rFonts w:ascii="Verdana" w:hAnsi="Verdana"/>
              <w:sz w:val="18"/>
              <w:szCs w:val="18"/>
            </w:rPr>
            <w:t xml:space="preserve"> </w:t>
          </w:r>
        </w:p>
      </w:tc>
      <w:tc>
        <w:tcPr>
          <w:tcW w:w="882" w:type="dxa"/>
          <w:shd w:val="clear" w:color="auto" w:fill="auto"/>
          <w:noWrap/>
          <w:tcMar>
            <w:left w:w="57" w:type="dxa"/>
            <w:right w:w="57" w:type="dxa"/>
          </w:tcMar>
          <w:tcFitText/>
          <w:vAlign w:val="center"/>
        </w:tcPr>
        <w:p w:rsidR="00FF3EDC" w:rsidRPr="00C920E5" w:rsidRDefault="00FF3EDC" w:rsidP="00EB5E35">
          <w:pPr>
            <w:rPr>
              <w:sz w:val="18"/>
              <w:szCs w:val="18"/>
            </w:rPr>
          </w:pPr>
          <w:r w:rsidRPr="00B54D02">
            <w:rPr>
              <w:spacing w:val="24"/>
              <w:sz w:val="18"/>
              <w:szCs w:val="18"/>
            </w:rPr>
            <w:t xml:space="preserve">Seite </w:t>
          </w:r>
          <w:r w:rsidRPr="00B54D02">
            <w:rPr>
              <w:spacing w:val="24"/>
              <w:sz w:val="18"/>
              <w:szCs w:val="18"/>
            </w:rPr>
            <w:fldChar w:fldCharType="begin"/>
          </w:r>
          <w:r w:rsidRPr="00B54D02">
            <w:rPr>
              <w:spacing w:val="24"/>
              <w:sz w:val="18"/>
              <w:szCs w:val="18"/>
            </w:rPr>
            <w:instrText>PAGE   \* MERGEFORMAT</w:instrText>
          </w:r>
          <w:r w:rsidRPr="00B54D02">
            <w:rPr>
              <w:spacing w:val="24"/>
              <w:sz w:val="18"/>
              <w:szCs w:val="18"/>
            </w:rPr>
            <w:fldChar w:fldCharType="separate"/>
          </w:r>
          <w:r w:rsidR="00B54D02">
            <w:rPr>
              <w:noProof/>
              <w:spacing w:val="24"/>
              <w:sz w:val="18"/>
              <w:szCs w:val="18"/>
            </w:rPr>
            <w:t>2</w:t>
          </w:r>
          <w:r w:rsidRPr="00B54D02">
            <w:rPr>
              <w:spacing w:val="24"/>
              <w:sz w:val="18"/>
              <w:szCs w:val="18"/>
            </w:rPr>
            <w:fldChar w:fldCharType="end"/>
          </w:r>
          <w:r w:rsidRPr="00B54D02">
            <w:rPr>
              <w:spacing w:val="24"/>
              <w:sz w:val="18"/>
              <w:szCs w:val="18"/>
            </w:rPr>
            <w:t xml:space="preserve"> </w:t>
          </w:r>
        </w:p>
      </w:tc>
    </w:tr>
  </w:tbl>
  <w:p w:rsidR="00FF3EDC" w:rsidRPr="004B5189" w:rsidRDefault="00FF3EDC">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269" w:rsidRDefault="000C3269">
      <w:r>
        <w:rPr>
          <w:color w:val="000000"/>
        </w:rPr>
        <w:separator/>
      </w:r>
    </w:p>
  </w:footnote>
  <w:footnote w:type="continuationSeparator" w:id="0">
    <w:p w:rsidR="000C3269" w:rsidRDefault="000C3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06C67"/>
    <w:multiLevelType w:val="multilevel"/>
    <w:tmpl w:val="DF8CBCBA"/>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C7"/>
    <w:rsid w:val="00061B54"/>
    <w:rsid w:val="00090686"/>
    <w:rsid w:val="000C0C95"/>
    <w:rsid w:val="000C3269"/>
    <w:rsid w:val="001857BB"/>
    <w:rsid w:val="0020691E"/>
    <w:rsid w:val="00213A06"/>
    <w:rsid w:val="0022621B"/>
    <w:rsid w:val="00384E55"/>
    <w:rsid w:val="00395692"/>
    <w:rsid w:val="004618B1"/>
    <w:rsid w:val="004B5189"/>
    <w:rsid w:val="0066654B"/>
    <w:rsid w:val="00836E8C"/>
    <w:rsid w:val="008D2528"/>
    <w:rsid w:val="0090745B"/>
    <w:rsid w:val="009117C3"/>
    <w:rsid w:val="00B54D02"/>
    <w:rsid w:val="00BB2FC7"/>
    <w:rsid w:val="00C63F7B"/>
    <w:rsid w:val="00EB5E35"/>
    <w:rsid w:val="00FF3E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Lucida Sans"/>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widowControl w:val="0"/>
      <w:suppressAutoHyphens/>
      <w:autoSpaceDN w:val="0"/>
      <w:textAlignment w:val="baseline"/>
    </w:pPr>
    <w:rPr>
      <w:kern w:val="3"/>
      <w:sz w:val="24"/>
      <w:szCs w:val="24"/>
      <w:lang w:eastAsia="zh-CN" w:bidi="hi-IN"/>
    </w:rPr>
  </w:style>
  <w:style w:type="paragraph" w:styleId="berschrift3">
    <w:name w:val="heading 3"/>
    <w:basedOn w:val="Heading"/>
    <w:next w:val="Textbody"/>
    <w:pPr>
      <w:outlineLvl w:val="2"/>
    </w:pPr>
    <w:rPr>
      <w:rFonts w:ascii="Times New Roman" w:eastAsia="SimSu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HorizontalLine">
    <w:name w:val="Horizontal Line"/>
    <w:basedOn w:val="Standard"/>
    <w:next w:val="Textbody"/>
    <w:pPr>
      <w:suppressLineNumbers/>
      <w:spacing w:after="283"/>
    </w:pPr>
    <w:rPr>
      <w:sz w:val="12"/>
      <w:szCs w:val="12"/>
    </w:rPr>
  </w:style>
  <w:style w:type="character" w:customStyle="1" w:styleId="NumberingSymbols">
    <w:name w:val="Numbering Symbols"/>
  </w:style>
  <w:style w:type="character" w:customStyle="1" w:styleId="Internetlink">
    <w:name w:val="Internet link"/>
    <w:rPr>
      <w:color w:val="000080"/>
      <w:u w:val="single"/>
    </w:rPr>
  </w:style>
  <w:style w:type="paragraph" w:styleId="Kopfzeile">
    <w:name w:val="header"/>
    <w:basedOn w:val="Standard"/>
    <w:link w:val="KopfzeileZchn"/>
    <w:uiPriority w:val="99"/>
    <w:unhideWhenUsed/>
    <w:rsid w:val="00FF3EDC"/>
    <w:pPr>
      <w:tabs>
        <w:tab w:val="center" w:pos="4536"/>
        <w:tab w:val="right" w:pos="9072"/>
      </w:tabs>
    </w:pPr>
    <w:rPr>
      <w:rFonts w:cs="Mangal"/>
      <w:szCs w:val="21"/>
    </w:rPr>
  </w:style>
  <w:style w:type="character" w:customStyle="1" w:styleId="KopfzeileZchn">
    <w:name w:val="Kopfzeile Zchn"/>
    <w:link w:val="Kopfzeile"/>
    <w:uiPriority w:val="99"/>
    <w:rsid w:val="00FF3EDC"/>
    <w:rPr>
      <w:rFonts w:cs="Mangal"/>
      <w:kern w:val="3"/>
      <w:sz w:val="24"/>
      <w:szCs w:val="21"/>
      <w:lang w:eastAsia="zh-CN" w:bidi="hi-IN"/>
    </w:rPr>
  </w:style>
  <w:style w:type="paragraph" w:styleId="Fuzeile">
    <w:name w:val="footer"/>
    <w:basedOn w:val="Standard"/>
    <w:link w:val="FuzeileZchn"/>
    <w:uiPriority w:val="99"/>
    <w:unhideWhenUsed/>
    <w:rsid w:val="00FF3EDC"/>
    <w:pPr>
      <w:tabs>
        <w:tab w:val="center" w:pos="4536"/>
        <w:tab w:val="right" w:pos="9072"/>
      </w:tabs>
    </w:pPr>
    <w:rPr>
      <w:rFonts w:cs="Mangal"/>
      <w:szCs w:val="21"/>
    </w:rPr>
  </w:style>
  <w:style w:type="character" w:customStyle="1" w:styleId="FuzeileZchn">
    <w:name w:val="Fußzeile Zchn"/>
    <w:link w:val="Fuzeile"/>
    <w:uiPriority w:val="99"/>
    <w:rsid w:val="00FF3EDC"/>
    <w:rPr>
      <w:rFonts w:cs="Mangal"/>
      <w:kern w:val="3"/>
      <w:sz w:val="24"/>
      <w:szCs w:val="21"/>
      <w:lang w:eastAsia="zh-CN" w:bidi="hi-IN"/>
    </w:rPr>
  </w:style>
  <w:style w:type="character" w:styleId="Hyperlink">
    <w:name w:val="Hyperlink"/>
    <w:uiPriority w:val="99"/>
    <w:unhideWhenUsed/>
    <w:rsid w:val="00FF3EDC"/>
    <w:rPr>
      <w:color w:val="0000FF"/>
      <w:u w:val="single"/>
    </w:rPr>
  </w:style>
  <w:style w:type="character" w:styleId="BesuchterHyperlink">
    <w:name w:val="BesuchterHyperlink"/>
    <w:uiPriority w:val="99"/>
    <w:semiHidden/>
    <w:unhideWhenUsed/>
    <w:rsid w:val="0009068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chule-bw.de/faecher-und-schularten/sprachen-und-literatur/latein/texte-und-medien/sallust/sallust-catilina-51-37-exilium.html" TargetMode="External"/><Relationship Id="rId3" Type="http://schemas.openxmlformats.org/officeDocument/2006/relationships/settings" Target="settings.xml"/><Relationship Id="rId7" Type="http://schemas.openxmlformats.org/officeDocument/2006/relationships/hyperlink" Target="http://www.schule-bw.de/faecher-und-schularten/sprachen-und-literatur/latein/texte-und-medien/flucht-exil-asyl-im-antiken-r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chule-bw.de/unterricht/faecher/latein/lateinische-bibliothek/sallust"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3754</Characters>
  <Application>Microsoft Office Word</Application>
  <DocSecurity>0</DocSecurity>
  <Lines>31</Lines>
  <Paragraphs>8</Paragraphs>
  <ScaleCrop>false</ScaleCrop>
  <Company/>
  <LinksUpToDate>false</LinksUpToDate>
  <CharactersWithSpaces>4341</CharactersWithSpaces>
  <SharedDoc>false</SharedDoc>
  <HLinks>
    <vt:vector size="18" baseType="variant">
      <vt:variant>
        <vt:i4>393288</vt:i4>
      </vt:variant>
      <vt:variant>
        <vt:i4>3</vt:i4>
      </vt:variant>
      <vt:variant>
        <vt:i4>0</vt:i4>
      </vt:variant>
      <vt:variant>
        <vt:i4>5</vt:i4>
      </vt:variant>
      <vt:variant>
        <vt:lpwstr>http://www.schule-bw.de/faecher-und-schularten/sprachen-und-literatur/latein/texte-und-medien/sallust/sallust-catilina-51-37-exilium.html</vt:lpwstr>
      </vt:variant>
      <vt:variant>
        <vt:lpwstr/>
      </vt:variant>
      <vt:variant>
        <vt:i4>2621553</vt:i4>
      </vt:variant>
      <vt:variant>
        <vt:i4>0</vt:i4>
      </vt:variant>
      <vt:variant>
        <vt:i4>0</vt:i4>
      </vt:variant>
      <vt:variant>
        <vt:i4>5</vt:i4>
      </vt:variant>
      <vt:variant>
        <vt:lpwstr>http://www.schule-bw.de/faecher-und-schularten/sprachen-und-literatur/latein/texte-und-medien/flucht-exil-asyl-im-antiken-rom/</vt:lpwstr>
      </vt:variant>
      <vt:variant>
        <vt:lpwstr/>
      </vt:variant>
      <vt:variant>
        <vt:i4>5177410</vt:i4>
      </vt:variant>
      <vt:variant>
        <vt:i4>0</vt:i4>
      </vt:variant>
      <vt:variant>
        <vt:i4>0</vt:i4>
      </vt:variant>
      <vt:variant>
        <vt:i4>5</vt:i4>
      </vt:variant>
      <vt:variant>
        <vt:lpwstr>http://www.schule-bw.de/unterricht/faecher/latein/lateinische-bibliothek/sallust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2017-06-29T20:20:00Z</dcterms:created>
  <dcterms:modified xsi:type="dcterms:W3CDTF">2017-06-29T20:20:00Z</dcterms:modified>
</cp:coreProperties>
</file>