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B408A" w14:textId="77777777" w:rsidR="001B7A20" w:rsidRDefault="00BE7C33">
      <w:pPr>
        <w:pStyle w:val="berschrift1"/>
      </w:pPr>
      <w:r>
        <w:t>Helden der Antike gehen in die Unterwelt</w:t>
      </w:r>
    </w:p>
    <w:p w14:paraId="1C07E6FF" w14:textId="77777777" w:rsidR="001B7A20" w:rsidRDefault="00BE7C33">
      <w:pPr>
        <w:pStyle w:val="berschrift3"/>
      </w:pPr>
      <w:r>
        <w:t>Teil 2: Herkules holt Cerberus aus der Unterwelt – der Erfolg</w:t>
      </w:r>
    </w:p>
    <w:p w14:paraId="76357796" w14:textId="77777777" w:rsidR="001B7A20" w:rsidRDefault="00BE7C33">
      <w:pPr>
        <w:rPr>
          <w:i/>
          <w:iCs/>
        </w:rPr>
      </w:pPr>
      <w:r>
        <w:rPr>
          <w:i/>
          <w:iCs/>
        </w:rPr>
        <w:t xml:space="preserve">Die sagenhaften Helden der Griechen und Römer gingen, wenn es sein musste, auch in die Unterwelt zu den Toten. Herkules holte den </w:t>
      </w:r>
      <w:r>
        <w:rPr>
          <w:i/>
          <w:iCs/>
        </w:rPr>
        <w:t>wilden, dreiköpfigen Hund Cerberus aus der Unterwelt.</w:t>
      </w:r>
    </w:p>
    <w:p w14:paraId="7C39A31C" w14:textId="77777777" w:rsidR="001B7A20" w:rsidRDefault="00BE7C33">
      <w:pPr>
        <w:rPr>
          <w:b/>
          <w:bCs/>
        </w:rPr>
      </w:pPr>
      <w:r>
        <w:rPr>
          <w:b/>
          <w:bCs/>
        </w:rPr>
        <w:t>Hilfen zum Verständnis (Mythologie und Grammatik)</w:t>
      </w:r>
    </w:p>
    <w:p w14:paraId="4A335F7C" w14:textId="77777777" w:rsidR="001B7A20" w:rsidRDefault="00BE7C33">
      <w:r>
        <w:t>Dieser Text steht im Internet; auf der Internetseite sind Hilfen zur Grammatik und Erläuterungen zur Mythologie eingefügt:</w:t>
      </w:r>
    </w:p>
    <w:p w14:paraId="2FE2EAB2" w14:textId="77A4E524" w:rsidR="001B7A20" w:rsidRDefault="00BE7C33">
      <w:hyperlink r:id="rId7" w:history="1">
        <w:r w:rsidRPr="00AF103C">
          <w:rPr>
            <w:color w:val="4472C4" w:themeColor="accent1"/>
          </w:rPr>
          <w:t>https://www.schule-bw.de/faecher-und-schularten/sprachen-und-literatur/latein/tex</w:t>
        </w:r>
        <w:r w:rsidRPr="00AF103C">
          <w:rPr>
            <w:color w:val="4472C4" w:themeColor="accent1"/>
          </w:rPr>
          <w:t>te-und-medien/sprueche-anekdoten/herkules-uebungstexte/herkules-in-der-unterwelt-uebersetzungstext-</w:t>
        </w:r>
      </w:hyperlink>
      <w:hyperlink r:id="rId8" w:history="1">
        <w:r w:rsidRPr="00AF103C">
          <w:rPr>
            <w:color w:val="4472C4" w:themeColor="accent1"/>
          </w:rPr>
          <w:t>2</w:t>
        </w:r>
      </w:hyperlink>
      <w:hyperlink r:id="rId9" w:history="1">
        <w:r w:rsidRPr="00AF103C">
          <w:rPr>
            <w:color w:val="4472C4" w:themeColor="accent1"/>
          </w:rPr>
          <w:t>.htm</w:t>
        </w:r>
        <w:r w:rsidRPr="00AF103C">
          <w:rPr>
            <w:color w:val="4472C4" w:themeColor="accent1"/>
          </w:rPr>
          <w:t>l</w:t>
        </w:r>
      </w:hyperlink>
      <w:r w:rsidR="00AF103C">
        <w:t xml:space="preserve"> </w:t>
      </w:r>
    </w:p>
    <w:p w14:paraId="2F526F8E" w14:textId="77777777" w:rsidR="001B7A20" w:rsidRDefault="00BE7C33">
      <w:r>
        <w:rPr>
          <w:b/>
          <w:bCs/>
        </w:rPr>
        <w:t>Aufgaben</w:t>
      </w:r>
      <w:r>
        <w:t xml:space="preserve"> – bearbeite sie in dieser Reihenfolge:</w:t>
      </w:r>
    </w:p>
    <w:p w14:paraId="088E599B" w14:textId="77777777" w:rsidR="001B7A20" w:rsidRDefault="00BE7C33">
      <w:pPr>
        <w:pStyle w:val="Listenabsatz"/>
        <w:numPr>
          <w:ilvl w:val="0"/>
          <w:numId w:val="4"/>
        </w:numPr>
      </w:pPr>
      <w:r>
        <w:rPr>
          <w:u w:val="single"/>
        </w:rPr>
        <w:t>Unterstreiche</w:t>
      </w:r>
      <w:r>
        <w:t xml:space="preserve"> alle Prädikate.</w:t>
      </w:r>
    </w:p>
    <w:p w14:paraId="58103991" w14:textId="77777777" w:rsidR="001B7A20" w:rsidRDefault="00BE7C33">
      <w:pPr>
        <w:pStyle w:val="Listenabsatz"/>
        <w:numPr>
          <w:ilvl w:val="0"/>
          <w:numId w:val="3"/>
        </w:numPr>
      </w:pPr>
      <w:r>
        <w:t xml:space="preserve">Setze alle </w:t>
      </w:r>
      <w:proofErr w:type="spellStart"/>
      <w:r>
        <w:t>AcIs</w:t>
      </w:r>
      <w:proofErr w:type="spellEnd"/>
      <w:r>
        <w:t xml:space="preserve"> in </w:t>
      </w:r>
      <w:r>
        <w:rPr>
          <w:b/>
          <w:bCs/>
        </w:rPr>
        <w:t>Fettdruck</w:t>
      </w:r>
      <w:r>
        <w:t xml:space="preserve"> – nicht das Verb, von dem der </w:t>
      </w:r>
      <w:proofErr w:type="spellStart"/>
      <w:r>
        <w:t>AcI</w:t>
      </w:r>
      <w:proofErr w:type="spellEnd"/>
      <w:r>
        <w:t xml:space="preserve"> abhängt, sondern alles vom </w:t>
      </w:r>
      <w:proofErr w:type="spellStart"/>
      <w:r>
        <w:t>Accusativ</w:t>
      </w:r>
      <w:proofErr w:type="spellEnd"/>
      <w:r>
        <w:t xml:space="preserve"> des </w:t>
      </w:r>
      <w:proofErr w:type="spellStart"/>
      <w:r>
        <w:t>AcI</w:t>
      </w:r>
      <w:proofErr w:type="spellEnd"/>
      <w:r>
        <w:t xml:space="preserve"> bis zum Infinitiv.</w:t>
      </w:r>
    </w:p>
    <w:p w14:paraId="017D5A9A" w14:textId="77777777" w:rsidR="001B7A20" w:rsidRDefault="00BE7C33">
      <w:pPr>
        <w:pStyle w:val="Listenabsatz"/>
        <w:numPr>
          <w:ilvl w:val="0"/>
          <w:numId w:val="3"/>
        </w:numPr>
      </w:pPr>
      <w:r>
        <w:t>Übersetze den Text. Verwende dafür die rechte Sp</w:t>
      </w:r>
      <w:r>
        <w:t>alte.</w:t>
      </w:r>
    </w:p>
    <w:p w14:paraId="41098124" w14:textId="77777777" w:rsidR="001B7A20" w:rsidRDefault="00BE7C33">
      <w:r>
        <w:t xml:space="preserve">Zu den Vokabeln: Die Vokabeln mit </w:t>
      </w:r>
      <w:r>
        <w:rPr>
          <w:b/>
          <w:bCs/>
          <w:sz w:val="28"/>
          <w:szCs w:val="28"/>
        </w:rPr>
        <w:t xml:space="preserve">* </w:t>
      </w:r>
      <w:r>
        <w:t xml:space="preserve">sind Lernvokabeln. Präge sie dir beim Übersetzen ein. Die Liste der Lernvokabeln steht im Moodle-Kurs. Siehe auch den Grundwortschatz beim Landesbildungsserver: </w:t>
      </w:r>
      <w:r>
        <w:br/>
      </w:r>
      <w:hyperlink r:id="rId10" w:history="1">
        <w:r>
          <w:t>www.schule-bw.de/faecher-und-schularten/sprachen-und-literatur/latein/sprache/grundwortschatz</w:t>
        </w:r>
      </w:hyperlink>
    </w:p>
    <w:p w14:paraId="24AC0897" w14:textId="77777777" w:rsidR="001B7A20" w:rsidRDefault="00BE7C33">
      <w:r>
        <w:t xml:space="preserve">Beim Landesbildungsserver findest du auch eine </w:t>
      </w:r>
      <w:hyperlink r:id="rId11" w:history="1">
        <w:r>
          <w:rPr>
            <w:rStyle w:val="Internetlink"/>
          </w:rPr>
          <w:t>Liste mit Online-Wörterbüchern</w:t>
        </w:r>
      </w:hyperlink>
      <w:r>
        <w:t xml:space="preserve">, die auf ihre Zuverlässigkeit geprüft wurden. Du kannst z. B. das Lateinlexikon </w:t>
      </w:r>
      <w:r>
        <w:t xml:space="preserve">von </w:t>
      </w:r>
      <w:hyperlink r:id="rId12" w:history="1">
        <w:r>
          <w:rPr>
            <w:rStyle w:val="Internetlink"/>
          </w:rPr>
          <w:t>Pons</w:t>
        </w:r>
      </w:hyperlink>
      <w:r>
        <w:t xml:space="preserve"> verwenden</w:t>
      </w:r>
    </w:p>
    <w:tbl>
      <w:tblPr>
        <w:tblW w:w="905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7"/>
        <w:gridCol w:w="3017"/>
        <w:gridCol w:w="3018"/>
      </w:tblGrid>
      <w:tr w:rsidR="001B7A20" w14:paraId="1575887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D244DF" w14:textId="77777777" w:rsidR="001B7A20" w:rsidRDefault="00BE7C3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Lateinischer Text</w:t>
            </w:r>
          </w:p>
        </w:tc>
        <w:tc>
          <w:tcPr>
            <w:tcW w:w="3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A90BCE" w14:textId="77777777" w:rsidR="001B7A20" w:rsidRDefault="00BE7C33">
            <w:pPr>
              <w:pStyle w:val="vokangabe2"/>
            </w:pPr>
            <w:r>
              <w:t>Übersetzungshilfen</w:t>
            </w:r>
          </w:p>
        </w:tc>
        <w:tc>
          <w:tcPr>
            <w:tcW w:w="3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36D426" w14:textId="77777777" w:rsidR="001B7A20" w:rsidRDefault="00BE7C33">
            <w:pPr>
              <w:spacing w:after="0"/>
            </w:pPr>
            <w:r>
              <w:t>Übersetzung</w:t>
            </w:r>
          </w:p>
        </w:tc>
      </w:tr>
      <w:tr w:rsidR="001B7A20" w14:paraId="19F01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08B07" w14:textId="77777777" w:rsidR="001B7A20" w:rsidRDefault="00BE7C33">
            <w:pPr>
              <w:spacing w:after="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Hercules animum non demisit.</w:t>
            </w:r>
          </w:p>
          <w:p w14:paraId="04E270ED" w14:textId="77777777" w:rsidR="001B7A20" w:rsidRDefault="00BE7C3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q-AL"/>
              </w:rPr>
              <w:t>Cum ad inferos venisset</w:t>
            </w:r>
            <w:r>
              <w:rPr>
                <w:sz w:val="24"/>
                <w:szCs w:val="24"/>
              </w:rPr>
              <w:t xml:space="preserve">, a </w:t>
            </w:r>
            <w:proofErr w:type="spellStart"/>
            <w:r>
              <w:rPr>
                <w:sz w:val="24"/>
                <w:szCs w:val="24"/>
              </w:rPr>
              <w:t>Plutone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sq-AL"/>
              </w:rPr>
              <w:t>domino et rege inferorum,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petivit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canem </w:t>
            </w:r>
            <w:proofErr w:type="spellStart"/>
            <w:r>
              <w:rPr>
                <w:sz w:val="24"/>
                <w:szCs w:val="24"/>
              </w:rPr>
              <w:t>traderet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E12DE5B" w14:textId="77777777" w:rsidR="001B7A20" w:rsidRDefault="00BE7C33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negavit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E933FB" w14:textId="7124D7D1" w:rsidR="001B7A20" w:rsidRDefault="00BE7C33">
            <w:pPr>
              <w:pStyle w:val="vokangabe2"/>
              <w:rPr>
                <w:lang w:val="de-DE"/>
              </w:rPr>
            </w:pPr>
            <w:proofErr w:type="spellStart"/>
            <w:r>
              <w:rPr>
                <w:lang w:val="de-DE"/>
              </w:rPr>
              <w:t>animum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dēmittere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dēmittō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dēmīsī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dēmissum</w:t>
            </w:r>
            <w:proofErr w:type="spellEnd"/>
            <w:r>
              <w:rPr>
                <w:lang w:val="de-DE"/>
              </w:rPr>
              <w:t>): den Mut sinken lassen, den Mut verlieren</w:t>
            </w:r>
          </w:p>
          <w:p w14:paraId="717C05D0" w14:textId="77777777" w:rsidR="001B7A20" w:rsidRDefault="00BE7C33">
            <w:pPr>
              <w:pStyle w:val="vokangabe2"/>
            </w:pPr>
            <w:proofErr w:type="spellStart"/>
            <w:r>
              <w:rPr>
                <w:lang w:val="de-DE"/>
              </w:rPr>
              <w:t>dominus</w:t>
            </w:r>
            <w:proofErr w:type="spellEnd"/>
            <w:r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der Herr</w:t>
            </w:r>
          </w:p>
          <w:p w14:paraId="3DF7F067" w14:textId="77777777" w:rsidR="001B7A20" w:rsidRDefault="00BE7C33">
            <w:pPr>
              <w:pStyle w:val="vokangabe2"/>
              <w:rPr>
                <w:lang w:val="de-DE"/>
              </w:rPr>
            </w:pPr>
            <w:proofErr w:type="spellStart"/>
            <w:r>
              <w:rPr>
                <w:lang w:val="de-DE"/>
              </w:rPr>
              <w:t>Plūtō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Plūtōnis</w:t>
            </w:r>
            <w:proofErr w:type="spellEnd"/>
            <w:r>
              <w:rPr>
                <w:lang w:val="de-DE"/>
              </w:rPr>
              <w:t>, m.: Gott der Unterwelt (er wird meistens mit dem Unterweltgott Hades gleichgesetz</w:t>
            </w:r>
            <w:r>
              <w:rPr>
                <w:lang w:val="de-DE"/>
              </w:rPr>
              <w:t>t.)</w:t>
            </w:r>
          </w:p>
          <w:p w14:paraId="6BCE725C" w14:textId="77777777" w:rsidR="001B7A20" w:rsidRDefault="00BE7C33">
            <w:pPr>
              <w:pStyle w:val="vokangabe2"/>
            </w:pPr>
            <w:proofErr w:type="spellStart"/>
            <w:r>
              <w:rPr>
                <w:lang w:val="de-DE"/>
              </w:rPr>
              <w:t>trādere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trādō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trādidī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trāditum</w:t>
            </w:r>
            <w:proofErr w:type="spellEnd"/>
            <w:r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übergeben, ausliefern, überliefern</w:t>
            </w:r>
          </w:p>
          <w:p w14:paraId="6A06368B" w14:textId="77777777" w:rsidR="001B7A20" w:rsidRDefault="001B7A20">
            <w:pPr>
              <w:pStyle w:val="vokangabe2"/>
              <w:rPr>
                <w:lang w:val="de-DE"/>
              </w:rPr>
            </w:pPr>
          </w:p>
        </w:tc>
        <w:tc>
          <w:tcPr>
            <w:tcW w:w="3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676DE8" w14:textId="77777777" w:rsidR="001B7A20" w:rsidRDefault="001B7A20">
            <w:pPr>
              <w:spacing w:after="0"/>
            </w:pPr>
          </w:p>
        </w:tc>
      </w:tr>
      <w:tr w:rsidR="001B7A20" w14:paraId="5C2ECC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AE496A" w14:textId="77777777" w:rsidR="001B7A20" w:rsidRDefault="00BE7C33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Itaque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q-AL"/>
              </w:rPr>
              <w:t>Hercules eum sagitta vulneravit, ut ille tandem precibus Herculis cederet.</w:t>
            </w:r>
          </w:p>
        </w:tc>
        <w:tc>
          <w:tcPr>
            <w:tcW w:w="3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43441E" w14:textId="77777777" w:rsidR="001B7A20" w:rsidRDefault="00BE7C33">
            <w:pPr>
              <w:pStyle w:val="vokangabe2"/>
              <w:rPr>
                <w:lang w:val="de-DE"/>
              </w:rPr>
            </w:pPr>
            <w:proofErr w:type="spellStart"/>
            <w:r>
              <w:rPr>
                <w:lang w:val="de-DE"/>
              </w:rPr>
              <w:t>sagitta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sagittae</w:t>
            </w:r>
            <w:proofErr w:type="spellEnd"/>
            <w:r>
              <w:rPr>
                <w:lang w:val="de-DE"/>
              </w:rPr>
              <w:t>, f.: der Pfeil</w:t>
            </w:r>
          </w:p>
          <w:p w14:paraId="5E992038" w14:textId="77777777" w:rsidR="001B7A20" w:rsidRDefault="00BE7C33">
            <w:pPr>
              <w:pStyle w:val="vokangabe2"/>
            </w:pPr>
            <w:proofErr w:type="spellStart"/>
            <w:r>
              <w:rPr>
                <w:lang w:val="de-DE"/>
              </w:rPr>
              <w:t>vulnerāre</w:t>
            </w:r>
            <w:proofErr w:type="spellEnd"/>
            <w:r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verletzen</w:t>
            </w:r>
          </w:p>
          <w:p w14:paraId="3375DEC9" w14:textId="77777777" w:rsidR="001B7A20" w:rsidRDefault="00BE7C33">
            <w:pPr>
              <w:pStyle w:val="vokangabe2"/>
            </w:pPr>
            <w:proofErr w:type="spellStart"/>
            <w:r>
              <w:rPr>
                <w:lang w:val="de-DE"/>
              </w:rPr>
              <w:t>preces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precum</w:t>
            </w:r>
            <w:proofErr w:type="spellEnd"/>
            <w:r>
              <w:rPr>
                <w:lang w:val="de-DE"/>
              </w:rPr>
              <w:t>, f.</w:t>
            </w:r>
            <w:r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die Bitten</w:t>
            </w:r>
          </w:p>
          <w:p w14:paraId="4BF081B6" w14:textId="77777777" w:rsidR="001B7A20" w:rsidRDefault="00BE7C33">
            <w:pPr>
              <w:pStyle w:val="vokangabe2"/>
            </w:pPr>
            <w:proofErr w:type="spellStart"/>
            <w:r>
              <w:rPr>
                <w:lang w:val="de-DE"/>
              </w:rPr>
              <w:t>cēdere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cēdō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cessī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cessum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nachgeben</w:t>
            </w:r>
          </w:p>
        </w:tc>
        <w:tc>
          <w:tcPr>
            <w:tcW w:w="3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AD01E6" w14:textId="77777777" w:rsidR="001B7A20" w:rsidRDefault="00BE7C33">
            <w:pPr>
              <w:spacing w:after="0"/>
            </w:pPr>
            <w:r>
              <w:t xml:space="preserve"> </w:t>
            </w:r>
          </w:p>
        </w:tc>
      </w:tr>
      <w:tr w:rsidR="001B7A20" w14:paraId="17E98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5A5706" w14:textId="77777777" w:rsidR="001B7A20" w:rsidRDefault="00BE7C33">
            <w:pPr>
              <w:spacing w:after="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Hercules, cum iniustus non videri vellet,</w:t>
            </w:r>
          </w:p>
          <w:p w14:paraId="46C941C5" w14:textId="77777777" w:rsidR="001B7A20" w:rsidRDefault="00BE7C3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„C</w:t>
            </w:r>
            <w:r>
              <w:rPr>
                <w:sz w:val="24"/>
                <w:szCs w:val="24"/>
                <w:lang w:val="sq-AL"/>
              </w:rPr>
              <w:t xml:space="preserve">anem”, inquit, </w:t>
            </w:r>
            <w:r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  <w:lang w:val="sq-AL"/>
              </w:rPr>
              <w:t>tibi reddam!</w:t>
            </w:r>
          </w:p>
          <w:p w14:paraId="31ECEC12" w14:textId="77777777" w:rsidR="001B7A20" w:rsidRDefault="001B7A20">
            <w:pPr>
              <w:spacing w:after="0"/>
              <w:rPr>
                <w:sz w:val="24"/>
                <w:szCs w:val="24"/>
                <w:lang w:val="sq-AL"/>
              </w:rPr>
            </w:pPr>
          </w:p>
          <w:p w14:paraId="69294FA5" w14:textId="77777777" w:rsidR="001B7A20" w:rsidRDefault="00BE7C33">
            <w:pPr>
              <w:spacing w:after="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Omnes mortales immortalesque </w:t>
            </w:r>
            <w:r>
              <w:rPr>
                <w:rFonts w:ascii="Calibri Light" w:hAnsi="Calibri Light"/>
                <w:sz w:val="24"/>
                <w:szCs w:val="24"/>
                <w:lang w:val="sq-AL"/>
              </w:rPr>
              <w:t>sciunt</w:t>
            </w:r>
            <w:r>
              <w:rPr>
                <w:sz w:val="24"/>
                <w:szCs w:val="24"/>
                <w:lang w:val="sq-AL"/>
              </w:rPr>
              <w:t xml:space="preserve"> me promissa semper servare.”</w:t>
            </w:r>
          </w:p>
          <w:p w14:paraId="70E1565D" w14:textId="77777777" w:rsidR="001B7A20" w:rsidRDefault="001B7A20">
            <w:pPr>
              <w:spacing w:after="0"/>
              <w:rPr>
                <w:sz w:val="24"/>
                <w:szCs w:val="24"/>
                <w:lang w:val="sq-AL"/>
              </w:rPr>
            </w:pPr>
          </w:p>
        </w:tc>
        <w:tc>
          <w:tcPr>
            <w:tcW w:w="3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BB1D6E" w14:textId="77777777" w:rsidR="001B7A20" w:rsidRDefault="00BE7C33">
            <w:pPr>
              <w:pStyle w:val="vokangabe2"/>
              <w:rPr>
                <w:lang w:val="de-DE"/>
              </w:rPr>
            </w:pPr>
            <w:proofErr w:type="spellStart"/>
            <w:r>
              <w:rPr>
                <w:lang w:val="de-DE"/>
              </w:rPr>
              <w:t>vidērī</w:t>
            </w:r>
            <w:proofErr w:type="spellEnd"/>
            <w:r>
              <w:rPr>
                <w:lang w:val="de-DE"/>
              </w:rPr>
              <w:t>: scheinen</w:t>
            </w:r>
          </w:p>
          <w:p w14:paraId="1864D151" w14:textId="77777777" w:rsidR="001B7A20" w:rsidRDefault="00BE7C33">
            <w:pPr>
              <w:pStyle w:val="vokangabe2"/>
            </w:pPr>
            <w:proofErr w:type="spellStart"/>
            <w:r>
              <w:rPr>
                <w:lang w:val="de-DE"/>
              </w:rPr>
              <w:t>reddere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reddō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reddidī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redditum</w:t>
            </w:r>
            <w:proofErr w:type="spellEnd"/>
            <w:r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 xml:space="preserve">: </w:t>
            </w:r>
            <w:r>
              <w:rPr>
                <w:lang w:val="de-DE"/>
              </w:rPr>
              <w:t>zurückgeben</w:t>
            </w:r>
          </w:p>
          <w:p w14:paraId="6EBEC76C" w14:textId="77777777" w:rsidR="001B7A20" w:rsidRDefault="00BE7C33">
            <w:pPr>
              <w:pStyle w:val="vokangabe2"/>
            </w:pPr>
            <w:proofErr w:type="spellStart"/>
            <w:r>
              <w:rPr>
                <w:lang w:val="de-DE"/>
              </w:rPr>
              <w:t>mortalēs</w:t>
            </w:r>
            <w:proofErr w:type="spellEnd"/>
            <w:r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die Sterblichen</w:t>
            </w:r>
          </w:p>
          <w:p w14:paraId="27F56083" w14:textId="77777777" w:rsidR="001B7A20" w:rsidRDefault="00BE7C33">
            <w:pPr>
              <w:pStyle w:val="vokangabe2"/>
              <w:rPr>
                <w:lang w:val="de-DE"/>
              </w:rPr>
            </w:pPr>
            <w:proofErr w:type="spellStart"/>
            <w:r>
              <w:rPr>
                <w:lang w:val="de-DE"/>
              </w:rPr>
              <w:t>immortalēs</w:t>
            </w:r>
            <w:proofErr w:type="spellEnd"/>
            <w:r>
              <w:rPr>
                <w:lang w:val="de-DE"/>
              </w:rPr>
              <w:t>: die Unsterblichen</w:t>
            </w:r>
          </w:p>
          <w:p w14:paraId="0B84592F" w14:textId="77777777" w:rsidR="001B7A20" w:rsidRDefault="00BE7C33">
            <w:pPr>
              <w:pStyle w:val="vokangabe2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promissum</w:t>
            </w:r>
            <w:proofErr w:type="spellEnd"/>
            <w:r>
              <w:rPr>
                <w:lang w:val="de-DE"/>
              </w:rPr>
              <w:t>: das Versprechen</w:t>
            </w:r>
          </w:p>
          <w:p w14:paraId="6F5E2083" w14:textId="77777777" w:rsidR="001B7A20" w:rsidRDefault="00BE7C33">
            <w:pPr>
              <w:pStyle w:val="vokangabe2"/>
            </w:pPr>
            <w:proofErr w:type="spellStart"/>
            <w:r>
              <w:rPr>
                <w:lang w:val="de-DE"/>
              </w:rPr>
              <w:t>servāre</w:t>
            </w:r>
            <w:proofErr w:type="spellEnd"/>
            <w:r>
              <w:rPr>
                <w:lang w:val="de-DE"/>
              </w:rPr>
              <w:t>: (allgemein) bewahren</w:t>
            </w:r>
            <w:r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, retten; (bei Versprechungen) einhalten</w:t>
            </w:r>
          </w:p>
        </w:tc>
        <w:tc>
          <w:tcPr>
            <w:tcW w:w="3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122386" w14:textId="77777777" w:rsidR="001B7A20" w:rsidRDefault="001B7A20">
            <w:pPr>
              <w:spacing w:after="0"/>
            </w:pPr>
          </w:p>
        </w:tc>
      </w:tr>
      <w:tr w:rsidR="001B7A20" w14:paraId="5074D3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15D84D" w14:textId="77777777" w:rsidR="001B7A20" w:rsidRDefault="00BE7C33">
            <w:pPr>
              <w:spacing w:after="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Postquam Cerberum domuit, profecto eum Plutoni reddidit.</w:t>
            </w:r>
          </w:p>
        </w:tc>
        <w:tc>
          <w:tcPr>
            <w:tcW w:w="3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17F48A" w14:textId="77777777" w:rsidR="001B7A20" w:rsidRDefault="00BE7C33">
            <w:pPr>
              <w:pStyle w:val="vokangabe2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domāre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domō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domuī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domitum</w:t>
            </w:r>
            <w:proofErr w:type="spellEnd"/>
            <w:r>
              <w:rPr>
                <w:lang w:val="de-DE"/>
              </w:rPr>
              <w:t>: zähmen</w:t>
            </w:r>
          </w:p>
          <w:p w14:paraId="150D21A2" w14:textId="77777777" w:rsidR="001B7A20" w:rsidRDefault="00BE7C33">
            <w:pPr>
              <w:pStyle w:val="vokangabe2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profectō</w:t>
            </w:r>
            <w:proofErr w:type="spellEnd"/>
            <w:r>
              <w:rPr>
                <w:lang w:val="de-DE"/>
              </w:rPr>
              <w:t>: in der Tat, tatsächlich</w:t>
            </w:r>
          </w:p>
        </w:tc>
        <w:tc>
          <w:tcPr>
            <w:tcW w:w="3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D012FA" w14:textId="77777777" w:rsidR="001B7A20" w:rsidRDefault="001B7A20">
            <w:pPr>
              <w:spacing w:after="0"/>
            </w:pPr>
          </w:p>
        </w:tc>
      </w:tr>
    </w:tbl>
    <w:p w14:paraId="2CE1637C" w14:textId="77777777" w:rsidR="001B7A20" w:rsidRDefault="001B7A20"/>
    <w:sectPr w:rsidR="001B7A20">
      <w:headerReference w:type="default" r:id="rId13"/>
      <w:footerReference w:type="default" r:id="rId14"/>
      <w:pgSz w:w="11906" w:h="16838"/>
      <w:pgMar w:top="1417" w:right="1417" w:bottom="1134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8A090" w14:textId="77777777" w:rsidR="00BE7C33" w:rsidRDefault="00BE7C33">
      <w:pPr>
        <w:spacing w:after="0" w:line="240" w:lineRule="auto"/>
      </w:pPr>
      <w:r>
        <w:separator/>
      </w:r>
    </w:p>
  </w:endnote>
  <w:endnote w:type="continuationSeparator" w:id="0">
    <w:p w14:paraId="33C78D7E" w14:textId="77777777" w:rsidR="00BE7C33" w:rsidRDefault="00B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B818" w14:textId="77777777" w:rsidR="00ED1244" w:rsidRDefault="00BE7C33">
    <w:pPr>
      <w:pStyle w:val="Fuzeile"/>
    </w:pPr>
    <w:r>
      <w:t>Herk</w:t>
    </w:r>
    <w:r>
      <w:t xml:space="preserve">ules holt Cerberus aus der Unterwelt – </w:t>
    </w:r>
    <w:hyperlink r:id="rId1" w:history="1">
      <w:r>
        <w:t>www.latein-bw.de</w:t>
      </w:r>
    </w:hyperlink>
    <w:r>
      <w:t xml:space="preserve"> </w:t>
    </w:r>
    <w:r>
      <w:tab/>
      <w:t>[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906E4" w14:textId="77777777" w:rsidR="00BE7C33" w:rsidRDefault="00BE7C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D2C952" w14:textId="77777777" w:rsidR="00BE7C33" w:rsidRDefault="00BE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8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1384"/>
      <w:gridCol w:w="4584"/>
    </w:tblGrid>
    <w:tr w:rsidR="00ED1244" w14:paraId="025108E1" w14:textId="77777777">
      <w:tblPrEx>
        <w:tblCellMar>
          <w:top w:w="0" w:type="dxa"/>
          <w:bottom w:w="0" w:type="dxa"/>
        </w:tblCellMar>
      </w:tblPrEx>
      <w:trPr>
        <w:trHeight w:val="912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83604B7" w14:textId="77777777" w:rsidR="00ED1244" w:rsidRDefault="00BE7C33">
          <w:pPr>
            <w:pStyle w:val="TableContents"/>
            <w:spacing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1448C9" wp14:editId="38391013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84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B5FAA23" w14:textId="77777777" w:rsidR="00ED1244" w:rsidRDefault="00BE7C33">
          <w:pPr>
            <w:pStyle w:val="TableContents"/>
          </w:pPr>
        </w:p>
      </w:tc>
      <w:tc>
        <w:tcPr>
          <w:tcW w:w="4584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00EC965" w14:textId="77777777" w:rsidR="00ED1244" w:rsidRDefault="00BE7C33">
          <w:pPr>
            <w:pStyle w:val="western"/>
            <w:spacing w:before="0" w:after="0" w:line="240" w:lineRule="auto"/>
            <w:jc w:val="right"/>
          </w:pPr>
          <w:r>
            <w:rPr>
              <w:rFonts w:ascii="Arial Rounded MT Bold" w:hAnsi="Arial Rounded MT Bold"/>
              <w:sz w:val="22"/>
              <w:szCs w:val="22"/>
              <w:lang w:eastAsia="zh-CN" w:bidi="hi-IN"/>
            </w:rPr>
            <w:t xml:space="preserve">Lateinportal: </w:t>
          </w:r>
          <w:r>
            <w:rPr>
              <w:rFonts w:ascii="Arial Rounded MT Bold" w:hAnsi="Arial Rounded MT Bold"/>
              <w:sz w:val="22"/>
              <w:szCs w:val="22"/>
            </w:rPr>
            <w:t>Übersetzungstexte für die Lehrbuchphase</w:t>
          </w:r>
          <w:r>
            <w:br/>
          </w:r>
          <w:r>
            <w:rPr>
              <w:rFonts w:ascii="Arial Rounded MT Bold" w:hAnsi="Arial Rounded MT Bold"/>
              <w:sz w:val="22"/>
              <w:szCs w:val="22"/>
            </w:rPr>
            <w:t>Herkules in der Unterwelt</w:t>
          </w:r>
        </w:p>
      </w:tc>
    </w:tr>
  </w:tbl>
  <w:p w14:paraId="79CE437A" w14:textId="77777777" w:rsidR="00ED1244" w:rsidRDefault="00BE7C33">
    <w:pPr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95F34"/>
    <w:multiLevelType w:val="multilevel"/>
    <w:tmpl w:val="46D25BA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79E5778"/>
    <w:multiLevelType w:val="multilevel"/>
    <w:tmpl w:val="B032E03C"/>
    <w:styleLink w:val="WWNum1a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C31EA6"/>
    <w:multiLevelType w:val="multilevel"/>
    <w:tmpl w:val="F9E43388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A20"/>
    <w:rsid w:val="001B7A20"/>
    <w:rsid w:val="004814C7"/>
    <w:rsid w:val="00AF103C"/>
    <w:rsid w:val="00BE7C33"/>
    <w:rsid w:val="00C75A23"/>
    <w:rsid w:val="00C8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1E19"/>
  <w15:docId w15:val="{FEB0E69E-0CA2-4CA9-A387-C9BBA516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pacing w:after="160" w:line="312" w:lineRule="auto"/>
    </w:pPr>
    <w:rPr>
      <w:lang w:eastAsia="zh-CN" w:bidi="hi-IN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240"/>
      <w:outlineLvl w:val="0"/>
    </w:pPr>
    <w:rPr>
      <w:rFonts w:ascii="Calibri Light" w:hAnsi="Calibri Light"/>
      <w:color w:val="404040"/>
      <w:sz w:val="36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240" w:after="240"/>
      <w:outlineLvl w:val="1"/>
    </w:pPr>
    <w:rPr>
      <w:rFonts w:ascii="Calibri Light" w:hAnsi="Calibri Light"/>
      <w:color w:val="262626"/>
      <w:sz w:val="28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240" w:after="240"/>
      <w:outlineLvl w:val="2"/>
    </w:pPr>
    <w:rPr>
      <w:rFonts w:ascii="Calibri Light" w:hAnsi="Calibri Light"/>
      <w:color w:val="0D0D0D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Zitat">
    <w:name w:val="Quote"/>
    <w:basedOn w:val="Standard"/>
    <w:next w:val="Standard"/>
    <w:pPr>
      <w:spacing w:before="200"/>
      <w:ind w:left="864" w:right="864"/>
    </w:pPr>
    <w:rPr>
      <w:i/>
      <w:iCs/>
      <w:color w:val="404040"/>
    </w:rPr>
  </w:style>
  <w:style w:type="paragraph" w:customStyle="1" w:styleId="lbs-dokumente">
    <w:name w:val="lbs-dokumente"/>
    <w:pPr>
      <w:widowControl/>
      <w:spacing w:after="198" w:line="360" w:lineRule="auto"/>
    </w:pPr>
    <w:rPr>
      <w:rFonts w:ascii="Arial" w:hAnsi="Arial" w:cs="Arial"/>
      <w:lang w:eastAsia="zh-CN" w:bidi="hi-IN"/>
    </w:rPr>
  </w:style>
  <w:style w:type="paragraph" w:customStyle="1" w:styleId="vokangabe2">
    <w:name w:val="vokangabe2"/>
    <w:basedOn w:val="Standard"/>
    <w:autoRedefine/>
    <w:pPr>
      <w:spacing w:after="60" w:line="264" w:lineRule="auto"/>
      <w:ind w:left="284" w:hanging="284"/>
    </w:pPr>
    <w:rPr>
      <w:rFonts w:ascii="Arial" w:hAnsi="Arial" w:cs="Calibri"/>
      <w:sz w:val="20"/>
      <w:szCs w:val="20"/>
      <w:lang w:eastAsia="de-DE" w:bidi="ar-SA"/>
    </w:rPr>
  </w:style>
  <w:style w:type="paragraph" w:styleId="Listenabsatz">
    <w:name w:val="List Paragraph"/>
    <w:basedOn w:val="Standard"/>
    <w:pPr>
      <w:ind w:left="720"/>
    </w:pPr>
    <w:rPr>
      <w:rFonts w:cs="Mangal"/>
      <w:szCs w:val="20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eastAsia="Segoe UI" w:hAnsi="Segoe UI" w:cs="Mangal"/>
      <w:sz w:val="18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ormaleTabelle1">
    <w:name w:val="Normale Tabelle1"/>
    <w:pPr>
      <w:widowControl/>
      <w:spacing w:after="160" w:line="256" w:lineRule="auto"/>
      <w:textAlignment w:val="auto"/>
    </w:pPr>
    <w:rPr>
      <w:rFonts w:cs="Times New Roman"/>
    </w:rPr>
  </w:style>
  <w:style w:type="paragraph" w:customStyle="1" w:styleId="western">
    <w:name w:val="western"/>
    <w:basedOn w:val="Standard"/>
    <w:pPr>
      <w:spacing w:before="100" w:after="142" w:line="276" w:lineRule="exact"/>
    </w:pPr>
    <w:rPr>
      <w:rFonts w:cs="Times New Roman"/>
      <w:sz w:val="24"/>
      <w:szCs w:val="24"/>
      <w:lang w:eastAsia="de-DE" w:bidi="ar-SA"/>
    </w:rPr>
  </w:style>
  <w:style w:type="character" w:customStyle="1" w:styleId="ZitatZchn">
    <w:name w:val="Zitat Zchn"/>
    <w:basedOn w:val="Absatz-Standardschriftart"/>
    <w:rPr>
      <w:rFonts w:eastAsia="Calibri"/>
      <w:i/>
      <w:iCs/>
      <w:color w:val="404040"/>
      <w:lang w:eastAsia="zh-CN" w:bidi="hi-IN"/>
    </w:rPr>
  </w:style>
  <w:style w:type="character" w:customStyle="1" w:styleId="berschrift1Zchn">
    <w:name w:val="Überschrift 1 Zchn"/>
    <w:basedOn w:val="Absatz-Standardschriftart"/>
    <w:rPr>
      <w:rFonts w:ascii="Calibri Light" w:eastAsia="Calibri" w:hAnsi="Calibri Light" w:cs="Tahoma"/>
      <w:color w:val="404040"/>
      <w:sz w:val="36"/>
      <w:szCs w:val="32"/>
      <w:lang w:eastAsia="zh-CN" w:bidi="hi-IN"/>
    </w:rPr>
  </w:style>
  <w:style w:type="character" w:customStyle="1" w:styleId="berschrift2Zchn">
    <w:name w:val="Überschrift 2 Zchn"/>
    <w:basedOn w:val="Absatz-Standardschriftart"/>
    <w:rPr>
      <w:rFonts w:ascii="Calibri Light" w:eastAsia="Calibri" w:hAnsi="Calibri Light" w:cs="Tahoma"/>
      <w:color w:val="262626"/>
      <w:sz w:val="28"/>
      <w:szCs w:val="28"/>
      <w:lang w:eastAsia="zh-CN" w:bidi="hi-IN"/>
    </w:rPr>
  </w:style>
  <w:style w:type="character" w:customStyle="1" w:styleId="berschrift3Zchn">
    <w:name w:val="Überschrift 3 Zchn"/>
    <w:basedOn w:val="Absatz-Standardschriftart"/>
    <w:rPr>
      <w:rFonts w:ascii="Calibri Light" w:eastAsia="Calibri" w:hAnsi="Calibri Light" w:cs="Tahoma"/>
      <w:color w:val="0D0D0D"/>
      <w:sz w:val="24"/>
      <w:szCs w:val="24"/>
      <w:lang w:eastAsia="zh-CN" w:bidi="hi-IN"/>
    </w:rPr>
  </w:style>
  <w:style w:type="character" w:customStyle="1" w:styleId="berschrift4Zchn">
    <w:name w:val="Überschrift 4 Zchn"/>
    <w:basedOn w:val="Absatz-Standardschriftart"/>
    <w:rPr>
      <w:rFonts w:ascii="Calibri Light" w:eastAsia="Calibri" w:hAnsi="Calibri Light" w:cs="Tahoma"/>
      <w:i/>
      <w:iCs/>
      <w:color w:val="404040"/>
      <w:lang w:eastAsia="zh-CN" w:bidi="hi-IN"/>
    </w:rPr>
  </w:style>
  <w:style w:type="character" w:customStyle="1" w:styleId="vokangabe2Zchn">
    <w:name w:val="vokangabe2 Zchn"/>
    <w:basedOn w:val="Absatz-Standardschriftart"/>
    <w:rPr>
      <w:rFonts w:ascii="Arial" w:eastAsia="Calibri" w:hAnsi="Arial" w:cs="Calibri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rPr>
      <w:rFonts w:eastAsia="Calibri" w:cs="Mangal"/>
      <w:szCs w:val="20"/>
      <w:lang w:eastAsia="zh-CN" w:bidi="hi-IN"/>
    </w:rPr>
  </w:style>
  <w:style w:type="character" w:customStyle="1" w:styleId="FuzeileZchn">
    <w:name w:val="Fußzeile Zchn"/>
    <w:basedOn w:val="Absatz-Standardschriftart"/>
    <w:rPr>
      <w:rFonts w:eastAsia="Calibri" w:cs="Mangal"/>
      <w:szCs w:val="20"/>
      <w:lang w:eastAsia="zh-CN" w:bidi="hi-IN"/>
    </w:rPr>
  </w:style>
  <w:style w:type="character" w:customStyle="1" w:styleId="SprechblasentextZchn">
    <w:name w:val="Sprechblasentext Zchn"/>
    <w:basedOn w:val="Absatz-Standardschriftart"/>
    <w:rPr>
      <w:rFonts w:ascii="Segoe UI" w:eastAsia="Calibri" w:hAnsi="Segoe UI" w:cs="Mangal"/>
      <w:sz w:val="18"/>
      <w:szCs w:val="16"/>
      <w:lang w:eastAsia="zh-CN" w:bidi="hi-IN"/>
    </w:rPr>
  </w:style>
  <w:style w:type="character" w:customStyle="1" w:styleId="Internetlink">
    <w:name w:val="Internet link"/>
    <w:basedOn w:val="Absatz-Standardschriftart"/>
    <w:rPr>
      <w:color w:val="0563C1"/>
      <w:u w:val="single"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NoList">
    <w:name w:val="No List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1a">
    <w:name w:val="WWNum1a"/>
    <w:basedOn w:val="Kei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sprachen-und-literatur/latein/texte-und-medien/sprueche-anekdoten/herkules-uebungstexte/herkules-in-der-unterwelt-uebersetzungstext-2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sprachen-und-literatur/latein/texte-und-medien/sprueche-anekdoten/herkules-uebungstexte/herkules-in-der-unterwelt-uebersetzungstext-2.html" TargetMode="External"/><Relationship Id="rId12" Type="http://schemas.openxmlformats.org/officeDocument/2006/relationships/hyperlink" Target="https://de.pons.com/&#252;bersetzung/latein-deuts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ule-bw.de/faecher-und-schularten/sprachen-und-literatur/latein/informationen-zum-fach/internetadressen/vokabeln-grammatik/lateinwoerterbuecher-im-internet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chule-bw.de/faecher-und-schularten/sprachen-und-literatur/latein/sprache/grundwortscha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ule-bw.de/faecher-und-schularten/sprachen-und-literatur/latein/texte-und-medien/sprueche-anekdoten/herkules-uebungstexte/herkules-in-der-unterwelt-uebersetzungstext-2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ein-bw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3105</Characters>
  <Application>Microsoft Office Word</Application>
  <DocSecurity>0</DocSecurity>
  <Lines>115</Lines>
  <Paragraphs>61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Herkules geht in die Unterwelt - der Erfolg</dc:title>
  <cp:lastModifiedBy>Tilman Bechthold-Hengelhaupt</cp:lastModifiedBy>
  <cp:revision>5</cp:revision>
  <dcterms:created xsi:type="dcterms:W3CDTF">2021-01-01T19:52:00Z</dcterms:created>
  <dcterms:modified xsi:type="dcterms:W3CDTF">2021-01-01T19:58:00Z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