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4828" w14:textId="7D3CB501" w:rsidR="00317F74" w:rsidRDefault="000A1DEC" w:rsidP="00784C6A">
      <w:pPr>
        <w:pStyle w:val="berschrift1"/>
        <w:spacing w:before="0" w:after="120" w:line="240" w:lineRule="auto"/>
        <w:rPr>
          <w:i/>
          <w:iCs/>
        </w:rPr>
      </w:pPr>
      <w:r>
        <w:t>Lernv</w:t>
      </w:r>
      <w:r w:rsidR="00317F74">
        <w:t xml:space="preserve">okabeln für den Moodle-Kurs </w:t>
      </w:r>
      <w:r w:rsidR="00317F74" w:rsidRPr="00317F74">
        <w:rPr>
          <w:i/>
          <w:iCs/>
        </w:rPr>
        <w:t>Helden der Antike gehen in die Unterwelt</w:t>
      </w:r>
    </w:p>
    <w:p w14:paraId="1CF8D43D" w14:textId="43FFCA17" w:rsidR="00784C6A" w:rsidRPr="00784C6A" w:rsidRDefault="00784C6A" w:rsidP="00784C6A">
      <w:r>
        <w:t>Am besten lernst du diese Vokabeln beim Übersetzen des Textes! (URL am Fuß der Seite). Du findest dort aber auch ein Quiz, mit dem du die Kenntnis der Vokabeln überprüfen kannst.</w:t>
      </w:r>
    </w:p>
    <w:p w14:paraId="1535DCC5" w14:textId="6C0219BA" w:rsidR="00027B32" w:rsidRDefault="00317F74" w:rsidP="000A1DEC">
      <w:pPr>
        <w:pStyle w:val="berschrift3"/>
      </w:pPr>
      <w:r>
        <w:t>Substantive</w:t>
      </w:r>
    </w:p>
    <w:p w14:paraId="6879A2A7" w14:textId="6DF962B5" w:rsidR="002E0E2F" w:rsidRPr="00B87768" w:rsidRDefault="002E0E2F" w:rsidP="000A1DEC">
      <w:pPr>
        <w:pStyle w:val="vokangabe2"/>
        <w:rPr>
          <w:lang w:val="de-DE"/>
        </w:rPr>
      </w:pPr>
      <w:r>
        <w:rPr>
          <w:lang w:val="de-DE"/>
        </w:rPr>
        <w:t>dominus, domin</w:t>
      </w:r>
      <w:r w:rsidR="001C5CE3" w:rsidRPr="001C5CE3">
        <w:rPr>
          <w:lang w:val="de-DE"/>
        </w:rPr>
        <w:t>ī</w:t>
      </w:r>
      <w:r>
        <w:rPr>
          <w:lang w:val="de-DE"/>
        </w:rPr>
        <w:t>, m.: der Herr</w:t>
      </w:r>
    </w:p>
    <w:p w14:paraId="1D61C5E6" w14:textId="0E11014D" w:rsidR="002E0E2F" w:rsidRDefault="002E0E2F" w:rsidP="00D15242">
      <w:pPr>
        <w:pStyle w:val="vokangabe2"/>
        <w:rPr>
          <w:lang w:val="de-DE"/>
        </w:rPr>
      </w:pPr>
      <w:r>
        <w:rPr>
          <w:lang w:val="de-DE"/>
        </w:rPr>
        <w:t>domus, dom</w:t>
      </w:r>
      <w:r w:rsidR="001C5CE3" w:rsidRPr="001C5CE3">
        <w:rPr>
          <w:lang w:val="de-DE"/>
        </w:rPr>
        <w:t>ū</w:t>
      </w:r>
      <w:r>
        <w:rPr>
          <w:lang w:val="de-DE"/>
        </w:rPr>
        <w:t>s, f.: das Haus</w:t>
      </w:r>
    </w:p>
    <w:p w14:paraId="4AF1CB3E" w14:textId="6867D4D0" w:rsidR="002E0E2F" w:rsidRDefault="001C5CE3" w:rsidP="000A1DEC">
      <w:pPr>
        <w:pStyle w:val="vokangabe2"/>
      </w:pPr>
      <w:r w:rsidRPr="001C5CE3">
        <w:rPr>
          <w:lang w:val="de-DE"/>
        </w:rPr>
        <w:t>ī</w:t>
      </w:r>
      <w:r w:rsidR="002E0E2F">
        <w:rPr>
          <w:lang w:val="de-DE"/>
        </w:rPr>
        <w:t>nfer</w:t>
      </w:r>
      <w:r w:rsidRPr="001C5CE3">
        <w:rPr>
          <w:lang w:val="de-DE"/>
        </w:rPr>
        <w:t>ī</w:t>
      </w:r>
      <w:r w:rsidR="002E0E2F">
        <w:rPr>
          <w:lang w:val="de-DE"/>
        </w:rPr>
        <w:t xml:space="preserve">, </w:t>
      </w:r>
      <w:r w:rsidRPr="001C5CE3">
        <w:rPr>
          <w:lang w:val="de-DE"/>
        </w:rPr>
        <w:t>ī</w:t>
      </w:r>
      <w:r w:rsidR="002E0E2F">
        <w:rPr>
          <w:lang w:val="de-DE"/>
        </w:rPr>
        <w:t>nfer</w:t>
      </w:r>
      <w:r w:rsidR="004B7A1C" w:rsidRPr="004B7A1C">
        <w:rPr>
          <w:lang w:val="de-DE"/>
        </w:rPr>
        <w:t>ō</w:t>
      </w:r>
      <w:r w:rsidR="002E0E2F">
        <w:rPr>
          <w:lang w:val="de-DE"/>
        </w:rPr>
        <w:t>rum, m.: die Götter der Unterwelt</w:t>
      </w:r>
    </w:p>
    <w:p w14:paraId="390ED653" w14:textId="4007B0EB" w:rsidR="002E0E2F" w:rsidRDefault="002E0E2F" w:rsidP="000A1DEC">
      <w:pPr>
        <w:pStyle w:val="vokangabe2"/>
      </w:pPr>
      <w:r>
        <w:t>m</w:t>
      </w:r>
      <w:r w:rsidR="001C5CE3" w:rsidRPr="001C5CE3">
        <w:t>ū</w:t>
      </w:r>
      <w:r>
        <w:t>nus, m</w:t>
      </w:r>
      <w:r w:rsidR="001C5CE3" w:rsidRPr="001C5CE3">
        <w:t>ū</w:t>
      </w:r>
      <w:r>
        <w:t>neris, n.: die Aufgabe</w:t>
      </w:r>
    </w:p>
    <w:p w14:paraId="18E0D123" w14:textId="183F23BB" w:rsidR="002E0E2F" w:rsidRDefault="002E0E2F" w:rsidP="000A1DEC">
      <w:pPr>
        <w:pStyle w:val="vokangabe2"/>
      </w:pPr>
      <w:r>
        <w:rPr>
          <w:lang w:val="de-DE"/>
        </w:rPr>
        <w:t>preces, precum, f.: die Bitten</w:t>
      </w:r>
    </w:p>
    <w:p w14:paraId="39B3B52B" w14:textId="693871D3" w:rsidR="00097203" w:rsidRDefault="00097203" w:rsidP="00097203">
      <w:pPr>
        <w:pStyle w:val="berschrift3"/>
      </w:pPr>
      <w:r>
        <w:t>Adjektive</w:t>
      </w:r>
    </w:p>
    <w:p w14:paraId="3573A111" w14:textId="1812D693" w:rsidR="00097203" w:rsidRPr="003039EF" w:rsidRDefault="00097203" w:rsidP="003039EF">
      <w:pPr>
        <w:pStyle w:val="vokangabe2"/>
        <w:rPr>
          <w:lang w:val="de-DE"/>
        </w:rPr>
      </w:pPr>
      <w:r w:rsidRPr="003039EF">
        <w:rPr>
          <w:lang w:val="de-DE"/>
        </w:rPr>
        <w:t>terribilis, terribile: schrecklich</w:t>
      </w:r>
    </w:p>
    <w:p w14:paraId="25BE7B47" w14:textId="69F4D3CE" w:rsidR="002E0E2F" w:rsidRDefault="002E0E2F" w:rsidP="002E0E2F">
      <w:pPr>
        <w:pStyle w:val="vokangabe2"/>
      </w:pPr>
      <w:r>
        <w:rPr>
          <w:lang w:val="de-DE"/>
        </w:rPr>
        <w:t>mort</w:t>
      </w:r>
      <w:r w:rsidR="00CB71E0" w:rsidRPr="00CB71E0">
        <w:rPr>
          <w:lang w:val="de-DE"/>
        </w:rPr>
        <w:t>ā</w:t>
      </w:r>
      <w:r>
        <w:rPr>
          <w:lang w:val="de-DE"/>
        </w:rPr>
        <w:t>l</w:t>
      </w:r>
      <w:r w:rsidR="00CB71E0" w:rsidRPr="00CB71E0">
        <w:rPr>
          <w:lang w:val="de-DE"/>
        </w:rPr>
        <w:t>ē</w:t>
      </w:r>
      <w:r>
        <w:rPr>
          <w:lang w:val="de-DE"/>
        </w:rPr>
        <w:t>s</w:t>
      </w:r>
      <w:r w:rsidR="003039EF">
        <w:rPr>
          <w:lang w:val="de-DE"/>
        </w:rPr>
        <w:t>, mort</w:t>
      </w:r>
      <w:r w:rsidR="00CB71E0" w:rsidRPr="00CB71E0">
        <w:rPr>
          <w:lang w:val="de-DE"/>
        </w:rPr>
        <w:t>ā</w:t>
      </w:r>
      <w:r w:rsidR="003039EF">
        <w:rPr>
          <w:lang w:val="de-DE"/>
        </w:rPr>
        <w:t>lium, m.</w:t>
      </w:r>
      <w:r>
        <w:rPr>
          <w:lang w:val="de-DE"/>
        </w:rPr>
        <w:t>: die Sterblichen</w:t>
      </w:r>
    </w:p>
    <w:p w14:paraId="0DFA6F60" w14:textId="77777777" w:rsidR="00097203" w:rsidRDefault="00097203" w:rsidP="00097203">
      <w:pPr>
        <w:pStyle w:val="vokangabe2"/>
        <w:rPr>
          <w:lang w:val="de-DE"/>
        </w:rPr>
      </w:pPr>
      <w:r>
        <w:rPr>
          <w:lang w:val="de-DE"/>
        </w:rPr>
        <w:t>mortuus, mortua, mortuum: tot</w:t>
      </w:r>
    </w:p>
    <w:p w14:paraId="5561A49C" w14:textId="54F4DDFC" w:rsidR="00097203" w:rsidRPr="00097203" w:rsidRDefault="00097203" w:rsidP="009552F1">
      <w:pPr>
        <w:pStyle w:val="vokangabe2"/>
        <w:ind w:left="568"/>
      </w:pPr>
      <w:r>
        <w:rPr>
          <w:lang w:val="de-DE"/>
        </w:rPr>
        <w:t>mortu</w:t>
      </w:r>
      <w:r w:rsidR="001C5CE3" w:rsidRPr="001C5CE3">
        <w:rPr>
          <w:lang w:val="de-DE"/>
        </w:rPr>
        <w:t>ī</w:t>
      </w:r>
      <w:r>
        <w:rPr>
          <w:lang w:val="de-DE"/>
        </w:rPr>
        <w:t>, mortu</w:t>
      </w:r>
      <w:r w:rsidR="00784C6A" w:rsidRPr="00784C6A">
        <w:rPr>
          <w:lang w:val="de-DE"/>
        </w:rPr>
        <w:t>ō</w:t>
      </w:r>
      <w:r>
        <w:rPr>
          <w:lang w:val="de-DE"/>
        </w:rPr>
        <w:t>rum, m.</w:t>
      </w:r>
      <w:r w:rsidR="002E0E2F">
        <w:rPr>
          <w:lang w:val="de-DE"/>
        </w:rPr>
        <w:t>:</w:t>
      </w:r>
      <w:r>
        <w:rPr>
          <w:lang w:val="de-DE"/>
        </w:rPr>
        <w:t xml:space="preserve"> die Toten</w:t>
      </w:r>
    </w:p>
    <w:p w14:paraId="64F8F4FC" w14:textId="07CA08A3" w:rsidR="000A1DEC" w:rsidRDefault="000A1DEC" w:rsidP="000A1DEC">
      <w:pPr>
        <w:pStyle w:val="berschrift3"/>
      </w:pPr>
      <w:r>
        <w:t>Verben</w:t>
      </w:r>
    </w:p>
    <w:p w14:paraId="7A2188A9" w14:textId="4E5DD95B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capere, capi</w:t>
      </w:r>
      <w:r w:rsidR="00CB71E0" w:rsidRPr="00CB71E0">
        <w:rPr>
          <w:lang w:val="de-DE"/>
        </w:rPr>
        <w:t>ō</w:t>
      </w:r>
      <w:r>
        <w:rPr>
          <w:lang w:val="de-DE"/>
        </w:rPr>
        <w:t>, c</w:t>
      </w:r>
      <w:r w:rsidR="00784C6A" w:rsidRPr="00784C6A">
        <w:rPr>
          <w:lang w:val="de-DE"/>
        </w:rPr>
        <w:t>ē</w:t>
      </w:r>
      <w:r>
        <w:rPr>
          <w:lang w:val="de-DE"/>
        </w:rPr>
        <w:t>p</w:t>
      </w:r>
      <w:r w:rsidR="001C5CE3" w:rsidRPr="001C5CE3">
        <w:rPr>
          <w:lang w:val="de-DE"/>
        </w:rPr>
        <w:t>ī</w:t>
      </w:r>
      <w:r>
        <w:rPr>
          <w:lang w:val="de-DE"/>
        </w:rPr>
        <w:t>, captum: fassen, nehmen, ergreifen</w:t>
      </w:r>
    </w:p>
    <w:p w14:paraId="2F6BF422" w14:textId="2C9A8888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c</w:t>
      </w:r>
      <w:r w:rsidR="00784C6A" w:rsidRPr="00784C6A">
        <w:rPr>
          <w:lang w:val="de-DE"/>
        </w:rPr>
        <w:t>ē</w:t>
      </w:r>
      <w:r>
        <w:rPr>
          <w:lang w:val="de-DE"/>
        </w:rPr>
        <w:t>dere, c</w:t>
      </w:r>
      <w:r w:rsidR="00784C6A" w:rsidRPr="00784C6A">
        <w:rPr>
          <w:lang w:val="de-DE"/>
        </w:rPr>
        <w:t>ē</w:t>
      </w:r>
      <w:r>
        <w:rPr>
          <w:lang w:val="de-DE"/>
        </w:rPr>
        <w:t>d</w:t>
      </w:r>
      <w:r w:rsidR="00CB71E0" w:rsidRPr="00CB71E0">
        <w:rPr>
          <w:lang w:val="de-DE"/>
        </w:rPr>
        <w:t>ō</w:t>
      </w:r>
      <w:r>
        <w:rPr>
          <w:lang w:val="de-DE"/>
        </w:rPr>
        <w:t>, cess</w:t>
      </w:r>
      <w:r w:rsidR="001C5CE3" w:rsidRPr="001C5CE3">
        <w:rPr>
          <w:lang w:val="de-DE"/>
        </w:rPr>
        <w:t>ī</w:t>
      </w:r>
      <w:r>
        <w:rPr>
          <w:lang w:val="de-DE"/>
        </w:rPr>
        <w:t>, cessum: nachgeben</w:t>
      </w:r>
    </w:p>
    <w:p w14:paraId="2A65A525" w14:textId="5835775B" w:rsidR="00D15242" w:rsidRDefault="00D15242" w:rsidP="000A1DEC">
      <w:pPr>
        <w:pStyle w:val="vokangabe2"/>
        <w:rPr>
          <w:lang w:val="de-DE"/>
        </w:rPr>
      </w:pPr>
      <w:r>
        <w:rPr>
          <w:lang w:val="de-DE"/>
        </w:rPr>
        <w:t>d</w:t>
      </w:r>
      <w:r w:rsidR="00CB71E0" w:rsidRPr="00CB71E0">
        <w:rPr>
          <w:lang w:val="de-DE"/>
        </w:rPr>
        <w:t>ē</w:t>
      </w:r>
      <w:r>
        <w:rPr>
          <w:lang w:val="de-DE"/>
        </w:rPr>
        <w:t>scendere, d</w:t>
      </w:r>
      <w:r w:rsidR="00CB71E0" w:rsidRPr="00CB71E0">
        <w:rPr>
          <w:lang w:val="de-DE"/>
        </w:rPr>
        <w:t>ē</w:t>
      </w:r>
      <w:r>
        <w:rPr>
          <w:lang w:val="de-DE"/>
        </w:rPr>
        <w:t>scend</w:t>
      </w:r>
      <w:r w:rsidR="00CB71E0" w:rsidRPr="00CB71E0">
        <w:rPr>
          <w:lang w:val="de-DE"/>
        </w:rPr>
        <w:t>ō</w:t>
      </w:r>
      <w:r>
        <w:rPr>
          <w:lang w:val="de-DE"/>
        </w:rPr>
        <w:t>, d</w:t>
      </w:r>
      <w:r w:rsidR="00CB71E0" w:rsidRPr="00CB71E0">
        <w:rPr>
          <w:lang w:val="de-DE"/>
        </w:rPr>
        <w:t>ē</w:t>
      </w:r>
      <w:r>
        <w:rPr>
          <w:lang w:val="de-DE"/>
        </w:rPr>
        <w:t>scend</w:t>
      </w:r>
      <w:r w:rsidR="001C5CE3" w:rsidRPr="001C5CE3">
        <w:rPr>
          <w:lang w:val="de-DE"/>
        </w:rPr>
        <w:t>ī</w:t>
      </w:r>
      <w:r>
        <w:rPr>
          <w:lang w:val="de-DE"/>
        </w:rPr>
        <w:t>: hinabsteigen</w:t>
      </w:r>
    </w:p>
    <w:p w14:paraId="49154F76" w14:textId="7705E2EC" w:rsidR="000A1DEC" w:rsidRDefault="000A1DEC" w:rsidP="000A1DEC">
      <w:pPr>
        <w:pStyle w:val="vokangabe2"/>
        <w:rPr>
          <w:lang w:val="de-DE"/>
        </w:rPr>
      </w:pPr>
      <w:r>
        <w:rPr>
          <w:lang w:val="de-DE"/>
        </w:rPr>
        <w:t>postul</w:t>
      </w:r>
      <w:r w:rsidR="00CB71E0" w:rsidRPr="00CB71E0">
        <w:rPr>
          <w:lang w:val="de-DE"/>
        </w:rPr>
        <w:t>ā</w:t>
      </w:r>
      <w:r>
        <w:rPr>
          <w:lang w:val="de-DE"/>
        </w:rPr>
        <w:t>re: fordern</w:t>
      </w:r>
    </w:p>
    <w:p w14:paraId="5CA6FB99" w14:textId="3ED00BA3" w:rsidR="00B87768" w:rsidRDefault="00B87768" w:rsidP="000A1DEC">
      <w:pPr>
        <w:pStyle w:val="vokangabe2"/>
        <w:rPr>
          <w:lang w:val="de-DE"/>
        </w:rPr>
      </w:pPr>
      <w:r>
        <w:rPr>
          <w:lang w:val="de-DE"/>
        </w:rPr>
        <w:t>reddere, redd</w:t>
      </w:r>
      <w:r w:rsidR="00CB71E0" w:rsidRPr="00CB71E0">
        <w:rPr>
          <w:lang w:val="de-DE"/>
        </w:rPr>
        <w:t>ō</w:t>
      </w:r>
      <w:r>
        <w:rPr>
          <w:lang w:val="de-DE"/>
        </w:rPr>
        <w:t>, reddid</w:t>
      </w:r>
      <w:r w:rsidR="001C5CE3" w:rsidRPr="001C5CE3">
        <w:rPr>
          <w:lang w:val="de-DE"/>
        </w:rPr>
        <w:t>ī</w:t>
      </w:r>
      <w:r>
        <w:rPr>
          <w:lang w:val="de-DE"/>
        </w:rPr>
        <w:t>, redditum: zurückgeben</w:t>
      </w:r>
    </w:p>
    <w:p w14:paraId="03DDBD95" w14:textId="0B790872" w:rsidR="00D43FA3" w:rsidRDefault="00D43FA3" w:rsidP="000A1DEC">
      <w:pPr>
        <w:pStyle w:val="vokangabe2"/>
        <w:rPr>
          <w:lang w:val="de-DE"/>
        </w:rPr>
      </w:pPr>
      <w:r>
        <w:rPr>
          <w:lang w:val="de-DE"/>
        </w:rPr>
        <w:t>serv</w:t>
      </w:r>
      <w:r w:rsidR="001C5CE3" w:rsidRPr="001C5CE3">
        <w:rPr>
          <w:lang w:val="de-DE"/>
        </w:rPr>
        <w:t>ā</w:t>
      </w:r>
      <w:r>
        <w:rPr>
          <w:lang w:val="de-DE"/>
        </w:rPr>
        <w:t>re: (allgemein) bewahren, retten; (bei Versprechungen) einhalten</w:t>
      </w:r>
    </w:p>
    <w:p w14:paraId="0E5B56F6" w14:textId="6D336EC7" w:rsidR="000535F3" w:rsidRDefault="000535F3" w:rsidP="000A1DEC">
      <w:pPr>
        <w:pStyle w:val="vokangabe2"/>
        <w:rPr>
          <w:lang w:val="de-DE"/>
        </w:rPr>
      </w:pPr>
      <w:r>
        <w:rPr>
          <w:lang w:val="de-DE"/>
        </w:rPr>
        <w:t>super</w:t>
      </w:r>
      <w:r w:rsidR="001C5CE3" w:rsidRPr="001C5CE3">
        <w:rPr>
          <w:lang w:val="de-DE"/>
        </w:rPr>
        <w:t>ā</w:t>
      </w:r>
      <w:r>
        <w:rPr>
          <w:lang w:val="de-DE"/>
        </w:rPr>
        <w:t>re: überwinden, besiegen</w:t>
      </w:r>
    </w:p>
    <w:p w14:paraId="07D2EE61" w14:textId="35B90437" w:rsidR="002E0E2F" w:rsidRDefault="002E0E2F" w:rsidP="000A1DEC">
      <w:pPr>
        <w:pStyle w:val="vokangabe2"/>
        <w:rPr>
          <w:lang w:val="de-DE"/>
        </w:rPr>
      </w:pPr>
      <w:r>
        <w:rPr>
          <w:lang w:val="de-DE"/>
        </w:rPr>
        <w:t>tr</w:t>
      </w:r>
      <w:r w:rsidR="00784C6A" w:rsidRPr="00784C6A">
        <w:rPr>
          <w:lang w:val="de-DE"/>
        </w:rPr>
        <w:t>ā</w:t>
      </w:r>
      <w:r>
        <w:rPr>
          <w:lang w:val="de-DE"/>
        </w:rPr>
        <w:t>dere, tr</w:t>
      </w:r>
      <w:r w:rsidR="00784C6A" w:rsidRPr="00784C6A">
        <w:rPr>
          <w:lang w:val="de-DE"/>
        </w:rPr>
        <w:t>ā</w:t>
      </w:r>
      <w:r>
        <w:rPr>
          <w:lang w:val="de-DE"/>
        </w:rPr>
        <w:t>d</w:t>
      </w:r>
      <w:r w:rsidR="00CB71E0" w:rsidRPr="00CB71E0">
        <w:rPr>
          <w:lang w:val="de-DE"/>
        </w:rPr>
        <w:t>ō</w:t>
      </w:r>
      <w:r>
        <w:rPr>
          <w:lang w:val="de-DE"/>
        </w:rPr>
        <w:t>, tr</w:t>
      </w:r>
      <w:r w:rsidR="00784C6A" w:rsidRPr="00784C6A">
        <w:rPr>
          <w:lang w:val="de-DE"/>
        </w:rPr>
        <w:t>ā</w:t>
      </w:r>
      <w:r>
        <w:rPr>
          <w:lang w:val="de-DE"/>
        </w:rPr>
        <w:t>did</w:t>
      </w:r>
      <w:r w:rsidR="001C5CE3" w:rsidRPr="001C5CE3">
        <w:rPr>
          <w:lang w:val="de-DE"/>
        </w:rPr>
        <w:t>ī</w:t>
      </w:r>
      <w:r>
        <w:rPr>
          <w:lang w:val="de-DE"/>
        </w:rPr>
        <w:t>, tr</w:t>
      </w:r>
      <w:r w:rsidR="00784C6A" w:rsidRPr="00784C6A">
        <w:rPr>
          <w:lang w:val="de-DE"/>
        </w:rPr>
        <w:t>ā</w:t>
      </w:r>
      <w:r>
        <w:rPr>
          <w:lang w:val="de-DE"/>
        </w:rPr>
        <w:t>ditum: übergeben, ausliefern, überliefern</w:t>
      </w:r>
    </w:p>
    <w:p w14:paraId="59EBE0A0" w14:textId="16D45FBF" w:rsidR="000A1DEC" w:rsidRDefault="00B87768" w:rsidP="00D15242">
      <w:pPr>
        <w:pStyle w:val="vokangabe2"/>
        <w:rPr>
          <w:lang w:val="de-DE"/>
        </w:rPr>
      </w:pPr>
      <w:r>
        <w:rPr>
          <w:lang w:val="de-DE"/>
        </w:rPr>
        <w:t>ven</w:t>
      </w:r>
      <w:r w:rsidR="001C5CE3" w:rsidRPr="001C5CE3">
        <w:rPr>
          <w:lang w:val="de-DE"/>
        </w:rPr>
        <w:t>ī</w:t>
      </w:r>
      <w:r>
        <w:rPr>
          <w:lang w:val="de-DE"/>
        </w:rPr>
        <w:t>re, veni</w:t>
      </w:r>
      <w:r w:rsidR="00CB71E0" w:rsidRPr="00CB71E0">
        <w:rPr>
          <w:lang w:val="de-DE"/>
        </w:rPr>
        <w:t>ō</w:t>
      </w:r>
      <w:r>
        <w:rPr>
          <w:lang w:val="de-DE"/>
        </w:rPr>
        <w:t>, v</w:t>
      </w:r>
      <w:r w:rsidR="00CB71E0" w:rsidRPr="00CB71E0">
        <w:rPr>
          <w:lang w:val="de-DE"/>
        </w:rPr>
        <w:t>ē</w:t>
      </w:r>
      <w:r>
        <w:rPr>
          <w:lang w:val="de-DE"/>
        </w:rPr>
        <w:t>n</w:t>
      </w:r>
      <w:r w:rsidR="001C5CE3" w:rsidRPr="001C5CE3">
        <w:rPr>
          <w:lang w:val="de-DE"/>
        </w:rPr>
        <w:t>ī</w:t>
      </w:r>
      <w:r>
        <w:rPr>
          <w:lang w:val="de-DE"/>
        </w:rPr>
        <w:t>, ventum: kommen</w:t>
      </w:r>
    </w:p>
    <w:p w14:paraId="705C0857" w14:textId="5A396E0B" w:rsidR="00D15242" w:rsidRDefault="002E0E2F" w:rsidP="00D15242">
      <w:pPr>
        <w:pStyle w:val="vokangabe2"/>
        <w:rPr>
          <w:lang w:val="de-DE"/>
        </w:rPr>
      </w:pPr>
      <w:r>
        <w:rPr>
          <w:lang w:val="de-DE"/>
        </w:rPr>
        <w:t>vulner</w:t>
      </w:r>
      <w:r w:rsidR="001C5CE3" w:rsidRPr="001C5CE3">
        <w:rPr>
          <w:lang w:val="de-DE"/>
        </w:rPr>
        <w:t>ā</w:t>
      </w:r>
      <w:r>
        <w:rPr>
          <w:lang w:val="de-DE"/>
        </w:rPr>
        <w:t>re: verletzen</w:t>
      </w:r>
    </w:p>
    <w:p w14:paraId="72F645CF" w14:textId="3C06D4F7" w:rsidR="00D15242" w:rsidRDefault="00D15242" w:rsidP="00D15242">
      <w:pPr>
        <w:pStyle w:val="berschrift3"/>
      </w:pPr>
      <w:r>
        <w:t>„Kleine Wörter“: Subjunktionen</w:t>
      </w:r>
    </w:p>
    <w:p w14:paraId="45016787" w14:textId="48CEDD23" w:rsidR="00D15242" w:rsidRPr="003039EF" w:rsidRDefault="00D15242" w:rsidP="003039EF">
      <w:pPr>
        <w:pStyle w:val="vokangabe2"/>
        <w:rPr>
          <w:lang w:val="de-DE"/>
        </w:rPr>
      </w:pPr>
      <w:r w:rsidRPr="003039EF">
        <w:rPr>
          <w:lang w:val="de-DE"/>
        </w:rPr>
        <w:t>postquam: nachdem</w:t>
      </w:r>
    </w:p>
    <w:p w14:paraId="5BECD4C7" w14:textId="0B6BE373" w:rsidR="00D15242" w:rsidRPr="003039EF" w:rsidRDefault="00D15242" w:rsidP="003039EF">
      <w:pPr>
        <w:pStyle w:val="vokangabe2"/>
        <w:rPr>
          <w:lang w:val="de-DE"/>
        </w:rPr>
      </w:pPr>
      <w:r w:rsidRPr="003039EF">
        <w:rPr>
          <w:lang w:val="de-DE"/>
        </w:rPr>
        <w:t>ut</w:t>
      </w:r>
    </w:p>
    <w:p w14:paraId="43E12742" w14:textId="3B4BF4BE" w:rsidR="00D15242" w:rsidRDefault="00D15242" w:rsidP="00D15242">
      <w:pPr>
        <w:pStyle w:val="Listenabsatz"/>
        <w:numPr>
          <w:ilvl w:val="0"/>
          <w:numId w:val="1"/>
        </w:numPr>
      </w:pPr>
      <w:r>
        <w:t>mit Konjunktiv: dass, damit, um … zu</w:t>
      </w:r>
    </w:p>
    <w:p w14:paraId="6EF8DAA7" w14:textId="1EEEEDFB" w:rsidR="00D15242" w:rsidRDefault="00D15242" w:rsidP="00D15242">
      <w:pPr>
        <w:pStyle w:val="Listenabsatz"/>
        <w:numPr>
          <w:ilvl w:val="0"/>
          <w:numId w:val="1"/>
        </w:numPr>
      </w:pPr>
      <w:r>
        <w:t>mit Indikativ: wie, sobald</w:t>
      </w:r>
    </w:p>
    <w:p w14:paraId="4F2C8346" w14:textId="3E717855" w:rsidR="003039EF" w:rsidRDefault="003039EF" w:rsidP="003039EF">
      <w:r>
        <w:t xml:space="preserve">Eingangsseite der Lerneinheit: </w:t>
      </w:r>
      <w:hyperlink r:id="rId7" w:history="1">
        <w:r w:rsidR="00CD210C" w:rsidRPr="00A85831">
          <w:rPr>
            <w:rStyle w:val="Hyperlink"/>
          </w:rPr>
          <w:t>www.schule-bw.de/faecher-und-schularten/sprachen-und-literatur/latein/texte-und-medien/sprueche-anekdoten/herkules-uebungstexte</w:t>
        </w:r>
      </w:hyperlink>
      <w:r w:rsidR="00CD210C">
        <w:t xml:space="preserve"> </w:t>
      </w:r>
    </w:p>
    <w:sectPr w:rsidR="0030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2C5FE" w14:textId="77777777" w:rsidR="00A5621F" w:rsidRDefault="00A5621F" w:rsidP="009552F1">
      <w:pPr>
        <w:spacing w:after="0" w:line="240" w:lineRule="auto"/>
      </w:pPr>
      <w:r>
        <w:separator/>
      </w:r>
    </w:p>
  </w:endnote>
  <w:endnote w:type="continuationSeparator" w:id="0">
    <w:p w14:paraId="6A0EC9E0" w14:textId="77777777" w:rsidR="00A5621F" w:rsidRDefault="00A5621F" w:rsidP="0095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2945A" w14:textId="77777777" w:rsidR="009552F1" w:rsidRDefault="009552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0F60B" w14:textId="77777777" w:rsidR="009552F1" w:rsidRDefault="009552F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E36EF" w14:textId="77777777" w:rsidR="009552F1" w:rsidRDefault="009552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93D90" w14:textId="77777777" w:rsidR="00A5621F" w:rsidRDefault="00A5621F" w:rsidP="009552F1">
      <w:pPr>
        <w:spacing w:after="0" w:line="240" w:lineRule="auto"/>
      </w:pPr>
      <w:r>
        <w:separator/>
      </w:r>
    </w:p>
  </w:footnote>
  <w:footnote w:type="continuationSeparator" w:id="0">
    <w:p w14:paraId="59D89759" w14:textId="77777777" w:rsidR="00A5621F" w:rsidRDefault="00A5621F" w:rsidP="0095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6C35C" w14:textId="77777777" w:rsidR="009552F1" w:rsidRDefault="009552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2"/>
      <w:gridCol w:w="2600"/>
      <w:gridCol w:w="3826"/>
    </w:tblGrid>
    <w:tr w:rsidR="009552F1" w:rsidRPr="002C2BC2" w14:paraId="2E37458C" w14:textId="77777777" w:rsidTr="00B655C1">
      <w:trPr>
        <w:trHeight w:val="794"/>
      </w:trPr>
      <w:tc>
        <w:tcPr>
          <w:tcW w:w="3212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69E5DCB" w14:textId="77777777" w:rsidR="009552F1" w:rsidRDefault="009552F1" w:rsidP="009552F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73C602" wp14:editId="097FEC68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3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4810EF6" w14:textId="77777777" w:rsidR="009552F1" w:rsidRPr="0071318D" w:rsidRDefault="009552F1" w:rsidP="009552F1">
          <w:pPr>
            <w:jc w:val="right"/>
          </w:pPr>
        </w:p>
      </w:tc>
      <w:tc>
        <w:tcPr>
          <w:tcW w:w="382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627C185" w14:textId="7EF1F5B4" w:rsidR="009552F1" w:rsidRPr="0071318D" w:rsidRDefault="003039EF" w:rsidP="009552F1">
          <w:pPr>
            <w:jc w:val="right"/>
            <w:rPr>
              <w:rFonts w:eastAsia="Times New Roman"/>
              <w:lang w:eastAsia="de-DE" w:bidi="ar-SA"/>
            </w:rPr>
          </w:pPr>
          <w:r>
            <w:rPr>
              <w:rFonts w:ascii="Arial Rounded MT Bold" w:hAnsi="Arial Rounded MT Bold"/>
            </w:rPr>
            <w:t>Lernvokabeln</w:t>
          </w:r>
          <w:r w:rsidR="009552F1" w:rsidRPr="0071318D">
            <w:rPr>
              <w:rFonts w:ascii="Arial Rounded MT Bold" w:hAnsi="Arial Rounded MT Bold"/>
            </w:rPr>
            <w:t>:</w:t>
          </w:r>
          <w:r w:rsidR="009552F1" w:rsidRPr="0071318D">
            <w:rPr>
              <w:rFonts w:ascii="Arial Rounded MT Bold" w:hAnsi="Arial Rounded MT Bold"/>
            </w:rPr>
            <w:br/>
            <w:t>Herkules in der Unterwelt</w:t>
          </w:r>
        </w:p>
        <w:p w14:paraId="2E37D01A" w14:textId="77777777" w:rsidR="009552F1" w:rsidRPr="0071318D" w:rsidRDefault="009552F1" w:rsidP="009552F1">
          <w:pPr>
            <w:jc w:val="right"/>
            <w:rPr>
              <w:rFonts w:ascii="Arial Rounded MT Bold" w:hAnsi="Arial Rounded MT Bold"/>
              <w:lang w:val="la-Latn"/>
            </w:rPr>
          </w:pPr>
        </w:p>
      </w:tc>
    </w:tr>
  </w:tbl>
  <w:p w14:paraId="0961FE4F" w14:textId="77777777" w:rsidR="009552F1" w:rsidRPr="009552F1" w:rsidRDefault="009552F1" w:rsidP="009552F1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DAFEC" w14:textId="77777777" w:rsidR="009552F1" w:rsidRDefault="009552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81BAD"/>
    <w:multiLevelType w:val="hybridMultilevel"/>
    <w:tmpl w:val="E94C8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74"/>
    <w:rsid w:val="00027B32"/>
    <w:rsid w:val="000535F3"/>
    <w:rsid w:val="00097203"/>
    <w:rsid w:val="000A1DEC"/>
    <w:rsid w:val="00186D41"/>
    <w:rsid w:val="001C5CE3"/>
    <w:rsid w:val="002E0E2F"/>
    <w:rsid w:val="003039EF"/>
    <w:rsid w:val="00317F74"/>
    <w:rsid w:val="00413F79"/>
    <w:rsid w:val="00417824"/>
    <w:rsid w:val="004B7A1C"/>
    <w:rsid w:val="00557AEE"/>
    <w:rsid w:val="00784C6A"/>
    <w:rsid w:val="00796293"/>
    <w:rsid w:val="009552F1"/>
    <w:rsid w:val="00A5621F"/>
    <w:rsid w:val="00AA546B"/>
    <w:rsid w:val="00B87768"/>
    <w:rsid w:val="00CB71E0"/>
    <w:rsid w:val="00CD210C"/>
    <w:rsid w:val="00D15242"/>
    <w:rsid w:val="00D43FA3"/>
    <w:rsid w:val="00E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5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46B"/>
    <w:pPr>
      <w:spacing w:line="312" w:lineRule="auto"/>
    </w:pPr>
    <w:rPr>
      <w:rFonts w:eastAsiaTheme="minorEastAsia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546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404040" w:themeColor="text1" w:themeTint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A546B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46B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4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Standard"/>
    <w:next w:val="Standard"/>
    <w:link w:val="ZitatZchn"/>
    <w:uiPriority w:val="29"/>
    <w:qFormat/>
    <w:rsid w:val="00AA546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46B"/>
    <w:rPr>
      <w:rFonts w:eastAsiaTheme="minorEastAsia"/>
      <w:i/>
      <w:iCs/>
      <w:color w:val="404040" w:themeColor="text1" w:themeTint="BF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A546B"/>
    <w:rPr>
      <w:rFonts w:asciiTheme="majorHAnsi" w:eastAsiaTheme="majorEastAsia" w:hAnsiTheme="majorHAnsi" w:cstheme="majorBidi"/>
      <w:color w:val="404040" w:themeColor="text1" w:themeTint="BF"/>
      <w:sz w:val="36"/>
      <w:szCs w:val="3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46B"/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46B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46B"/>
    <w:rPr>
      <w:rFonts w:asciiTheme="majorHAnsi" w:eastAsiaTheme="majorEastAsia" w:hAnsiTheme="majorHAnsi" w:cstheme="majorBidi"/>
      <w:i/>
      <w:iCs/>
      <w:color w:val="404040" w:themeColor="text1" w:themeTint="BF"/>
      <w:lang w:eastAsia="zh-CN" w:bidi="hi-IN"/>
    </w:rPr>
  </w:style>
  <w:style w:type="table" w:styleId="Tabellenraster">
    <w:name w:val="Table Grid"/>
    <w:aliases w:val="Tabellenraster-Übersetzung"/>
    <w:basedOn w:val="NormaleTabelle"/>
    <w:uiPriority w:val="39"/>
    <w:rsid w:val="00AA546B"/>
    <w:pPr>
      <w:spacing w:after="0" w:line="240" w:lineRule="auto"/>
    </w:pPr>
    <w:rPr>
      <w:rFonts w:eastAsiaTheme="minorEastAsia"/>
      <w:lang w:eastAsia="zh-CN" w:bidi="hi-IN"/>
    </w:rPr>
    <w:tblPr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</w:style>
  <w:style w:type="paragraph" w:customStyle="1" w:styleId="lbs-dokumente">
    <w:name w:val="lbs-dokumente"/>
    <w:rsid w:val="00AA546B"/>
    <w:pPr>
      <w:spacing w:after="198" w:line="360" w:lineRule="auto"/>
    </w:pPr>
    <w:rPr>
      <w:rFonts w:ascii="Arial" w:eastAsiaTheme="minorEastAsia" w:hAnsi="Arial"/>
      <w:lang w:eastAsia="zh-CN" w:bidi="hi-IN"/>
    </w:rPr>
  </w:style>
  <w:style w:type="paragraph" w:customStyle="1" w:styleId="vokangabe2">
    <w:name w:val="vokangabe2"/>
    <w:basedOn w:val="Standard"/>
    <w:link w:val="vokangabe2Zchn"/>
    <w:autoRedefine/>
    <w:qFormat/>
    <w:rsid w:val="00AA546B"/>
    <w:pPr>
      <w:spacing w:after="60" w:line="264" w:lineRule="auto"/>
      <w:ind w:left="284" w:hanging="284"/>
    </w:pPr>
    <w:rPr>
      <w:rFonts w:ascii="Arial" w:eastAsia="Calibri" w:hAnsi="Arial" w:cs="Calibri"/>
      <w:noProof/>
      <w:sz w:val="20"/>
      <w:szCs w:val="20"/>
      <w:lang w:val="la-Latn" w:eastAsia="de-DE" w:bidi="ar-SA"/>
    </w:rPr>
  </w:style>
  <w:style w:type="character" w:customStyle="1" w:styleId="vokangabe2Zchn">
    <w:name w:val="vokangabe2 Zchn"/>
    <w:basedOn w:val="Absatz-Standardschriftart"/>
    <w:link w:val="vokangabe2"/>
    <w:rsid w:val="00AA546B"/>
    <w:rPr>
      <w:rFonts w:ascii="Arial" w:eastAsia="Calibri" w:hAnsi="Arial" w:cs="Calibri"/>
      <w:noProof/>
      <w:sz w:val="20"/>
      <w:szCs w:val="20"/>
      <w:lang w:val="la-Latn" w:eastAsia="de-DE"/>
    </w:rPr>
  </w:style>
  <w:style w:type="paragraph" w:styleId="Listenabsatz">
    <w:name w:val="List Paragraph"/>
    <w:basedOn w:val="Standard"/>
    <w:uiPriority w:val="34"/>
    <w:qFormat/>
    <w:rsid w:val="00D15242"/>
    <w:pPr>
      <w:ind w:left="720"/>
      <w:contextualSpacing/>
    </w:pPr>
    <w:rPr>
      <w:rFonts w:cs="Mangal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552F1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9552F1"/>
    <w:rPr>
      <w:rFonts w:eastAsiaTheme="minorEastAsia" w:cs="Mangal"/>
      <w:szCs w:val="20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9552F1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552F1"/>
    <w:rPr>
      <w:rFonts w:eastAsiaTheme="minorEastAsia" w:cs="Mangal"/>
      <w:szCs w:val="20"/>
      <w:lang w:eastAsia="zh-CN" w:bidi="hi-IN"/>
    </w:rPr>
  </w:style>
  <w:style w:type="paragraph" w:customStyle="1" w:styleId="TableContents">
    <w:name w:val="Table Contents"/>
    <w:basedOn w:val="Standard"/>
    <w:rsid w:val="009552F1"/>
    <w:pPr>
      <w:suppressLineNumbers/>
    </w:pPr>
    <w:rPr>
      <w:sz w:val="21"/>
      <w:szCs w:val="21"/>
    </w:rPr>
  </w:style>
  <w:style w:type="paragraph" w:customStyle="1" w:styleId="western">
    <w:name w:val="western"/>
    <w:basedOn w:val="Standard"/>
    <w:rsid w:val="009552F1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 w:bidi="ar-SA"/>
    </w:rPr>
  </w:style>
  <w:style w:type="character" w:styleId="Hyperlink">
    <w:name w:val="Hyperlink"/>
    <w:basedOn w:val="Absatz-Standardschriftart"/>
    <w:uiPriority w:val="99"/>
    <w:unhideWhenUsed/>
    <w:rsid w:val="00CD21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2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hule-bw.de/faecher-und-schularten/sprachen-und-literatur/latein/texte-und-medien/sprueche-anekdoten/herkules-uebungstext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1270</Characters>
  <Application>Microsoft Office Word</Application>
  <DocSecurity>0</DocSecurity>
  <Lines>47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2020-11-24T13:16:00Z</dcterms:created>
  <dcterms:modified xsi:type="dcterms:W3CDTF">2021-01-01T20:09:00Z</dcterms:modified>
</cp:coreProperties>
</file>