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B44" w:rsidRPr="00BD5B44" w:rsidRDefault="00BD5B44" w:rsidP="00BD5B44">
      <w:pPr>
        <w:outlineLvl w:val="0"/>
        <w:rPr>
          <w:rFonts w:ascii="Cambria" w:eastAsia="Cambria" w:hAnsi="Cambria" w:cs="Times New Roman"/>
          <w:b/>
          <w:sz w:val="32"/>
          <w:lang w:val="es-ES_tradnl"/>
        </w:rPr>
      </w:pPr>
    </w:p>
    <w:p w:rsidR="00BD5B44" w:rsidRPr="00BD5B44" w:rsidRDefault="00BD5B44" w:rsidP="00BD5B44">
      <w:pPr>
        <w:outlineLvl w:val="0"/>
        <w:rPr>
          <w:rFonts w:ascii="Cambria" w:eastAsia="Cambria" w:hAnsi="Cambria" w:cs="Times New Roman"/>
          <w:b/>
          <w:sz w:val="32"/>
          <w:lang w:val="es-ES_tradnl"/>
        </w:rPr>
      </w:pPr>
      <w:r w:rsidRPr="00BD5B44">
        <w:rPr>
          <w:rFonts w:ascii="Cambria" w:eastAsia="Cambria" w:hAnsi="Cambria" w:cs="Times New Roman"/>
          <w:b/>
          <w:sz w:val="32"/>
          <w:lang w:val="es-ES_tradnl"/>
        </w:rPr>
        <w:t>Federico García Lorca, Romance de la Guardia Civil Española</w:t>
      </w:r>
    </w:p>
    <w:p w:rsidR="00BD5B44" w:rsidRPr="00BD5B44" w:rsidRDefault="00BD5B44" w:rsidP="00BD5B44">
      <w:pPr>
        <w:rPr>
          <w:rFonts w:ascii="Cambria" w:eastAsia="Cambria" w:hAnsi="Cambria" w:cs="Times New Roman"/>
          <w:sz w:val="28"/>
          <w:lang w:val="es-ES_tradnl"/>
        </w:rPr>
      </w:pPr>
    </w:p>
    <w:p w:rsidR="00BD5B44" w:rsidRPr="00BD5B44" w:rsidRDefault="00BD5B44" w:rsidP="00BD5B44">
      <w:pPr>
        <w:outlineLvl w:val="0"/>
        <w:rPr>
          <w:rFonts w:ascii="Cambria" w:eastAsia="Cambria" w:hAnsi="Cambria" w:cs="Times New Roman"/>
          <w:b/>
          <w:sz w:val="28"/>
          <w:lang w:val="es-ES_tradnl"/>
        </w:rPr>
      </w:pPr>
      <w:r w:rsidRPr="00BD5B44">
        <w:rPr>
          <w:rFonts w:ascii="Cambria" w:eastAsia="Cambria" w:hAnsi="Cambria" w:cs="Times New Roman"/>
          <w:b/>
          <w:sz w:val="28"/>
          <w:lang w:val="es-ES_tradnl"/>
        </w:rPr>
        <w:t>Comentario: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 xml:space="preserve">romance: 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>Originalmente el romance era una poesía en la lengua vulgar, el romance, y no en latín.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 xml:space="preserve">Es una composición lírica con rasgos épicos  que se originó en España. Consiste en una serie indefinida de versos octosílabos  con rima asonante. 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 xml:space="preserve">El romance surgió a finales del siglo XIV y fue utilizado por muchos poetas de la baja Edad Media, del Renacimiento (Quevedo, Góngora) y del Barroco (Lope de Vega),  en el siglo XX  por Antonio Machado, Federico García Lorca, Juan Ramón Jiménez. 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 xml:space="preserve">Al comienzo (en los siglos XIV y XV) los juglares transmitían estos romances anónimos oralmente.  Pero  gradualmente los romances fueron coleccionados en forma escrita. 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>En la literatura alemana  los poetas del romanticismo  activaron esta forma española: Schlegel, Tieck, Eichendorff  y especialmente Heine, „Romanzero“ (1822).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>El fondo del romance de García Lorca: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 xml:space="preserve">En el „Romancero gitano“ los gitanos de Andalucía figuran como un grupo que  - para García Lorca – representa las raíces y la esencia de Andalucía, especialmente por su música.  Se debe saber que él no solo era poeta, sino también crítico literario y después actor en el grupo teatral „La Barraca“,  un grupo de </w:t>
      </w:r>
      <w:r w:rsidRPr="00BD5B44">
        <w:rPr>
          <w:rFonts w:ascii="Cambria" w:eastAsia="Cambria" w:hAnsi="Cambria" w:cs="Times New Roman"/>
        </w:rPr>
        <w:fldChar w:fldCharType="begin"/>
      </w:r>
      <w:r w:rsidRPr="00BD5B44">
        <w:rPr>
          <w:rFonts w:ascii="Cambria" w:eastAsia="Cambria" w:hAnsi="Cambria" w:cs="Times New Roman"/>
          <w:lang w:val="es-ES"/>
        </w:rPr>
        <w:instrText xml:space="preserve"> HYPERLINK "https://es.wikipedia.org/wiki/Teatro_universitario" </w:instrText>
      </w:r>
      <w:r w:rsidRPr="00BD5B44">
        <w:rPr>
          <w:rFonts w:ascii="Cambria" w:eastAsia="Cambria" w:hAnsi="Cambria" w:cs="Times New Roman"/>
        </w:rPr>
        <w:fldChar w:fldCharType="separate"/>
      </w:r>
      <w:r w:rsidRPr="00BD5B44">
        <w:rPr>
          <w:rFonts w:ascii="Cambria" w:eastAsia="Cambria" w:hAnsi="Cambria" w:cs="Times New Roman"/>
          <w:color w:val="0000FF"/>
          <w:u w:val="single"/>
          <w:lang w:val="es-ES_tradnl"/>
        </w:rPr>
        <w:t>teatro universitario</w:t>
      </w:r>
      <w:r w:rsidRPr="00BD5B44">
        <w:rPr>
          <w:rFonts w:ascii="Cambria" w:eastAsia="Cambria" w:hAnsi="Cambria" w:cs="Times New Roman"/>
        </w:rPr>
        <w:fldChar w:fldCharType="end"/>
      </w:r>
      <w:r w:rsidRPr="00BD5B44">
        <w:rPr>
          <w:rFonts w:ascii="Cambria" w:eastAsia="Cambria" w:hAnsi="Cambria" w:cs="Times New Roman"/>
          <w:lang w:val="es-ES_tradnl"/>
        </w:rPr>
        <w:t xml:space="preserve"> que representó obras teatrales del Siglo de Oro (</w:t>
      </w:r>
      <w:r w:rsidRPr="00BD5B44">
        <w:rPr>
          <w:rFonts w:ascii="Cambria" w:eastAsia="Cambria" w:hAnsi="Cambria" w:cs="Times New Roman"/>
        </w:rPr>
        <w:fldChar w:fldCharType="begin"/>
      </w:r>
      <w:r w:rsidRPr="00BD5B44">
        <w:rPr>
          <w:rFonts w:ascii="Cambria" w:eastAsia="Cambria" w:hAnsi="Cambria" w:cs="Times New Roman"/>
          <w:lang w:val="es-ES"/>
        </w:rPr>
        <w:instrText xml:space="preserve"> HYPERLINK "https://es.wikipedia.org/wiki/Calder%C3%B3n_de_la_Barca" </w:instrText>
      </w:r>
      <w:r w:rsidRPr="00BD5B44">
        <w:rPr>
          <w:rFonts w:ascii="Cambria" w:eastAsia="Cambria" w:hAnsi="Cambria" w:cs="Times New Roman"/>
        </w:rPr>
        <w:fldChar w:fldCharType="separate"/>
      </w:r>
      <w:r w:rsidRPr="00BD5B44">
        <w:rPr>
          <w:rFonts w:ascii="Cambria" w:eastAsia="Cambria" w:hAnsi="Cambria" w:cs="Times New Roman"/>
          <w:color w:val="0000FF"/>
          <w:u w:val="single"/>
          <w:lang w:val="es-ES_tradnl"/>
        </w:rPr>
        <w:t>Calderón de la Barca</w:t>
      </w:r>
      <w:r w:rsidRPr="00BD5B44">
        <w:rPr>
          <w:rFonts w:ascii="Cambria" w:eastAsia="Cambria" w:hAnsi="Cambria" w:cs="Times New Roman"/>
        </w:rPr>
        <w:fldChar w:fldCharType="end"/>
      </w:r>
      <w:r w:rsidRPr="00BD5B44">
        <w:rPr>
          <w:rFonts w:ascii="Cambria" w:eastAsia="Cambria" w:hAnsi="Cambria" w:cs="Times New Roman"/>
          <w:lang w:val="es-ES_tradnl"/>
        </w:rPr>
        <w:t xml:space="preserve">, </w:t>
      </w:r>
      <w:hyperlink r:id="rId5" w:history="1">
        <w:r w:rsidRPr="00BD5B44">
          <w:rPr>
            <w:rFonts w:ascii="Cambria" w:eastAsia="Cambria" w:hAnsi="Cambria" w:cs="Times New Roman"/>
            <w:color w:val="0000FF"/>
            <w:u w:val="single"/>
            <w:lang w:val="es-ES_tradnl"/>
          </w:rPr>
          <w:t>Lope de Vega</w:t>
        </w:r>
      </w:hyperlink>
      <w:r w:rsidRPr="00BD5B44">
        <w:rPr>
          <w:rFonts w:ascii="Cambria" w:eastAsia="Cambria" w:hAnsi="Cambria" w:cs="Times New Roman"/>
          <w:lang w:val="es-ES_tradnl"/>
        </w:rPr>
        <w:t xml:space="preserve">, </w:t>
      </w:r>
      <w:hyperlink r:id="rId6" w:history="1">
        <w:r w:rsidRPr="00BD5B44">
          <w:rPr>
            <w:rFonts w:ascii="Cambria" w:eastAsia="Cambria" w:hAnsi="Cambria" w:cs="Times New Roman"/>
            <w:color w:val="0000FF"/>
            <w:u w:val="single"/>
            <w:lang w:val="es-ES_tradnl"/>
          </w:rPr>
          <w:t>Miguel de Cervantes</w:t>
        </w:r>
      </w:hyperlink>
      <w:r w:rsidRPr="00BD5B44">
        <w:rPr>
          <w:rFonts w:ascii="Cambria" w:eastAsia="Cambria" w:hAnsi="Cambria" w:cs="Times New Roman"/>
          <w:lang w:val="es-ES_tradnl"/>
        </w:rPr>
        <w:t xml:space="preserve">) por ciudades y pueblos de España. García Lorca conocía a casi todos los artistas importantes de su tiempo,  un compositor como Manuel de Falla, un pintor como Salvador Dalí, un director de cine como Buñuel.  Conocía a los gitanos en Andalucía, pero no mucho acerca de su estado social concreto en la  realidad. Por eso después se disculpa por su “gitanismo”. 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 xml:space="preserve">En España se utiliza la palabra „gitano“ sin problemas hasta hoy – en la Alemania  de hoy hay reservas ante al término  „gitano“/“Zigeuner“. 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>Estas son advertencias preliminares  antes del estudio del „Romance de la Guardia Civil Española“:</w:t>
      </w:r>
    </w:p>
    <w:p w:rsidR="00BD5B44" w:rsidRDefault="00BD5B44">
      <w:pPr>
        <w:rPr>
          <w:rFonts w:ascii="Cambria" w:eastAsia="Cambria" w:hAnsi="Cambria" w:cs="Times New Roman"/>
          <w:lang w:val="es-ES"/>
        </w:rPr>
      </w:pPr>
      <w:r>
        <w:rPr>
          <w:rFonts w:ascii="Cambria" w:eastAsia="Cambria" w:hAnsi="Cambria" w:cs="Times New Roman"/>
          <w:lang w:val="es-ES"/>
        </w:rPr>
        <w:br w:type="page"/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"/>
        </w:rPr>
      </w:pPr>
    </w:p>
    <w:tbl>
      <w:tblPr>
        <w:tblStyle w:val="Tabellenraster1"/>
        <w:tblW w:w="0" w:type="auto"/>
        <w:tblInd w:w="0" w:type="dxa"/>
        <w:tblLook w:val="00BF" w:firstRow="1" w:lastRow="0" w:firstColumn="1" w:lastColumn="0" w:noHBand="0" w:noVBand="0"/>
      </w:tblPr>
      <w:tblGrid>
        <w:gridCol w:w="4603"/>
        <w:gridCol w:w="4603"/>
      </w:tblGrid>
      <w:tr w:rsidR="00BD5B44" w:rsidRPr="00BD5B44" w:rsidTr="00BD5B44">
        <w:tc>
          <w:tcPr>
            <w:tcW w:w="92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B44" w:rsidRPr="00BD5B44" w:rsidRDefault="00BD5B44" w:rsidP="00BD5B44">
            <w:pPr>
              <w:spacing w:beforeLines="1" w:before="2" w:afterLines="1" w:after="2"/>
              <w:outlineLvl w:val="0"/>
              <w:rPr>
                <w:rFonts w:ascii="Times" w:hAnsi="Times"/>
                <w:b/>
                <w:kern w:val="36"/>
                <w:sz w:val="48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b/>
                <w:kern w:val="36"/>
                <w:sz w:val="48"/>
                <w:szCs w:val="20"/>
                <w:lang w:val="es-ES_tradnl" w:eastAsia="de-DE"/>
              </w:rPr>
              <w:t>Romance de la Guardia Civil Española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</w:tc>
      </w:tr>
      <w:tr w:rsidR="00BD5B44" w:rsidRPr="00BD5B44" w:rsidTr="00BD5B44"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B44" w:rsidRPr="00BD5B44" w:rsidRDefault="00BD5B44" w:rsidP="00BD5B44">
            <w:pPr>
              <w:rPr>
                <w:rFonts w:ascii="Times" w:hAnsi="Times"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Los caballos negros son.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Las herraduras son negras.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 xml:space="preserve"> 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Sobre las capas relucen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manchas de tinta y de cera.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 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5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>Tienen, por eso no lloran,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de plomo las calaveras.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 xml:space="preserve">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Con el alma de charol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vienen por la carretera.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Jorobados y nocturnos,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      10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>por donde animan ordenan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silencios de goma oscura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y miedos de fina arena.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Pasan, si quieren pasar,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y ocultan en la cabeza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15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>una vaga astronomía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de pistolas inconcretas.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¡Oh ciudad de los gitanos!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En las esquinas, banderas.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luna y la calabaza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20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>con las guindas en conserva.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¡Oh ciudad de los gitanos!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¿Quién te vio y no te recuerda?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Ciudad de dolor y almizcle,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con las torres de canela.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25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Cuando llegaba la noche,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noche que noche nochera,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los gitanos en sus fraguas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forjaban soles y flechas.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Un caballo malherido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30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llamaba a todas las puertas.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Gallos de vidrio cantaban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por Jerez de la Frontera.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El viento vuelve desnudo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esquina de la sorpresa,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35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en la noche platinoche,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noche que noche nochera.</w:t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virgen y San José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perdieron sus castañuelas,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y buscan a los gitanos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40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para ver si las encuentran.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virgen viene vestida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con un traje de alcaldesa,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de papel de chocolate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con los collares de almendras.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lastRenderedPageBreak/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45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San José mueve los brazos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bajo una capa de seda.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Detrás va Pedro Domecq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con tres sultanes de Persia.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media luna soñaba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50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un éxtasis de cigüeña.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Estandartes y faroles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invaden las azoteas.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Por los espejos sollozan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bailarinas sin caderas.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 xml:space="preserve">            </w:t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55      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>Agua y sombra, sombra y agua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por Jerez de la Frontera.</w:t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¡Oh, ciudad de los gitanos!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En las esquinas, banderas.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Apaga tus verdes luces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60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que viene la benemérita.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¡Oh ciudad de los gitanos!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¿Quién te vio y no te recuerda?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Dejadla lejos del mar,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sin peines para sus crenchas.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65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>Avanzan de dos en fondo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a la ciudad de la fiesta.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Un rumor de siemprevivas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invade las cartucheras.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Avanzan de dos en fondo.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     70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Doble nocturno de tela.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El cielo se les antoja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una vitrina de espuelas.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ciudad, libre de miedo,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multiplicaba sus puertas.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75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Cuarenta guardias civiles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entran a saco por ellas.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Los relojes se pararon,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y el coñac de las botellas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se disfrazó de noviembre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80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para no infundir sospechas.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Un vuelo de gritos largos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se levantó en las veletas.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Los sables cortan las brisas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que los cascos atropellan.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 xml:space="preserve">                                                                    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85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      Por las calles de penumbra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huyen las gitanas viejas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con los caballos dormidos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y las orzas de monedas.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Por las calles empinadas</w:t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90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suben las capas siniestras,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dejando detrás fugaces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remolinos de tijeras.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En el portal de Belén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lastRenderedPageBreak/>
              <w:tab/>
              <w:t>los gitanos se congregan.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    95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 San José, lleno de heridas,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amortaja a una doncella.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Tercos fusiles agudos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>por toda la noche suenan.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Virgen cura a los niños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100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con salivilla de estrella.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Pero la Guardia Civil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avanza sembrando hogueras,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donde joven y desnuda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imaginación se quema.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105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Rosa la de los Camborios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gime sentada en su puerta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con sus dos pechos cortados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puestos en una bandeja.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Y otras muchachas corrían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   110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perseguidas por sus trenzas,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en, un aire donde estallan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rosas de pólvora negra.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Cuando todos los tejados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eran surcos en la tierra.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115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el alba meció sus hombros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en largo perfil de piedra.</w:t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¡Oh, ciudad de los gitanos!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La Guardia Civil se aleja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por un túnel de silencio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  <w:t xml:space="preserve">     </w:t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120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mientras las llamas te cercan.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¡Oh, ciudad de los gitanos!</w:t>
            </w:r>
          </w:p>
          <w:p w:rsidR="00BD5B44" w:rsidRPr="00BD5B44" w:rsidRDefault="00BD5B44" w:rsidP="00BD5B44">
            <w:pPr>
              <w:spacing w:beforeLines="1" w:before="2" w:afterLines="1" w:after="2"/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¿Quien te vio y no te recuerda?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ab/>
              <w:t>Que te busquen en mi frente.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  125 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t xml:space="preserve"> Juego de luna y arena.</w:t>
            </w:r>
          </w:p>
        </w:tc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herradura: Hufeisen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  <w:t xml:space="preserve">mancha: Flecken   cera: Wachs 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calavera: Hirnschale, Totenkopf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charol: Lack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jorobado: mit einem Höcker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animar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hier belebend sein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goma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Gummi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inconcreto: unbestimmt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gitano: Zigeuner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calabaza: Kürbis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guinda: Sauerkirsche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</w:p>
          <w:p w:rsidR="00BD5B44" w:rsidRPr="00BD5B44" w:rsidRDefault="00BD5B44" w:rsidP="00BD5B44">
            <w:pPr>
              <w:rPr>
                <w:rFonts w:ascii="Times" w:hAnsi="Times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almizcle: Moschus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canela: Zimt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nocherar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</w:t>
            </w:r>
            <w:r w:rsidRPr="00BD5B44">
              <w:rPr>
                <w:rFonts w:ascii="Times" w:hAnsi="Times"/>
                <w:szCs w:val="20"/>
                <w:lang w:eastAsia="de-DE"/>
              </w:rPr>
              <w:t xml:space="preserve"> </w:t>
            </w: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zur Nacht machen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fragua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Schmiede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forjar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schmieden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gallo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: Hahn  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vidrio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Glas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platinoche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nachtsilbern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castañuelas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Kastagnetten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alcadesa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Bürgermeisterin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almendra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Mandel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Pedro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Domecq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frz. Begründer des Sherry-Handelshauses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sz w:val="20"/>
                <w:szCs w:val="20"/>
                <w:lang w:eastAsia="de-DE"/>
              </w:rPr>
              <w:t>cigüeña</w:t>
            </w:r>
            <w:proofErr w:type="spellEnd"/>
            <w:r w:rsidRPr="00BD5B44">
              <w:rPr>
                <w:rFonts w:ascii="Times" w:hAnsi="Times"/>
                <w:sz w:val="20"/>
                <w:szCs w:val="20"/>
                <w:lang w:eastAsia="de-DE"/>
              </w:rPr>
              <w:t>: Storch</w:t>
            </w:r>
          </w:p>
          <w:p w:rsidR="00BD5B44" w:rsidRPr="00BD5B44" w:rsidRDefault="00BD5B44" w:rsidP="00BD5B44">
            <w:pPr>
              <w:rPr>
                <w:rFonts w:ascii="Times" w:hAnsi="Times"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estandarte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: Banner –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farol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Laterne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azotea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Dachgarten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sollozar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schluchzen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bailarina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: Tänzerin,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cadera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Hüfte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benemérita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: verdienstvoll – Name für die Guardia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Civil</w:t>
            </w:r>
            <w:proofErr w:type="spellEnd"/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crencha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Scheitel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de dos en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fondo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zwei nebeneinander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siempreviva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Hauswurz (Pflanze)</w:t>
            </w:r>
            <w:r w:rsidRPr="00BD5B44">
              <w:rPr>
                <w:rFonts w:ascii="Times" w:hAnsi="Times"/>
                <w:szCs w:val="20"/>
                <w:lang w:eastAsia="de-DE"/>
              </w:rPr>
              <w:br/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cartuchera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Patronentasche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nocturno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: Nachtmusik   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tela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Stoff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se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me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antoja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es kommt mir vor wie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espuelas: Sporen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a saco: plündernd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infundir: einflößen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veleta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Wetterfahne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atropellar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tätlich anfassen, bedrängen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orza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Einmachgläser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empinado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steil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remolino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: Wirbel, 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tijera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Schere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amortajar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in ein Leichentuch hüllen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terco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 xml:space="preserve">: stur   </w:t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agudo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scharf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saliva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Spucke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hoguera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Scheiterhaufen</w:t>
            </w:r>
            <w:r w:rsidRPr="00BD5B44">
              <w:rPr>
                <w:rFonts w:ascii="Times" w:hAnsi="Times"/>
                <w:szCs w:val="20"/>
                <w:lang w:eastAsia="de-DE"/>
              </w:rPr>
              <w:br/>
            </w:r>
            <w:r w:rsidRPr="00BD5B44">
              <w:rPr>
                <w:rFonts w:ascii="Times" w:hAnsi="Times"/>
                <w:szCs w:val="20"/>
                <w:lang w:eastAsia="de-DE"/>
              </w:rPr>
              <w:br/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br/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Camborio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ungeklärter Beiname, nicht im RAE*</w:t>
            </w: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br/>
            </w:r>
            <w:r w:rsidRPr="00BD5B44">
              <w:rPr>
                <w:rFonts w:ascii="Times" w:hAnsi="Times"/>
                <w:szCs w:val="20"/>
                <w:lang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br/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bandeja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Tablett</w:t>
            </w: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br/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trenza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Zopf</w:t>
            </w:r>
            <w:r w:rsidRPr="00BD5B44">
              <w:rPr>
                <w:rFonts w:ascii="Times" w:hAnsi="Times"/>
                <w:szCs w:val="20"/>
                <w:lang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br/>
            </w:r>
            <w:r w:rsidRPr="00BD5B44">
              <w:rPr>
                <w:rFonts w:ascii="Times" w:hAnsi="Times"/>
                <w:sz w:val="20"/>
                <w:szCs w:val="20"/>
                <w:lang w:eastAsia="de-DE"/>
              </w:rPr>
              <w:br/>
            </w:r>
            <w:proofErr w:type="spellStart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surco</w:t>
            </w:r>
            <w:proofErr w:type="spellEnd"/>
            <w:r w:rsidRPr="00BD5B44">
              <w:rPr>
                <w:rFonts w:ascii="Times" w:hAnsi="Times"/>
                <w:i/>
                <w:sz w:val="20"/>
                <w:szCs w:val="20"/>
                <w:lang w:eastAsia="de-DE"/>
              </w:rPr>
              <w:t>: Furche</w:t>
            </w:r>
          </w:p>
          <w:p w:rsidR="00BD5B44" w:rsidRPr="00BD5B44" w:rsidRDefault="00BD5B44" w:rsidP="00BD5B44">
            <w:pPr>
              <w:rPr>
                <w:rFonts w:ascii="Times" w:hAnsi="Times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mecer: wiegen</w:t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</w:p>
          <w:p w:rsidR="00BD5B44" w:rsidRPr="00BD5B44" w:rsidRDefault="00BD5B44" w:rsidP="00BD5B44">
            <w:pPr>
              <w:rPr>
                <w:rFonts w:ascii="Times" w:hAnsi="Times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rFonts w:ascii="Times" w:hAnsi="Times"/>
                <w:szCs w:val="20"/>
                <w:lang w:val="es-ES_tradnl" w:eastAsia="de-DE"/>
              </w:rPr>
              <w:br/>
            </w:r>
            <w:r w:rsidRPr="00BD5B44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cercar: einschließen</w:t>
            </w: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D5B44" w:rsidRPr="00BD5B44" w:rsidRDefault="00BD5B44" w:rsidP="00BD5B44">
            <w:pPr>
              <w:rPr>
                <w:sz w:val="18"/>
                <w:lang w:val="es-ES_tradnl"/>
              </w:rPr>
            </w:pPr>
          </w:p>
          <w:p w:rsidR="00BD5B44" w:rsidRPr="00BD5B44" w:rsidRDefault="00BD5B44" w:rsidP="00BD5B44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BD5B44">
              <w:rPr>
                <w:lang w:val="es-ES_tradnl"/>
              </w:rPr>
              <w:t>*</w:t>
            </w:r>
            <w:r w:rsidRPr="00BD5B44">
              <w:rPr>
                <w:sz w:val="18"/>
                <w:lang w:val="es-ES_tradnl"/>
              </w:rPr>
              <w:t>Hay otras poesías en “El Romancero Gitano” con “Camborio”: “Prendimiento de Antoñito el Camborio en el camino de Sevilla” y “Muerte de Antoñito el Camborio”</w:t>
            </w:r>
          </w:p>
        </w:tc>
      </w:tr>
    </w:tbl>
    <w:p w:rsidR="00BD5B44" w:rsidRPr="00BD5B44" w:rsidRDefault="00BD5B44" w:rsidP="00BD5B44">
      <w:pPr>
        <w:rPr>
          <w:rFonts w:ascii="Cambria" w:eastAsia="Cambria" w:hAnsi="Cambria" w:cs="Times New Roman"/>
          <w:lang w:val="es-ES"/>
        </w:rPr>
      </w:pPr>
    </w:p>
    <w:p w:rsidR="00BD5B44" w:rsidRPr="00BD5B44" w:rsidRDefault="00BD5B44" w:rsidP="00BD5B44">
      <w:pPr>
        <w:rPr>
          <w:rFonts w:ascii="Cambria" w:eastAsia="Cambria" w:hAnsi="Cambria" w:cs="Times New Roman"/>
          <w:b/>
          <w:lang w:val="es-ES_tradnl"/>
        </w:rPr>
      </w:pPr>
      <w:r w:rsidRPr="00BD5B44">
        <w:rPr>
          <w:rFonts w:ascii="Cambria" w:eastAsia="Cambria" w:hAnsi="Cambria" w:cs="Times New Roman"/>
          <w:b/>
          <w:lang w:val="es-ES_tradnl"/>
        </w:rPr>
        <w:t>Interpretación: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Describe la impresión que da la Guardia Civil (1-16)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¿Qué impresión da la ciudad de los gitanos?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¿Por qué se mencionan a la Virgen y San José? ¿Quiénes son?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¿A qué se refieren los versos 37- 56?  ¡Lee la Biblia!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Da un resumen de los versos  57-64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Otra vez: ¿Qué función tiene la policía en Europa hoy día?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¿Qué se describe a partir de los versos 65?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Da una interpretación de la reiteración de: “Oh, ciudad de los gitanos!“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¿Qué significan para ti los últimos dos versos?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Describe el mundo de los gitanos.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Describe el mundo de la Guardia Civil.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>- Analiza cinco metáforas que te interesen.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  <w:r w:rsidRPr="00BD5B44">
        <w:rPr>
          <w:rFonts w:ascii="Cambria" w:eastAsia="Cambria" w:hAnsi="Cambria" w:cs="Times New Roman"/>
          <w:lang w:val="es-ES_tradnl"/>
        </w:rPr>
        <w:tab/>
        <w:t xml:space="preserve">- </w:t>
      </w:r>
      <w:r w:rsidRPr="00BD5B44">
        <w:rPr>
          <w:rFonts w:ascii="Cambria" w:eastAsia="Cambria" w:hAnsi="Cambria" w:cs="Times New Roman"/>
          <w:lang w:val="es-ES"/>
        </w:rPr>
        <w:t xml:space="preserve">¿Tiene esta poesía relación con la muerte de García Lorca? </w:t>
      </w:r>
      <w:r w:rsidRPr="00BD5B44">
        <w:rPr>
          <w:rFonts w:ascii="Cambria" w:eastAsia="Cambria" w:hAnsi="Cambria" w:cs="Times New Roman"/>
          <w:lang w:val="es-ES_tradnl"/>
        </w:rPr>
        <w:t>¿Qué piensas?</w:t>
      </w: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</w:p>
    <w:p w:rsidR="00BD5B44" w:rsidRPr="00BD5B44" w:rsidRDefault="00BD5B44" w:rsidP="00BD5B44">
      <w:pPr>
        <w:rPr>
          <w:rFonts w:ascii="Cambria" w:eastAsia="Cambria" w:hAnsi="Cambria" w:cs="Times New Roman"/>
          <w:lang w:val="es-ES_tradnl"/>
        </w:rPr>
      </w:pPr>
    </w:p>
    <w:p w:rsidR="006846A7" w:rsidRPr="00BD5B44" w:rsidRDefault="006846A7" w:rsidP="00BD5B44">
      <w:bookmarkStart w:id="0" w:name="_GoBack"/>
      <w:bookmarkEnd w:id="0"/>
    </w:p>
    <w:sectPr w:rsidR="006846A7" w:rsidRPr="00BD5B44" w:rsidSect="009510D7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8E2"/>
    <w:rsid w:val="00034B2F"/>
    <w:rsid w:val="00167567"/>
    <w:rsid w:val="001F102B"/>
    <w:rsid w:val="002B63F7"/>
    <w:rsid w:val="00313574"/>
    <w:rsid w:val="003818E2"/>
    <w:rsid w:val="004F52FF"/>
    <w:rsid w:val="00514B51"/>
    <w:rsid w:val="005415F4"/>
    <w:rsid w:val="006846A7"/>
    <w:rsid w:val="00762EAB"/>
    <w:rsid w:val="007F0618"/>
    <w:rsid w:val="008B21CE"/>
    <w:rsid w:val="008D5D9E"/>
    <w:rsid w:val="00AA5821"/>
    <w:rsid w:val="00BD5B44"/>
    <w:rsid w:val="00BE586F"/>
    <w:rsid w:val="00C0220D"/>
    <w:rsid w:val="00D137A7"/>
    <w:rsid w:val="00D92267"/>
    <w:rsid w:val="00DC551F"/>
    <w:rsid w:val="00EB608F"/>
    <w:rsid w:val="00ED64F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E79EC"/>
  </w:style>
  <w:style w:type="paragraph" w:styleId="berschrift1">
    <w:name w:val="heading 1"/>
    <w:basedOn w:val="Standard"/>
    <w:link w:val="berschrift1Zchn"/>
    <w:uiPriority w:val="9"/>
    <w:rsid w:val="003818E2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de-DE"/>
    </w:rPr>
  </w:style>
  <w:style w:type="paragraph" w:styleId="berschrift2">
    <w:name w:val="heading 2"/>
    <w:basedOn w:val="Standard"/>
    <w:link w:val="berschrift2Zchn"/>
    <w:uiPriority w:val="9"/>
    <w:rsid w:val="003818E2"/>
    <w:pPr>
      <w:spacing w:beforeLines="1" w:afterLines="1"/>
      <w:outlineLvl w:val="1"/>
    </w:pPr>
    <w:rPr>
      <w:rFonts w:ascii="Times" w:hAnsi="Times"/>
      <w:b/>
      <w:sz w:val="36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818E2"/>
    <w:rPr>
      <w:rFonts w:ascii="Times" w:hAnsi="Times"/>
      <w:b/>
      <w:kern w:val="36"/>
      <w:sz w:val="48"/>
      <w:szCs w:val="20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818E2"/>
    <w:rPr>
      <w:rFonts w:ascii="Times" w:hAnsi="Times"/>
      <w:b/>
      <w:sz w:val="36"/>
      <w:szCs w:val="20"/>
      <w:lang w:eastAsia="de-DE"/>
    </w:rPr>
  </w:style>
  <w:style w:type="paragraph" w:styleId="StandardWeb">
    <w:name w:val="Normal (Web)"/>
    <w:basedOn w:val="Standard"/>
    <w:uiPriority w:val="99"/>
    <w:rsid w:val="003818E2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3818E2"/>
    <w:rPr>
      <w:rFonts w:ascii="Lucida Grande" w:hAnsi="Lucida Grande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3818E2"/>
    <w:rPr>
      <w:rFonts w:ascii="Lucida Grande" w:hAnsi="Lucida Grande"/>
    </w:rPr>
  </w:style>
  <w:style w:type="table" w:styleId="Tabellenraster">
    <w:name w:val="Table Grid"/>
    <w:basedOn w:val="NormaleTabelle"/>
    <w:uiPriority w:val="59"/>
    <w:rsid w:val="006846A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rsid w:val="006846A7"/>
    <w:rPr>
      <w:color w:val="0000FF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rsid w:val="00BD5B44"/>
    <w:rPr>
      <w:rFonts w:ascii="Cambria" w:eastAsia="Cambria" w:hAnsi="Cambria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E79EC"/>
  </w:style>
  <w:style w:type="paragraph" w:styleId="berschrift1">
    <w:name w:val="heading 1"/>
    <w:basedOn w:val="Standard"/>
    <w:link w:val="berschrift1Zchn"/>
    <w:uiPriority w:val="9"/>
    <w:rsid w:val="003818E2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de-DE"/>
    </w:rPr>
  </w:style>
  <w:style w:type="paragraph" w:styleId="berschrift2">
    <w:name w:val="heading 2"/>
    <w:basedOn w:val="Standard"/>
    <w:link w:val="berschrift2Zchn"/>
    <w:uiPriority w:val="9"/>
    <w:rsid w:val="003818E2"/>
    <w:pPr>
      <w:spacing w:beforeLines="1" w:afterLines="1"/>
      <w:outlineLvl w:val="1"/>
    </w:pPr>
    <w:rPr>
      <w:rFonts w:ascii="Times" w:hAnsi="Times"/>
      <w:b/>
      <w:sz w:val="36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818E2"/>
    <w:rPr>
      <w:rFonts w:ascii="Times" w:hAnsi="Times"/>
      <w:b/>
      <w:kern w:val="36"/>
      <w:sz w:val="48"/>
      <w:szCs w:val="20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818E2"/>
    <w:rPr>
      <w:rFonts w:ascii="Times" w:hAnsi="Times"/>
      <w:b/>
      <w:sz w:val="36"/>
      <w:szCs w:val="20"/>
      <w:lang w:eastAsia="de-DE"/>
    </w:rPr>
  </w:style>
  <w:style w:type="paragraph" w:styleId="StandardWeb">
    <w:name w:val="Normal (Web)"/>
    <w:basedOn w:val="Standard"/>
    <w:uiPriority w:val="99"/>
    <w:rsid w:val="003818E2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3818E2"/>
    <w:rPr>
      <w:rFonts w:ascii="Lucida Grande" w:hAnsi="Lucida Grande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3818E2"/>
    <w:rPr>
      <w:rFonts w:ascii="Lucida Grande" w:hAnsi="Lucida Grande"/>
    </w:rPr>
  </w:style>
  <w:style w:type="table" w:styleId="Tabellenraster">
    <w:name w:val="Table Grid"/>
    <w:basedOn w:val="NormaleTabelle"/>
    <w:uiPriority w:val="59"/>
    <w:rsid w:val="006846A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rsid w:val="006846A7"/>
    <w:rPr>
      <w:color w:val="0000FF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rsid w:val="00BD5B44"/>
    <w:rPr>
      <w:rFonts w:ascii="Cambria" w:eastAsia="Cambria" w:hAnsi="Cambria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49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s.wikipedia.org/wiki/Miguel_de_Cervantes" TargetMode="External"/><Relationship Id="rId5" Type="http://schemas.openxmlformats.org/officeDocument/2006/relationships/hyperlink" Target="https://es.wikipedia.org/wiki/Lope_de_Veg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1133</Words>
  <Characters>7143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8260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Wolfgang Winter</dc:creator>
  <cp:lastModifiedBy>Renate</cp:lastModifiedBy>
  <cp:revision>4</cp:revision>
  <cp:lastPrinted>2016-08-28T16:30:00Z</cp:lastPrinted>
  <dcterms:created xsi:type="dcterms:W3CDTF">2016-08-31T21:23:00Z</dcterms:created>
  <dcterms:modified xsi:type="dcterms:W3CDTF">2016-09-11T16:41:00Z</dcterms:modified>
</cp:coreProperties>
</file>