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Arbeitsblatt 1 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>a</w:t>
      </w:r>
      <w:r>
        <w:rPr>
          <w:rFonts w:cs="Arial" w:ascii="Arial" w:hAnsi="Arial"/>
          <w:b/>
          <w:bCs/>
          <w:color w:val="FFFFFF"/>
          <w:sz w:val="20"/>
          <w:szCs w:val="20"/>
          <w:highlight w:val="lightGray"/>
        </w:rPr>
        <w:t xml:space="preserve">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 xml:space="preserve">Die Endphase der </w:t>
      </w:r>
      <w:r>
        <w:rPr>
          <w:rFonts w:ascii="Arial Black" w:hAnsi="Arial Black"/>
          <w:b/>
          <w:bCs/>
          <w:sz w:val="28"/>
          <w:szCs w:val="28"/>
        </w:rPr>
        <w:t xml:space="preserve">Weimarer Republik: </w:t>
      </w:r>
    </w:p>
    <w:p>
      <w:pPr>
        <w:pStyle w:val="Normal"/>
        <w:bidi w:val="0"/>
        <w:jc w:val="left"/>
        <w:rPr>
          <w:rFonts w:ascii="Arial Black" w:hAnsi="Arial Black"/>
          <w:b/>
          <w:b/>
          <w:bCs/>
        </w:rPr>
      </w:pPr>
      <w:r>
        <w:rPr>
          <w:rFonts w:ascii="Arial Black" w:hAnsi="Arial Black"/>
          <w:b/>
          <w:bCs/>
        </w:rPr>
        <w:t>Das Verhältnis von Reichsregierung, Reichstag und Reichspräsident</w:t>
      </w:r>
    </w:p>
    <w:p>
      <w:pPr>
        <w:pStyle w:val="Normal"/>
        <w:bidi w:val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Hintergrund</w:t>
      </w:r>
    </w:p>
    <w:p>
      <w:pPr>
        <w:pStyle w:val="Normal"/>
        <w:bidi w:val="0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 xml:space="preserve">Im Oktober 1929 begann die Weltwirtschaftskrise. Für Deutschland bedeutete diese Krise große Probleme: 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 xml:space="preserve">1932 verdienten die Menschen im Durchschnitt ein Drittel weniger als 1928. Die Zahl der Arbeitslosen stieg von 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 xml:space="preserve">1,9 Millionen im Jahr 1929 auf 3,7 Millionen </w:t>
      </w:r>
      <w:r>
        <w:rPr>
          <w:rFonts w:ascii="Arial" w:hAnsi="Arial"/>
          <w:sz w:val="20"/>
          <w:szCs w:val="20"/>
        </w:rPr>
        <w:t>(</w:t>
      </w:r>
      <w:r>
        <w:rPr>
          <w:rFonts w:ascii="Arial" w:hAnsi="Arial"/>
          <w:sz w:val="20"/>
          <w:szCs w:val="20"/>
        </w:rPr>
        <w:t>1930</w:t>
      </w:r>
      <w:r>
        <w:rPr>
          <w:rFonts w:ascii="Arial" w:hAnsi="Arial"/>
          <w:sz w:val="20"/>
          <w:szCs w:val="20"/>
        </w:rPr>
        <w:t>)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D</w:t>
      </w:r>
      <w:r>
        <w:rPr>
          <w:rFonts w:ascii="Arial" w:hAnsi="Arial"/>
          <w:sz w:val="20"/>
          <w:szCs w:val="20"/>
        </w:rPr>
        <w:t>as war</w:t>
      </w:r>
      <w:r>
        <w:rPr>
          <w:rFonts w:ascii="Arial" w:hAnsi="Arial"/>
          <w:sz w:val="20"/>
          <w:szCs w:val="20"/>
        </w:rPr>
        <w:t>en</w:t>
      </w:r>
      <w:r>
        <w:rPr>
          <w:rFonts w:ascii="Arial" w:hAnsi="Arial"/>
          <w:sz w:val="20"/>
          <w:szCs w:val="20"/>
        </w:rPr>
        <w:t xml:space="preserve"> zu viel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für d</w:t>
      </w:r>
      <w:r>
        <w:rPr>
          <w:rFonts w:ascii="Arial" w:hAnsi="Arial"/>
          <w:sz w:val="20"/>
          <w:szCs w:val="20"/>
        </w:rPr>
        <w:t>ie erst 1927 gegründete Arbeitslosenversicherung</w:t>
      </w:r>
      <w:r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Im Reichstag konnten sich d</w:t>
      </w:r>
      <w:r>
        <w:rPr>
          <w:rFonts w:ascii="Arial" w:hAnsi="Arial"/>
          <w:sz w:val="20"/>
          <w:szCs w:val="20"/>
        </w:rPr>
        <w:t xml:space="preserve">ie Parteien, die Reichskanzler Hermann Müller </w:t>
      </w:r>
      <w:r>
        <w:rPr>
          <w:rFonts w:ascii="Arial" w:hAnsi="Arial"/>
          <w:sz w:val="20"/>
          <w:szCs w:val="20"/>
        </w:rPr>
        <w:t>(</w:t>
      </w:r>
      <w:r>
        <w:rPr>
          <w:rFonts w:ascii="Arial" w:hAnsi="Arial"/>
          <w:sz w:val="20"/>
          <w:szCs w:val="20"/>
        </w:rPr>
        <w:t>SPD</w:t>
      </w:r>
      <w:r>
        <w:rPr>
          <w:rFonts w:ascii="Arial" w:hAnsi="Arial"/>
          <w:sz w:val="20"/>
          <w:szCs w:val="20"/>
        </w:rPr>
        <w:t xml:space="preserve">) unterstützten, </w:t>
      </w:r>
      <w:r>
        <w:rPr>
          <w:rFonts w:ascii="Arial" w:hAnsi="Arial"/>
          <w:sz w:val="20"/>
          <w:szCs w:val="20"/>
        </w:rPr>
        <w:t xml:space="preserve">1930 </w:t>
      </w:r>
      <w:r>
        <w:rPr>
          <w:rFonts w:ascii="Arial" w:hAnsi="Arial"/>
          <w:sz w:val="20"/>
          <w:szCs w:val="20"/>
        </w:rPr>
        <w:t xml:space="preserve">nicht über eine Erhöhung des Beitrags </w:t>
      </w:r>
      <w:r>
        <w:rPr>
          <w:rFonts w:ascii="Arial" w:hAnsi="Arial"/>
          <w:sz w:val="20"/>
          <w:szCs w:val="20"/>
        </w:rPr>
        <w:t>zu</w:t>
      </w:r>
      <w:r>
        <w:rPr>
          <w:rFonts w:ascii="Arial" w:hAnsi="Arial"/>
          <w:sz w:val="20"/>
          <w:szCs w:val="20"/>
        </w:rPr>
        <w:t xml:space="preserve"> diese</w:t>
      </w:r>
      <w:r>
        <w:rPr>
          <w:rFonts w:ascii="Arial" w:hAnsi="Arial"/>
          <w:sz w:val="20"/>
          <w:szCs w:val="20"/>
        </w:rPr>
        <w:t xml:space="preserve">r </w:t>
      </w: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</w:rPr>
        <w:t xml:space="preserve">ersicherung </w:t>
      </w:r>
      <w:r>
        <w:rPr>
          <w:rFonts w:ascii="Arial" w:hAnsi="Arial"/>
          <w:sz w:val="20"/>
          <w:szCs w:val="20"/>
        </w:rPr>
        <w:t xml:space="preserve">einigen. Müller trat deshalb zurück. 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ab/>
        <w:t xml:space="preserve">Reichspräsident Hindenburg </w:t>
      </w:r>
      <w:r>
        <w:rPr>
          <w:rFonts w:ascii="Arial" w:hAnsi="Arial"/>
          <w:sz w:val="20"/>
          <w:szCs w:val="20"/>
        </w:rPr>
        <w:t>ernannte nun</w:t>
      </w:r>
      <w:r>
        <w:rPr>
          <w:rFonts w:ascii="Arial" w:hAnsi="Arial"/>
          <w:sz w:val="20"/>
          <w:szCs w:val="20"/>
        </w:rPr>
        <w:t xml:space="preserve"> einen neuen Kanzler: Heinrich Brüning. Brüning hatte im Reichstag  keine Mehrheit. Hindenburg versprach ihm aber, ihn mit mit Hilfe von Artikel 48 der Verfassung zu unterstützen: Wenn Brüning ein Gesetz für notwendig hielt, der Reichstag dieses Gesetz aber ablehnte, </w:t>
      </w:r>
      <w:r>
        <w:rPr>
          <w:rFonts w:ascii="Arial" w:hAnsi="Arial"/>
          <w:sz w:val="20"/>
          <w:szCs w:val="20"/>
        </w:rPr>
        <w:t xml:space="preserve">würde Hindenburg eine sogenannte 'Notverordnung' mit </w:t>
      </w:r>
      <w:r>
        <w:rPr>
          <w:rFonts w:ascii="Arial" w:hAnsi="Arial"/>
          <w:sz w:val="20"/>
          <w:szCs w:val="20"/>
        </w:rPr>
        <w:t>dem gleichen</w:t>
      </w:r>
      <w:r>
        <w:rPr>
          <w:rFonts w:ascii="Arial" w:hAnsi="Arial"/>
          <w:sz w:val="20"/>
          <w:szCs w:val="20"/>
        </w:rPr>
        <w:t xml:space="preserve"> Inhalt erlassen.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0"/>
          <w:szCs w:val="20"/>
        </w:rPr>
        <w:tab/>
        <w:t>Das passierte</w:t>
      </w:r>
      <w:r>
        <w:rPr>
          <w:rFonts w:ascii="Arial" w:hAnsi="Arial"/>
          <w:sz w:val="20"/>
          <w:szCs w:val="20"/>
        </w:rPr>
        <w:t xml:space="preserve"> im </w:t>
      </w:r>
      <w:r>
        <w:rPr>
          <w:rFonts w:ascii="Arial" w:hAnsi="Arial"/>
          <w:sz w:val="20"/>
          <w:szCs w:val="20"/>
        </w:rPr>
        <w:t>Sommer</w:t>
      </w:r>
      <w:r>
        <w:rPr>
          <w:rFonts w:ascii="Arial" w:hAnsi="Arial"/>
          <w:sz w:val="20"/>
          <w:szCs w:val="20"/>
        </w:rPr>
        <w:t xml:space="preserve"> 1930, als </w:t>
      </w:r>
      <w:r>
        <w:rPr>
          <w:rFonts w:ascii="Arial" w:hAnsi="Arial"/>
          <w:sz w:val="20"/>
          <w:szCs w:val="20"/>
        </w:rPr>
        <w:t>der Reichstag Gesetz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 ablehnte. Mit diese</w:t>
      </w:r>
      <w:r>
        <w:rPr>
          <w:rFonts w:ascii="Arial" w:hAnsi="Arial"/>
          <w:sz w:val="20"/>
          <w:szCs w:val="20"/>
        </w:rPr>
        <w:t>n</w:t>
      </w:r>
      <w:r>
        <w:rPr>
          <w:rFonts w:ascii="Arial" w:hAnsi="Arial"/>
          <w:sz w:val="20"/>
          <w:szCs w:val="20"/>
        </w:rPr>
        <w:t xml:space="preserve"> Gesetz</w:t>
      </w:r>
      <w:r>
        <w:rPr>
          <w:rFonts w:ascii="Arial" w:hAnsi="Arial"/>
          <w:sz w:val="20"/>
          <w:szCs w:val="20"/>
        </w:rPr>
        <w:t>en</w:t>
      </w:r>
      <w:r>
        <w:rPr>
          <w:rFonts w:ascii="Arial" w:hAnsi="Arial"/>
          <w:sz w:val="20"/>
          <w:szCs w:val="20"/>
        </w:rPr>
        <w:t xml:space="preserve"> wollte Brüning einige Steuern erhöhen, </w:t>
      </w:r>
      <w:r>
        <w:rPr>
          <w:rFonts w:ascii="Arial" w:hAnsi="Arial"/>
          <w:sz w:val="20"/>
          <w:szCs w:val="20"/>
        </w:rPr>
        <w:t>weil die Regierung zu wenig Geld hatte für ihre Ausgaben. Diese Gesetze nannte man 'Deckungsvorlagen'.</w:t>
      </w:r>
    </w:p>
    <w:p>
      <w:pPr>
        <w:pStyle w:val="Normal"/>
        <w:bidi w:val="0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shd w:fill="D3D3D3" w:val="clear"/>
        <w:bidi w:val="0"/>
        <w:jc w:val="lef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Aufgabe</w:t>
      </w:r>
    </w:p>
    <w:p>
      <w:pPr>
        <w:pStyle w:val="Normal"/>
        <w:shd w:fill="D3D3D3" w:val="clear"/>
        <w:bidi w:val="0"/>
        <w:jc w:val="left"/>
        <w:rPr>
          <w:rFonts w:ascii="Arial" w:hAnsi="Arial"/>
          <w:sz w:val="10"/>
          <w:szCs w:val="10"/>
        </w:rPr>
      </w:pPr>
      <w:r>
        <w:rPr>
          <w:rFonts w:ascii="Arial" w:hAnsi="Arial"/>
          <w:sz w:val="10"/>
          <w:szCs w:val="10"/>
        </w:rPr>
      </w:r>
    </w:p>
    <w:p>
      <w:pPr>
        <w:pStyle w:val="Normal"/>
        <w:shd w:fill="D3D3D3" w:val="clear"/>
        <w:bidi w:val="0"/>
        <w:jc w:val="lef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Lese die </w:t>
      </w:r>
      <w:r>
        <w:rPr>
          <w:rFonts w:ascii="Arial" w:hAnsi="Arial"/>
          <w:color w:val="000000"/>
          <w:sz w:val="20"/>
          <w:szCs w:val="20"/>
        </w:rPr>
        <w:t xml:space="preserve">Auszüge aus </w:t>
      </w:r>
      <w:r>
        <w:rPr>
          <w:rFonts w:ascii="Arial" w:hAnsi="Arial"/>
          <w:color w:val="000000"/>
          <w:sz w:val="20"/>
          <w:szCs w:val="20"/>
        </w:rPr>
        <w:t>sechs Artikel</w:t>
      </w:r>
      <w:r>
        <w:rPr>
          <w:rFonts w:ascii="Arial" w:hAnsi="Arial"/>
          <w:color w:val="000000"/>
          <w:sz w:val="20"/>
          <w:szCs w:val="20"/>
        </w:rPr>
        <w:t>n</w:t>
      </w:r>
      <w:r>
        <w:rPr>
          <w:rFonts w:ascii="Arial" w:hAnsi="Arial"/>
          <w:color w:val="000000"/>
          <w:sz w:val="20"/>
          <w:szCs w:val="20"/>
        </w:rPr>
        <w:t>, die zwischen dem 16. und dem 21. Juli 1930 in der</w:t>
      </w:r>
      <w:r>
        <w:rPr>
          <w:rFonts w:ascii="Arial" w:hAnsi="Arial"/>
          <w:i/>
          <w:iCs/>
          <w:color w:val="000000"/>
          <w:sz w:val="20"/>
          <w:szCs w:val="20"/>
        </w:rPr>
        <w:t xml:space="preserve"> Freiburger Zeitung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erschienen sind, und bringe sie in eine sinnvolle Reihenfolge. 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Trage die entsprechenden Zahlen in die (   ) ein.</w:t>
      </w:r>
    </w:p>
    <w:p>
      <w:pPr>
        <w:pStyle w:val="Normal"/>
        <w:shd w:fill="D3D3D3" w:val="clear"/>
        <w:bidi w:val="0"/>
        <w:jc w:val="left"/>
        <w:rPr>
          <w:rFonts w:ascii="Arial" w:hAnsi="Arial"/>
          <w:i w:val="false"/>
          <w:i w:val="false"/>
          <w:iCs w:val="false"/>
          <w:color w:val="000000"/>
          <w:sz w:val="10"/>
          <w:szCs w:val="10"/>
        </w:rPr>
      </w:pPr>
      <w:r>
        <w:rPr>
          <w:rFonts w:ascii="Arial" w:hAnsi="Arial"/>
          <w:i w:val="false"/>
          <w:iCs w:val="false"/>
          <w:color w:val="000000"/>
          <w:sz w:val="10"/>
          <w:szCs w:val="10"/>
        </w:rPr>
      </w:r>
    </w:p>
    <w:p>
      <w:pPr>
        <w:pStyle w:val="Normal"/>
        <w:shd w:fill="D3D3D3" w:val="clear"/>
        <w:bidi w:val="0"/>
        <w:jc w:val="left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i w:val="false"/>
          <w:iCs w:val="false"/>
          <w:color w:val="000000"/>
          <w:sz w:val="20"/>
          <w:szCs w:val="20"/>
        </w:rPr>
        <w:t>Fass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>e</w:t>
      </w:r>
      <w:r>
        <w:rPr>
          <w:rFonts w:ascii="Arial" w:hAnsi="Arial"/>
          <w:i w:val="false"/>
          <w:iCs w:val="false"/>
          <w:color w:val="000000"/>
          <w:sz w:val="20"/>
          <w:szCs w:val="20"/>
        </w:rPr>
        <w:t xml:space="preserve"> dann in eigenen Worten zusammen, was sich in diesen sechs Tagen ereignet hat.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olor w:val="000000"/>
          <w:sz w:val="10"/>
          <w:szCs w:val="10"/>
        </w:rPr>
      </w:pPr>
      <w:r>
        <w:rPr>
          <w:rFonts w:ascii="Arial" w:hAnsi="Arial"/>
          <w:b w:val="false"/>
          <w:bCs w:val="false"/>
          <w:i w:val="false"/>
          <w:iCs w:val="false"/>
          <w:color w:val="000000"/>
          <w:sz w:val="10"/>
          <w:szCs w:val="10"/>
        </w:rPr>
      </w:r>
    </w:p>
    <w:tbl>
      <w:tblPr>
        <w:tblW w:w="10206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02"/>
        <w:gridCol w:w="5104"/>
      </w:tblGrid>
      <w:tr>
        <w:trPr/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elleninhalt"/>
              <w:bidi w:val="0"/>
              <w:jc w:val="left"/>
              <w:rPr>
                <w:rFonts w:ascii="Comic Sans MS" w:hAnsi="Comic Sans MS"/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t>(        )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as Reichsgesetzblatt veröffentlicht heute die Verordnung des Reichspräsidenten aufgrund des Artikels 48 der Reichsverfassung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. In dieser Verordnung geht es um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Deckungsmaßnahmen zum Reichshaushalt 1930 und über die Zulassung einer Gemeindegetränkesteuer. [...]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(a)</w:t>
            </w:r>
          </w:p>
          <w:p>
            <w:pPr>
              <w:pStyle w:val="Tabelleninhalt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141605</wp:posOffset>
                  </wp:positionV>
                  <wp:extent cx="3136900" cy="601345"/>
                  <wp:effectExtent l="0" t="0" r="0" b="0"/>
                  <wp:wrapSquare wrapText="largest"/>
                  <wp:docPr id="1" name="Bild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0" cy="60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elleninhalt"/>
              <w:bidi w:val="0"/>
              <w:jc w:val="left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t>(        )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ine neue Verordnung setzt die beiden ersten Notverordnungen außer Kraft. Gleichzeitig schreibt der Reichspräsident dem Reichskanzler: </w:t>
            </w:r>
          </w:p>
          <w:p>
            <w:pPr>
              <w:pStyle w:val="Tabelleninhalt"/>
              <w:bidi w:val="0"/>
              <w:jc w:val="left"/>
              <w:rPr>
                <w:rFonts w:ascii="Times New Roman" w:hAnsi="Times New Roman"/>
                <w:i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"Sehr geehrter Herr Reichskanzler!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Ich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bitte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nunmehr die Reichsregierung, mir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möglichst bald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Vorschläge für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neue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Verordnungen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nach Artikel 48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zu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machen. Damit sollen die öffentlichen Finanzen saniert werden.</w:t>
            </w:r>
          </w:p>
          <w:p>
            <w:pPr>
              <w:pStyle w:val="Tabelleninhalt"/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Mit freundlichen Grüßen </w:t>
            </w:r>
          </w:p>
          <w:p>
            <w:pPr>
              <w:pStyle w:val="Tabelleninhalt"/>
              <w:bidi w:val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von Hindenburg."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(b)</w:t>
            </w:r>
          </w:p>
          <w:p>
            <w:pPr>
              <w:pStyle w:val="Tabelleninhalt"/>
              <w:bidi w:val="0"/>
              <w:jc w:val="left"/>
              <w:rPr>
                <w:rFonts w:ascii="Comic Sans MS" w:hAnsi="Comic Sans MS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</w:r>
          </w:p>
          <w:p>
            <w:pPr>
              <w:pStyle w:val="Tabelleninhalt"/>
              <w:bidi w:val="0"/>
              <w:jc w:val="left"/>
              <w:rPr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t>(        )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Die SPD hat im Reichstag beantragt, die beiden Notverordnungen aufzuheben. Der Antrag wurde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mit 236 gegen 221 Stimmen ange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ommen. Der Reichskanzler erhob sich sofort und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löste im Namen des Reichspräsidenten den Reichstag auf.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(c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elleninhalt"/>
              <w:bidi w:val="0"/>
              <w:jc w:val="left"/>
              <w:rPr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t>(        )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Im Reichstag wurde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heute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die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Deckungsvorlage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(Reichshilfe) mit 256 gegen 204 Stimmen abgelehnt. Reichskanzler Dr. Brüning erklärte darauf, da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die Regierung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die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Verhandlungen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beenden wird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. Damit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sind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die Deckungsvorlage und der Ergänzungs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haushalt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gefallen.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[...]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(d)</w:t>
            </w:r>
          </w:p>
          <w:p>
            <w:pPr>
              <w:pStyle w:val="Tabelleninhalt"/>
              <w:bidi w:val="0"/>
              <w:jc w:val="left"/>
              <w:rPr>
                <w:rFonts w:ascii="Comic Sans MS" w:hAnsi="Comic Sans MS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</w:r>
          </w:p>
          <w:p>
            <w:pPr>
              <w:pStyle w:val="Tabelleninhalt"/>
              <w:bidi w:val="0"/>
              <w:jc w:val="left"/>
              <w:rPr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t>(        )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Nach der Abstimmung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stand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Reichskanzler Dr. Brüning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auf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und erklärte: Ich habe dem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Reichstag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eine Verordnung des Herrn Reichspräsidenten mitzuteilen.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Ich löse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auf Grund des Artikels 25 der Reichsverfassung den Reichstag auf.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Der Grund ist, dass der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Reichstag heute beschlossen hat, da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beide auf Grund des Artikels 48 der Reichsverfassung erlassenen Verordnungen aufgehoben werden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[...]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(e)</w:t>
            </w:r>
          </w:p>
          <w:p>
            <w:pPr>
              <w:pStyle w:val="Normal"/>
              <w:bidi w:val="0"/>
              <w:jc w:val="left"/>
              <w:rPr>
                <w:rFonts w:ascii="Comic Sans MS" w:hAnsi="Comic Sans MS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lightGray"/>
              </w:rPr>
              <w:t>(        )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Die Freiburger Zeitung hat aus einer g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ut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unterrichtete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Quelle erfahren,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dass der Reichskanzler die Erlaubnis des Reichspräsidenten bekommen hat,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den Artikel 48 anzuwenden, wenn die Mehrheit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für die Deckungsvorlagen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nicht zustande kommt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. Der Reichskanzler kann auch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 xml:space="preserve"> den Reichstag auflösen, wenn die Deckungsvorlagen abgelehnt werden oder wenn der Regierung das Mi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trauen ausgesprochen wird oder wenn sich irgendeine politische Situation ergibt, die einen anderen Ausweg nicht zulä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ss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t.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0"/>
                <w:szCs w:val="20"/>
              </w:rPr>
              <w:t>"</w:t>
            </w:r>
            <w:r>
              <w:rPr>
                <w:rFonts w:ascii="Comic Sans MS" w:hAnsi="Comic Sans MS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(f)</w:t>
            </w:r>
          </w:p>
        </w:tc>
      </w:tr>
    </w:tbl>
    <w:p>
      <w:pPr>
        <w:pStyle w:val="Normal"/>
        <w:bidi w:val="0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</w:r>
    </w:p>
    <w:p>
      <w:pPr>
        <w:pStyle w:val="Normal"/>
        <w:bidi w:val="0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39435" cy="439420"/>
            <wp:effectExtent l="0" t="0" r="0" b="0"/>
            <wp:wrapSquare wrapText="largest"/>
            <wp:docPr id="2" name="Bild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0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tLeast" w:line="100"/>
        <w:jc w:val="left"/>
        <w:rPr>
          <w:color w:val="808080"/>
        </w:rPr>
      </w:pP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Quelle</w:t>
      </w: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>n</w:t>
      </w:r>
      <w:r>
        <w:rPr>
          <w:rFonts w:cs="Arial" w:ascii="Arial" w:hAnsi="Arial"/>
          <w:b/>
          <w:i w:val="false"/>
          <w:iCs w:val="false"/>
          <w:color w:val="808080"/>
          <w:sz w:val="18"/>
          <w:szCs w:val="20"/>
        </w:rPr>
        <w:t xml:space="preserve"> (adaptiert):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20"/>
        </w:rPr>
        <w:t xml:space="preserve"> </w:t>
      </w:r>
      <w:hyperlink r:id="rId4">
        <w:r>
          <w:rPr>
            <w:rStyle w:val="Internetverknpfung"/>
            <w:rFonts w:cs="Arial" w:ascii="Arial" w:hAnsi="Arial"/>
            <w:b w:val="false"/>
            <w:bCs w:val="false"/>
            <w:i/>
            <w:iCs/>
            <w:color w:val="808080"/>
            <w:sz w:val="18"/>
            <w:szCs w:val="20"/>
          </w:rPr>
          <w:t>Freiburger Zeitung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, 16.-21.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07.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1930</w:t>
      </w: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5645785</wp:posOffset>
            </wp:positionH>
            <wp:positionV relativeFrom="paragraph">
              <wp:posOffset>29845</wp:posOffset>
            </wp:positionV>
            <wp:extent cx="847090" cy="296545"/>
            <wp:effectExtent l="0" t="0" r="0" b="0"/>
            <wp:wrapSquare wrapText="largest"/>
            <wp:docPr id="3" name="Bild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19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20"/>
        </w:rPr>
        <w:t>.</w:t>
      </w:r>
    </w:p>
    <w:p>
      <w:pPr>
        <w:pStyle w:val="Normal"/>
        <w:bidi w:val="0"/>
        <w:spacing w:lineRule="atLeast" w:line="100"/>
        <w:jc w:val="left"/>
        <w:rPr/>
      </w:pP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20"/>
        </w:rPr>
        <w:t>Abbildung</w:t>
      </w: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20"/>
        </w:rPr>
        <w:t>en</w:t>
      </w:r>
      <w:r>
        <w:rPr>
          <w:rFonts w:cs="Arial" w:ascii="Arial" w:hAnsi="Arial"/>
          <w:b/>
          <w:bCs/>
          <w:i w:val="false"/>
          <w:iCs w:val="false"/>
          <w:color w:val="808080"/>
          <w:sz w:val="18"/>
          <w:szCs w:val="18"/>
        </w:rPr>
        <w:t>: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hyperlink r:id="rId6">
        <w:r>
          <w:rPr>
            <w:rStyle w:val="Internetverknpfung"/>
            <w:rFonts w:ascii="Arial" w:hAnsi="Arial"/>
            <w:color w:val="0000FF"/>
            <w:sz w:val="18"/>
            <w:szCs w:val="18"/>
          </w:rPr>
          <w:t>Universitätsbibliothek Freiburg</w:t>
        </w:r>
      </w:hyperlink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(</w:t>
      </w:r>
      <w:r>
        <w:rPr>
          <w:rFonts w:cs="Arial" w:ascii="Arial" w:hAnsi="Arial"/>
          <w:b w:val="false"/>
          <w:bCs w:val="false"/>
          <w:i/>
          <w:iCs/>
          <w:color w:val="808080"/>
          <w:sz w:val="18"/>
          <w:szCs w:val="18"/>
        </w:rPr>
        <w:t>Freiburger Zeitung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16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.07.1930, 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Erstes Abendblatt; 18.07.1930, Erstes Abendblatt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>)</w:t>
      </w:r>
      <w:r>
        <w:rPr>
          <w:rFonts w:cs="Arial" w:ascii="Arial" w:hAnsi="Arial"/>
          <w:b w:val="false"/>
          <w:bCs w:val="false"/>
          <w:i w:val="false"/>
          <w:iCs w:val="false"/>
          <w:color w:val="808080"/>
          <w:sz w:val="18"/>
          <w:szCs w:val="18"/>
        </w:rPr>
        <w:t xml:space="preserve">, </w:t>
      </w:r>
      <w:hyperlink r:id="rId7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 xml:space="preserve">CC BY-SA </w:t>
        </w:r>
      </w:hyperlink>
      <w:hyperlink r:id="rId9">
        <w:r>
          <w:rPr>
            <w:rStyle w:val="Internetverknpfung"/>
            <w:rFonts w:cs="Arial" w:ascii="Arial" w:hAnsi="Arial"/>
            <w:b w:val="false"/>
            <w:bCs w:val="false"/>
            <w:i w:val="false"/>
            <w:iCs w:val="false"/>
            <w:color w:val="808080"/>
            <w:sz w:val="18"/>
            <w:szCs w:val="18"/>
          </w:rPr>
          <w:t>3.0</w:t>
        </w:r>
      </w:hyperlink>
    </w:p>
    <w:sectPr>
      <w:footerReference w:type="default" r:id="rId10"/>
      <w:type w:val="nextPage"/>
      <w:pgSz w:w="11906" w:h="16838"/>
      <w:pgMar w:left="850" w:right="850" w:header="0" w:top="1134" w:footer="850" w:bottom="16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0"/>
    <w:family w:val="roman"/>
    <w:pitch w:val="default"/>
  </w:font>
  <w:font w:name="Calibri">
    <w:charset w:val="00"/>
    <w:family w:val="swiss"/>
    <w:pitch w:val="variable"/>
  </w:font>
  <w:font w:name="Arial Black">
    <w:charset w:val="00"/>
    <w:family w:val="swiss"/>
    <w:pitch w:val="variable"/>
  </w:font>
  <w:font w:name="Comic Sans MS">
    <w:charset w:val="00"/>
    <w:family w:val="script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bidi w:val="0"/>
      <w:jc w:val="center"/>
      <w:rPr>
        <w:rFonts w:ascii="Arial" w:hAnsi="Arial" w:cs="Arial"/>
        <w:color w:val="808080"/>
        <w:sz w:val="21"/>
        <w:szCs w:val="21"/>
      </w:rPr>
    </w:pPr>
    <w:r>
      <w:rPr>
        <w:rFonts w:cs="Arial" w:ascii="Arial" w:hAnsi="Arial"/>
        <w:color w:val="808080"/>
        <w:sz w:val="21"/>
        <w:szCs w:val="21"/>
      </w:rPr>
      <w:t xml:space="preserve">Arbeitskreis für Landeskunde/Landesgeschichte, </w:t>
    </w:r>
    <w:r>
      <w:rPr>
        <w:rFonts w:cs="Arial" w:ascii="Arial" w:hAnsi="Arial"/>
        <w:color w:val="808080"/>
        <w:sz w:val="21"/>
        <w:szCs w:val="21"/>
      </w:rPr>
      <w:t>ZSL-Regionalstelle</w:t>
    </w:r>
    <w:r>
      <w:rPr>
        <w:rFonts w:cs="Arial" w:ascii="Arial" w:hAnsi="Arial"/>
        <w:color w:val="808080"/>
        <w:sz w:val="21"/>
        <w:szCs w:val="21"/>
      </w:rPr>
      <w:t xml:space="preserve"> Freiburg</w:t>
    </w:r>
  </w:p>
  <w:p>
    <w:pPr>
      <w:pStyle w:val="NoSpacing"/>
      <w:bidi w:val="0"/>
      <w:jc w:val="center"/>
      <w:rPr>
        <w:rFonts w:ascii="Arial" w:hAnsi="Arial" w:cs="Arial"/>
        <w:color w:val="808080"/>
        <w:sz w:val="21"/>
        <w:szCs w:val="21"/>
      </w:rPr>
    </w:pPr>
    <w:hyperlink r:id="rId1">
      <w:r>
        <w:rPr>
          <w:rStyle w:val="Internetverknpfung"/>
          <w:rFonts w:cs="Arial" w:ascii="Arial" w:hAnsi="Arial"/>
          <w:color w:val="808080"/>
          <w:sz w:val="21"/>
          <w:szCs w:val="21"/>
        </w:rPr>
        <w:t>www.landeskunde-bw.de</w:t>
      </w:r>
    </w:hyperlink>
  </w:p>
</w:ftr>
</file>

<file path=word/settings.xml><?xml version="1.0" encoding="utf-8"?>
<w:settings xmlns:w="http://schemas.openxmlformats.org/wordprocessingml/2006/main">
  <w:zoom w:percent="100"/>
  <w:defaultTabStop w:val="39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SimSun" w:cs="Arial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BesuchteInternetverknpfung">
    <w:name w:val="Besuchte Internetverknüpfung"/>
    <w:rPr>
      <w:color w:val="80000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Microsoft YaHei" w:cs="Arial"/>
      <w:sz w:val="24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Times New Roman" w:hAnsi="Times New Roman"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Times New Roman" w:hAnsi="Times New Roman" w:cs="Arial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397"/>
        <w:tab w:val="center" w:pos="5103" w:leader="none"/>
        <w:tab w:val="right" w:pos="10206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/>
    </w:pPr>
    <w:rPr>
      <w:rFonts w:ascii="Calibri" w:hAnsi="Calibri" w:eastAsia="SimSun;宋体" w:cs="MS PMincho"/>
      <w:color w:val="auto"/>
      <w:kern w:val="2"/>
      <w:sz w:val="22"/>
      <w:szCs w:val="22"/>
      <w:lang w:val="de-DE" w:bidi="ar-SA" w:eastAsia="zh-CN"/>
    </w:rPr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http://fz.ub.uni-freiburg.de/show/fz.cgi?cmd=showmonth&amp;year=1930&amp;month=07&amp;project=3" TargetMode="External"/><Relationship Id="rId5" Type="http://schemas.openxmlformats.org/officeDocument/2006/relationships/image" Target="media/image3.png"/><Relationship Id="rId6" Type="http://schemas.openxmlformats.org/officeDocument/2006/relationships/hyperlink" Target="https://www.ub.uni-freiburg.de/go/dipro" TargetMode="External"/><Relationship Id="rId7" Type="http://schemas.openxmlformats.org/officeDocument/2006/relationships/hyperlink" Target="https://creativecommons.org/licenses/by-sa/3.0/de/legalcode" TargetMode="External"/><Relationship Id="rId8" Type="http://schemas.openxmlformats.org/officeDocument/2006/relationships/hyperlink" Target="https://creativecommons.org/licenses/by-sa/3.0/de/legalcode" TargetMode="External"/><Relationship Id="rId9" Type="http://schemas.openxmlformats.org/officeDocument/2006/relationships/hyperlink" Target="https://creativecommons.org/licenses/by-sa/3.0/de/legalcode" TargetMode="Externa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ndeskunde-bw.de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767</TotalTime>
  <Application>LibreOffice/6.4.2.2$Windows_X86_64 LibreOffice_project/4e471d8c02c9c90f512f7f9ead8875b57fcb1ec3</Application>
  <Pages>1</Pages>
  <Words>540</Words>
  <Characters>3421</Characters>
  <CharactersWithSpaces>3994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2020-04-10T11:58:15Z</dcterms:created>
  <dc:creator/>
  <dc:description/>
  <dc:language>de-DE</dc:language>
  <cp:lastModifiedBy/>
  <dcterms:modified xsi:type="dcterms:W3CDTF">2020-11-04T19:50:45Z</dcterms:modified>
  <cp:revision>41</cp:revision>
  <dc:subject/>
  <dc:title/>
</cp:coreProperties>
</file>