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4906" w14:textId="77777777" w:rsidR="00E46D6F" w:rsidRDefault="004B2FF4">
      <w:pPr>
        <w:pStyle w:val="Titel"/>
      </w:pPr>
      <w:r>
        <w:t xml:space="preserve">Das Paradox des </w:t>
      </w:r>
      <w:proofErr w:type="spellStart"/>
      <w:r>
        <w:t>Euathlos</w:t>
      </w:r>
      <w:proofErr w:type="spellEnd"/>
      <w:r>
        <w:t xml:space="preserve"> (</w:t>
      </w:r>
      <w:proofErr w:type="spellStart"/>
      <w:r>
        <w:t>Gellius</w:t>
      </w:r>
      <w:proofErr w:type="spellEnd"/>
      <w:r>
        <w:t xml:space="preserve">, </w:t>
      </w:r>
      <w:proofErr w:type="spellStart"/>
      <w:r>
        <w:t>Noctes</w:t>
      </w:r>
      <w:proofErr w:type="spellEnd"/>
      <w:r>
        <w:t xml:space="preserve"> </w:t>
      </w:r>
      <w:proofErr w:type="spellStart"/>
      <w:r>
        <w:t>Atticae</w:t>
      </w:r>
      <w:proofErr w:type="spellEnd"/>
      <w:r>
        <w:t xml:space="preserve"> 5, 10)</w:t>
      </w:r>
    </w:p>
    <w:p w14:paraId="056A03CD" w14:textId="606C660E" w:rsidR="00E46D6F" w:rsidRDefault="004B2FF4" w:rsidP="000463EC">
      <w:pPr>
        <w:pStyle w:val="Textbody"/>
        <w:jc w:val="both"/>
      </w:pPr>
      <w:r>
        <w:t xml:space="preserve">Der Schriftsteller Aulus </w:t>
      </w:r>
      <w:proofErr w:type="spellStart"/>
      <w:r>
        <w:t>Gellius</w:t>
      </w:r>
      <w:proofErr w:type="spellEnd"/>
      <w:r>
        <w:t xml:space="preserve"> gibt in diesem Text aus den </w:t>
      </w:r>
      <w:proofErr w:type="spellStart"/>
      <w:r>
        <w:rPr>
          <w:rStyle w:val="Hervorhebung"/>
        </w:rPr>
        <w:t>Noctes</w:t>
      </w:r>
      <w:proofErr w:type="spellEnd"/>
      <w:r>
        <w:rPr>
          <w:rStyle w:val="Hervorhebung"/>
        </w:rPr>
        <w:t xml:space="preserve"> </w:t>
      </w:r>
      <w:proofErr w:type="spellStart"/>
      <w:r>
        <w:rPr>
          <w:rStyle w:val="Hervorhebung"/>
        </w:rPr>
        <w:t>Atticae</w:t>
      </w:r>
      <w:proofErr w:type="spellEnd"/>
      <w:r>
        <w:t xml:space="preserve"> ein Paradox wieder, das in der Philosophie bis heute diskutiert wird.</w:t>
      </w:r>
    </w:p>
    <w:p w14:paraId="4F208C04" w14:textId="77777777" w:rsidR="00E46D6F" w:rsidRDefault="004B2FF4">
      <w:pPr>
        <w:pStyle w:val="berschrift1"/>
      </w:pPr>
      <w:r>
        <w:t>Lateinischer Text mit Übersetzung</w:t>
      </w:r>
    </w:p>
    <w:tbl>
      <w:tblPr>
        <w:tblW w:w="9982" w:type="dxa"/>
        <w:tblLayout w:type="fixed"/>
        <w:tblCellMar>
          <w:left w:w="10" w:type="dxa"/>
          <w:right w:w="10" w:type="dxa"/>
        </w:tblCellMar>
        <w:tblLook w:val="04A0" w:firstRow="1" w:lastRow="0" w:firstColumn="1" w:lastColumn="0" w:noHBand="0" w:noVBand="1"/>
      </w:tblPr>
      <w:tblGrid>
        <w:gridCol w:w="5269"/>
        <w:gridCol w:w="4713"/>
      </w:tblGrid>
      <w:tr w:rsidR="00E46D6F" w14:paraId="29788AE2" w14:textId="77777777">
        <w:trPr>
          <w:cantSplit/>
        </w:trPr>
        <w:tc>
          <w:tcPr>
            <w:tcW w:w="5269" w:type="dxa"/>
            <w:tcBorders>
              <w:top w:val="single" w:sz="2" w:space="0" w:color="666666"/>
              <w:left w:val="single" w:sz="2" w:space="0" w:color="666666"/>
              <w:bottom w:val="single" w:sz="2" w:space="0" w:color="666666"/>
            </w:tcBorders>
            <w:tcMar>
              <w:top w:w="113" w:type="dxa"/>
              <w:left w:w="113" w:type="dxa"/>
              <w:bottom w:w="113" w:type="dxa"/>
              <w:right w:w="113" w:type="dxa"/>
            </w:tcMar>
            <w:vAlign w:val="center"/>
          </w:tcPr>
          <w:p w14:paraId="2EA8464D" w14:textId="77777777" w:rsidR="00E46D6F" w:rsidRPr="00A5122B" w:rsidRDefault="004B2FF4">
            <w:pPr>
              <w:pStyle w:val="Textbody"/>
              <w:spacing w:line="360" w:lineRule="auto"/>
              <w:rPr>
                <w:rFonts w:ascii="Arial" w:hAnsi="Arial"/>
                <w:lang w:val="la-Latn"/>
              </w:rPr>
            </w:pPr>
            <w:r w:rsidRPr="00A5122B">
              <w:rPr>
                <w:rFonts w:ascii="Arial" w:hAnsi="Arial"/>
                <w:lang w:val="la-Latn"/>
              </w:rPr>
              <w:t>De argumentis, quae Graece ἀντιστρέφοντα (antistrephonta) appellantur, a nobis „reciproca” dici possunt.</w:t>
            </w:r>
          </w:p>
        </w:tc>
        <w:tc>
          <w:tcPr>
            <w:tcW w:w="4713" w:type="dxa"/>
            <w:tcBorders>
              <w:top w:val="single" w:sz="2" w:space="0" w:color="666666"/>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089DD171" w14:textId="77777777" w:rsidR="00E46D6F" w:rsidRPr="00A5122B" w:rsidRDefault="004B2FF4">
            <w:pPr>
              <w:pStyle w:val="Textbody"/>
              <w:spacing w:line="360" w:lineRule="auto"/>
              <w:rPr>
                <w:rFonts w:ascii="Arial" w:hAnsi="Arial"/>
                <w:sz w:val="20"/>
                <w:szCs w:val="20"/>
              </w:rPr>
            </w:pPr>
            <w:r w:rsidRPr="00A5122B">
              <w:rPr>
                <w:rFonts w:ascii="Arial" w:hAnsi="Arial"/>
                <w:sz w:val="20"/>
                <w:szCs w:val="20"/>
              </w:rPr>
              <w:t xml:space="preserve">Über die Argumente, die auf Griechisch </w:t>
            </w:r>
            <w:proofErr w:type="spellStart"/>
            <w:r w:rsidRPr="00A5122B">
              <w:rPr>
                <w:rFonts w:ascii="Arial" w:hAnsi="Arial"/>
                <w:sz w:val="20"/>
                <w:szCs w:val="20"/>
              </w:rPr>
              <w:t>ἀντιστρέφοντ</w:t>
            </w:r>
            <w:proofErr w:type="spellEnd"/>
            <w:r w:rsidRPr="00A5122B">
              <w:rPr>
                <w:rFonts w:ascii="Arial" w:hAnsi="Arial"/>
                <w:sz w:val="20"/>
                <w:szCs w:val="20"/>
              </w:rPr>
              <w:t>α (</w:t>
            </w:r>
            <w:proofErr w:type="spellStart"/>
            <w:r w:rsidRPr="00A5122B">
              <w:rPr>
                <w:rFonts w:ascii="Arial" w:hAnsi="Arial"/>
                <w:sz w:val="20"/>
                <w:szCs w:val="20"/>
              </w:rPr>
              <w:t>antistrephonta</w:t>
            </w:r>
            <w:proofErr w:type="spellEnd"/>
            <w:r w:rsidRPr="00A5122B">
              <w:rPr>
                <w:rFonts w:ascii="Arial" w:hAnsi="Arial"/>
                <w:sz w:val="20"/>
                <w:szCs w:val="20"/>
              </w:rPr>
              <w:t>, dt. Umkehrschluss), von uns „Umkehrung“ genannt werden können</w:t>
            </w:r>
          </w:p>
        </w:tc>
      </w:tr>
      <w:tr w:rsidR="00E46D6F" w14:paraId="297314AB"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1074C7BC" w14:textId="77777777" w:rsidR="00E46D6F" w:rsidRPr="00A5122B" w:rsidRDefault="004B2FF4">
            <w:pPr>
              <w:spacing w:line="360" w:lineRule="auto"/>
              <w:rPr>
                <w:rFonts w:ascii="Arial" w:hAnsi="Arial"/>
                <w:lang w:val="la-Latn"/>
              </w:rPr>
            </w:pPr>
            <w:r w:rsidRPr="00A5122B">
              <w:rPr>
                <w:rFonts w:ascii="Arial" w:hAnsi="Arial"/>
                <w:lang w:val="la-Latn"/>
              </w:rPr>
              <w:t>Inter vitia argumentorum longe maximum esse vitium videtur, quae ἀντιστρέφοντα (antistrephonta) Graeci dicunt. Ea quidam e nostris non hercle nimis absurde „reciproca” appellaverunt. </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6B1F43A6" w14:textId="77777777" w:rsidR="00E46D6F" w:rsidRPr="00A5122B" w:rsidRDefault="004B2FF4">
            <w:pPr>
              <w:spacing w:line="360" w:lineRule="auto"/>
              <w:rPr>
                <w:rFonts w:ascii="Arial" w:hAnsi="Arial"/>
                <w:sz w:val="20"/>
                <w:szCs w:val="20"/>
              </w:rPr>
            </w:pPr>
            <w:r w:rsidRPr="00A5122B">
              <w:rPr>
                <w:rFonts w:ascii="Arial" w:hAnsi="Arial"/>
                <w:sz w:val="20"/>
                <w:szCs w:val="20"/>
              </w:rPr>
              <w:t xml:space="preserve">Unter den Fehlern der Argumente scheint bei weitem der schwerwiegendste der zu sein, den die Griechen </w:t>
            </w:r>
            <w:proofErr w:type="spellStart"/>
            <w:r w:rsidRPr="00A5122B">
              <w:rPr>
                <w:rFonts w:ascii="Arial" w:hAnsi="Arial"/>
                <w:sz w:val="20"/>
                <w:szCs w:val="20"/>
              </w:rPr>
              <w:t>ἀντιστρέφοντ</w:t>
            </w:r>
            <w:proofErr w:type="spellEnd"/>
            <w:r w:rsidRPr="00A5122B">
              <w:rPr>
                <w:rFonts w:ascii="Arial" w:hAnsi="Arial"/>
                <w:sz w:val="20"/>
                <w:szCs w:val="20"/>
              </w:rPr>
              <w:t>α (</w:t>
            </w:r>
            <w:proofErr w:type="spellStart"/>
            <w:r w:rsidRPr="00A5122B">
              <w:rPr>
                <w:rFonts w:ascii="Arial" w:hAnsi="Arial"/>
                <w:sz w:val="20"/>
                <w:szCs w:val="20"/>
              </w:rPr>
              <w:t>antistrephonta</w:t>
            </w:r>
            <w:proofErr w:type="spellEnd"/>
            <w:r w:rsidRPr="00A5122B">
              <w:rPr>
                <w:rFonts w:ascii="Arial" w:hAnsi="Arial"/>
                <w:sz w:val="20"/>
                <w:szCs w:val="20"/>
              </w:rPr>
              <w:t>) nennen. Diese Schlussformen nannten einige von unseren Autoren, beim Herkules, nicht allzu abwegig „rückwirkender Schluss”.</w:t>
            </w:r>
          </w:p>
        </w:tc>
      </w:tr>
      <w:tr w:rsidR="00E46D6F" w14:paraId="5FE006A2"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3EECA42F" w14:textId="77777777" w:rsidR="00E46D6F" w:rsidRPr="00A5122B" w:rsidRDefault="004B2FF4">
            <w:pPr>
              <w:spacing w:line="360" w:lineRule="auto"/>
              <w:rPr>
                <w:rFonts w:ascii="Arial" w:hAnsi="Arial"/>
                <w:lang w:val="la-Latn"/>
              </w:rPr>
            </w:pPr>
            <w:r w:rsidRPr="00A5122B">
              <w:rPr>
                <w:rFonts w:ascii="Arial" w:hAnsi="Arial"/>
                <w:lang w:val="la-Latn"/>
              </w:rPr>
              <w:t>Id autem vitium accidit hoc modo, cum argumentum propositum referri contra convertique in eum potest, a quo dictum est, et utrimque pariter valet; quale est pervolgatum illud, quo Protagoram, sophistarum acerrimum, usum esse ferunt adversus Euathlum, discipulum suum. </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17638488" w14:textId="77777777" w:rsidR="00E46D6F" w:rsidRPr="00A5122B" w:rsidRDefault="004B2FF4">
            <w:pPr>
              <w:spacing w:line="360" w:lineRule="auto"/>
              <w:rPr>
                <w:rFonts w:ascii="Arial" w:hAnsi="Arial"/>
                <w:sz w:val="20"/>
                <w:szCs w:val="20"/>
              </w:rPr>
            </w:pPr>
            <w:r w:rsidRPr="00A5122B">
              <w:rPr>
                <w:rFonts w:ascii="Arial" w:hAnsi="Arial"/>
                <w:sz w:val="20"/>
                <w:szCs w:val="20"/>
              </w:rPr>
              <w:t xml:space="preserve">Dieser Fehler tritt dann auf, wenn ein vorgetragenes Argument umgedreht und gegen den gewandt werden kann, von dem es aufgestellt wurde, und dann beides gleichermaßen gilt. Ein bestimmter Schluss dieser Art ist sehr bekannt, und zwar jener, den Protagoras, der gewitzteste der Sophisten, gegen </w:t>
            </w:r>
            <w:proofErr w:type="spellStart"/>
            <w:r w:rsidRPr="00A5122B">
              <w:rPr>
                <w:rFonts w:ascii="Arial" w:hAnsi="Arial"/>
                <w:sz w:val="20"/>
                <w:szCs w:val="20"/>
              </w:rPr>
              <w:t>Euathlos</w:t>
            </w:r>
            <w:proofErr w:type="spellEnd"/>
            <w:r w:rsidRPr="00A5122B">
              <w:rPr>
                <w:rFonts w:ascii="Arial" w:hAnsi="Arial"/>
                <w:sz w:val="20"/>
                <w:szCs w:val="20"/>
              </w:rPr>
              <w:t>, seinen Schüler, vorgebracht haben soll. </w:t>
            </w:r>
          </w:p>
        </w:tc>
      </w:tr>
      <w:tr w:rsidR="00E46D6F" w14:paraId="43D291EE"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306B5BA8" w14:textId="77777777" w:rsidR="00E46D6F" w:rsidRPr="00A5122B" w:rsidRDefault="004B2FF4">
            <w:pPr>
              <w:spacing w:line="360" w:lineRule="auto"/>
              <w:rPr>
                <w:rFonts w:ascii="Arial" w:hAnsi="Arial"/>
                <w:lang w:val="la-Latn"/>
              </w:rPr>
            </w:pPr>
            <w:r w:rsidRPr="00A5122B">
              <w:rPr>
                <w:rFonts w:ascii="Arial" w:hAnsi="Arial"/>
                <w:lang w:val="la-Latn"/>
              </w:rPr>
              <w:t>Lis namque inter eos et controversia super pacta mercede. Haec fuit: </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21A7F79A" w14:textId="77777777" w:rsidR="00E46D6F" w:rsidRPr="00A5122B" w:rsidRDefault="004B2FF4">
            <w:pPr>
              <w:spacing w:line="360" w:lineRule="auto"/>
              <w:rPr>
                <w:rFonts w:ascii="Arial" w:hAnsi="Arial"/>
                <w:sz w:val="20"/>
                <w:szCs w:val="20"/>
              </w:rPr>
            </w:pPr>
            <w:r w:rsidRPr="00A5122B">
              <w:rPr>
                <w:rFonts w:ascii="Arial" w:hAnsi="Arial"/>
                <w:sz w:val="20"/>
                <w:szCs w:val="20"/>
              </w:rPr>
              <w:t>Es gab nämlich einen Streit zwischen ihnen und eine Kontroverse über einen vereinbarten Lohn. Dies ist die Geschichte:</w:t>
            </w:r>
          </w:p>
        </w:tc>
      </w:tr>
      <w:tr w:rsidR="00E46D6F" w14:paraId="58E701AF"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00354024" w14:textId="77777777" w:rsidR="00E46D6F" w:rsidRPr="00A5122B" w:rsidRDefault="004B2FF4">
            <w:pPr>
              <w:spacing w:line="360" w:lineRule="auto"/>
              <w:rPr>
                <w:rFonts w:ascii="Arial" w:hAnsi="Arial"/>
                <w:lang w:val="la-Latn"/>
              </w:rPr>
            </w:pPr>
            <w:r w:rsidRPr="00A5122B">
              <w:rPr>
                <w:rFonts w:ascii="Arial" w:hAnsi="Arial"/>
                <w:lang w:val="la-Latn"/>
              </w:rPr>
              <w:t>Euathlus, adulescens dives, eloquentiae discendae causarumque orandi cupiens fuit.</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15EA4F0A" w14:textId="063D69DD" w:rsidR="00E46D6F" w:rsidRPr="00A5122B" w:rsidRDefault="004B2FF4">
            <w:pPr>
              <w:spacing w:line="360" w:lineRule="auto"/>
              <w:rPr>
                <w:rFonts w:ascii="Arial" w:hAnsi="Arial"/>
                <w:sz w:val="20"/>
                <w:szCs w:val="20"/>
              </w:rPr>
            </w:pPr>
            <w:proofErr w:type="spellStart"/>
            <w:r w:rsidRPr="00A5122B">
              <w:rPr>
                <w:rFonts w:ascii="Arial" w:hAnsi="Arial"/>
                <w:sz w:val="20"/>
                <w:szCs w:val="20"/>
              </w:rPr>
              <w:t>Euathlos</w:t>
            </w:r>
            <w:proofErr w:type="spellEnd"/>
            <w:r w:rsidRPr="00A5122B">
              <w:rPr>
                <w:rFonts w:ascii="Arial" w:hAnsi="Arial"/>
                <w:sz w:val="20"/>
                <w:szCs w:val="20"/>
              </w:rPr>
              <w:t xml:space="preserve">, ein reicher junger Mann, wollte die Redelehre </w:t>
            </w:r>
            <w:r w:rsidR="008B71EF" w:rsidRPr="00A5122B">
              <w:rPr>
                <w:rFonts w:ascii="Arial" w:hAnsi="Arial"/>
                <w:sz w:val="20"/>
                <w:szCs w:val="20"/>
              </w:rPr>
              <w:t>und die Juristerei</w:t>
            </w:r>
            <w:r w:rsidR="008B71EF" w:rsidRPr="00A5122B">
              <w:rPr>
                <w:rFonts w:ascii="Arial" w:hAnsi="Arial"/>
                <w:sz w:val="20"/>
                <w:szCs w:val="20"/>
              </w:rPr>
              <w:t xml:space="preserve"> </w:t>
            </w:r>
            <w:r w:rsidRPr="00A5122B">
              <w:rPr>
                <w:rFonts w:ascii="Arial" w:hAnsi="Arial"/>
                <w:sz w:val="20"/>
                <w:szCs w:val="20"/>
              </w:rPr>
              <w:t>lernen.</w:t>
            </w:r>
          </w:p>
        </w:tc>
      </w:tr>
      <w:tr w:rsidR="00E46D6F" w14:paraId="467B6D44"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3138709F" w14:textId="77777777" w:rsidR="00E46D6F" w:rsidRPr="00A5122B" w:rsidRDefault="004B2FF4">
            <w:pPr>
              <w:spacing w:line="360" w:lineRule="auto"/>
              <w:rPr>
                <w:rFonts w:ascii="Arial" w:hAnsi="Arial"/>
                <w:lang w:val="la-Latn"/>
              </w:rPr>
            </w:pPr>
            <w:r w:rsidRPr="00A5122B">
              <w:rPr>
                <w:rFonts w:ascii="Arial" w:hAnsi="Arial"/>
                <w:lang w:val="la-Latn"/>
              </w:rPr>
              <w:lastRenderedPageBreak/>
              <w:t>Is in disciplinam Protagorae sese dedit daturumque promisit mercedem grandem pecuniam, quantam Protagoras petiverat, dimidiumque eius dedit iam tunc statim, priusquam disceret, pepigitque, ut relicum dimidium daret, quo primo die causam apud iudices orasset et vicisset.</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5D454BD7" w14:textId="77777777" w:rsidR="00E46D6F" w:rsidRPr="00A5122B" w:rsidRDefault="004B2FF4">
            <w:pPr>
              <w:spacing w:line="360" w:lineRule="auto"/>
              <w:rPr>
                <w:rFonts w:ascii="Arial" w:hAnsi="Arial"/>
                <w:sz w:val="20"/>
                <w:szCs w:val="20"/>
              </w:rPr>
            </w:pPr>
            <w:r w:rsidRPr="00A5122B">
              <w:rPr>
                <w:rFonts w:ascii="Arial" w:hAnsi="Arial"/>
                <w:sz w:val="20"/>
                <w:szCs w:val="20"/>
              </w:rPr>
              <w:t>Er nahm bei Protagoras Unterricht und versprach als Honorar eine erhebliche Geldsumme, so viel, wie Protagoras gefordert hatte: Die Hälfte davon gab er sogleich, bevor er den Unterricht aufnahm, und er vereinbarte mit ihm, dass er die zweite Hälfte des Honorars an dem Tag abliefern werde, an dem er in einem Prozess vor Gericht aufgetreten wäre und diesen Prozess gewonnen hätte.</w:t>
            </w:r>
          </w:p>
        </w:tc>
      </w:tr>
      <w:tr w:rsidR="00E46D6F" w14:paraId="0A7267C2"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081BB4B4" w14:textId="77777777" w:rsidR="00E46D6F" w:rsidRPr="00A5122B" w:rsidRDefault="004B2FF4">
            <w:pPr>
              <w:spacing w:line="360" w:lineRule="auto"/>
              <w:rPr>
                <w:rFonts w:ascii="Arial" w:hAnsi="Arial"/>
                <w:lang w:val="la-Latn"/>
              </w:rPr>
            </w:pPr>
            <w:r w:rsidRPr="00A5122B">
              <w:rPr>
                <w:rFonts w:ascii="Arial" w:hAnsi="Arial"/>
                <w:lang w:val="la-Latn"/>
              </w:rPr>
              <w:t>Postea cum diutule auditor adsectatorque Protagorae fuisset et in studio quidem facundiae abunde promovisset, causas tamen non reciperet tempusque iam longum transcurreret et facere id videretur, ne relicum mercedis daret, capit consilium Protagoras, ut tum existimabat, astutum:</w:t>
            </w:r>
          </w:p>
          <w:p w14:paraId="29F01F8E" w14:textId="77777777" w:rsidR="00E46D6F" w:rsidRPr="00A5122B" w:rsidRDefault="004B2FF4">
            <w:pPr>
              <w:spacing w:line="360" w:lineRule="auto"/>
              <w:rPr>
                <w:rFonts w:ascii="Arial" w:hAnsi="Arial"/>
                <w:lang w:val="la-Latn"/>
              </w:rPr>
            </w:pPr>
            <w:r w:rsidRPr="00A5122B">
              <w:rPr>
                <w:rFonts w:ascii="Arial" w:hAnsi="Arial"/>
                <w:lang w:val="la-Latn"/>
              </w:rPr>
              <w:t>Petere institit ex pacto mercedem, litem cum Euathlo contestatur. </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7BF74CF8" w14:textId="77777777" w:rsidR="00E46D6F" w:rsidRPr="00A5122B" w:rsidRDefault="004B2FF4">
            <w:pPr>
              <w:spacing w:line="360" w:lineRule="auto"/>
              <w:rPr>
                <w:rFonts w:ascii="Arial" w:hAnsi="Arial"/>
                <w:sz w:val="20"/>
                <w:szCs w:val="20"/>
              </w:rPr>
            </w:pPr>
            <w:r w:rsidRPr="00A5122B">
              <w:rPr>
                <w:rFonts w:ascii="Arial" w:hAnsi="Arial"/>
                <w:sz w:val="20"/>
                <w:szCs w:val="20"/>
              </w:rPr>
              <w:t>Als er später eine Weile als Hörer und Lernender bei Protagoras gewesen war und in der Redefähigkeit recht weit gekommen war, dennoch keinen Prozess aufnahm und schon eine lange Zeit verflossen war und es so aussah, dass er den Rest des Honorars nicht begleichen würde, da fasste Protagoras einen, wie er damals meinte, schlauen Entschluss:</w:t>
            </w:r>
          </w:p>
          <w:p w14:paraId="5950C3BF" w14:textId="77777777" w:rsidR="00E46D6F" w:rsidRPr="00A5122B" w:rsidRDefault="004B2FF4">
            <w:pPr>
              <w:spacing w:line="360" w:lineRule="auto"/>
              <w:rPr>
                <w:rFonts w:ascii="Arial" w:hAnsi="Arial"/>
                <w:sz w:val="20"/>
                <w:szCs w:val="20"/>
              </w:rPr>
            </w:pPr>
            <w:r w:rsidRPr="00A5122B">
              <w:rPr>
                <w:rFonts w:ascii="Arial" w:hAnsi="Arial"/>
                <w:sz w:val="20"/>
                <w:szCs w:val="20"/>
              </w:rPr>
              <w:t xml:space="preserve">Er beschloss, das Honorar gemäß dem Vertrag zu fordern, und ging gegen </w:t>
            </w:r>
            <w:proofErr w:type="spellStart"/>
            <w:r w:rsidRPr="00A5122B">
              <w:rPr>
                <w:rFonts w:ascii="Arial" w:hAnsi="Arial"/>
                <w:sz w:val="20"/>
                <w:szCs w:val="20"/>
              </w:rPr>
              <w:t>Euathlos</w:t>
            </w:r>
            <w:proofErr w:type="spellEnd"/>
            <w:r w:rsidRPr="00A5122B">
              <w:rPr>
                <w:rFonts w:ascii="Arial" w:hAnsi="Arial"/>
                <w:sz w:val="20"/>
                <w:szCs w:val="20"/>
              </w:rPr>
              <w:t xml:space="preserve"> vor Gericht.</w:t>
            </w:r>
          </w:p>
        </w:tc>
      </w:tr>
      <w:tr w:rsidR="00E46D6F" w14:paraId="3C7E7C67"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62032A22" w14:textId="77777777" w:rsidR="00E46D6F" w:rsidRPr="00A5122B" w:rsidRDefault="004B2FF4">
            <w:pPr>
              <w:spacing w:line="360" w:lineRule="auto"/>
              <w:rPr>
                <w:rFonts w:ascii="Arial" w:hAnsi="Arial"/>
                <w:lang w:val="la-Latn"/>
              </w:rPr>
            </w:pPr>
            <w:r w:rsidRPr="00A5122B">
              <w:rPr>
                <w:rFonts w:ascii="Arial" w:hAnsi="Arial"/>
                <w:lang w:val="la-Latn"/>
              </w:rPr>
              <w:t>Et cum ad iudices coniciendae consistendaeque causae gratia venissent, tum Protagoras sic exorsus est: </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2E743E15" w14:textId="77777777" w:rsidR="00E46D6F" w:rsidRPr="00A5122B" w:rsidRDefault="004B2FF4">
            <w:pPr>
              <w:spacing w:line="360" w:lineRule="auto"/>
              <w:rPr>
                <w:rFonts w:ascii="Arial" w:hAnsi="Arial"/>
                <w:sz w:val="20"/>
                <w:szCs w:val="20"/>
              </w:rPr>
            </w:pPr>
            <w:r w:rsidRPr="00A5122B">
              <w:rPr>
                <w:rFonts w:ascii="Arial" w:hAnsi="Arial"/>
                <w:sz w:val="20"/>
                <w:szCs w:val="20"/>
              </w:rPr>
              <w:t>Und als sie vor die Richter traten, um den Prozess zu verhandeln und entscheiden zu lassen, da sprach Protagoras folgendermaßen:</w:t>
            </w:r>
          </w:p>
        </w:tc>
      </w:tr>
      <w:tr w:rsidR="00E46D6F" w14:paraId="3FBC0592"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5B774DEA" w14:textId="77777777" w:rsidR="00E46D6F" w:rsidRPr="00A5122B" w:rsidRDefault="004B2FF4">
            <w:pPr>
              <w:spacing w:line="360" w:lineRule="auto"/>
              <w:rPr>
                <w:rFonts w:ascii="Arial" w:hAnsi="Arial"/>
                <w:lang w:val="la-Latn"/>
              </w:rPr>
            </w:pPr>
            <w:r w:rsidRPr="00A5122B">
              <w:rPr>
                <w:rFonts w:ascii="Arial" w:hAnsi="Arial"/>
                <w:lang w:val="la-Latn"/>
              </w:rPr>
              <w:t>„Disce”, inquit „stultissime adulescens, utroque id modo fore, uti reddas, quod peto, sive contra te pronuntiatum erit sive pro te.</w:t>
            </w:r>
          </w:p>
          <w:p w14:paraId="0AF4E353" w14:textId="77777777" w:rsidR="00E46D6F" w:rsidRPr="00A5122B" w:rsidRDefault="004B2FF4">
            <w:pPr>
              <w:spacing w:line="360" w:lineRule="auto"/>
              <w:rPr>
                <w:rFonts w:ascii="Arial" w:hAnsi="Arial"/>
                <w:lang w:val="la-Latn"/>
              </w:rPr>
            </w:pPr>
            <w:r w:rsidRPr="00A5122B">
              <w:rPr>
                <w:rFonts w:ascii="Arial" w:hAnsi="Arial"/>
                <w:lang w:val="la-Latn"/>
              </w:rPr>
              <w:t>Nam si contra te lis data erit, merces mihi ex sententia debebitur, quia ego vicero; sin vero secundum te iudicatum erit, merces mihi ex pacto debebitur, quia tu viceris.” </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6FC1AE68" w14:textId="77777777" w:rsidR="00E46D6F" w:rsidRPr="00A5122B" w:rsidRDefault="004B2FF4">
            <w:pPr>
              <w:spacing w:line="360" w:lineRule="auto"/>
              <w:rPr>
                <w:rFonts w:ascii="Arial" w:hAnsi="Arial"/>
                <w:sz w:val="20"/>
                <w:szCs w:val="20"/>
              </w:rPr>
            </w:pPr>
            <w:r w:rsidRPr="00A5122B">
              <w:rPr>
                <w:rFonts w:ascii="Arial" w:hAnsi="Arial"/>
                <w:sz w:val="20"/>
                <w:szCs w:val="20"/>
              </w:rPr>
              <w:t>„Nimm zur Kenntnis, dummer Junge, dass in beiden Fällen der Fall eintreten wird, dass du mir das, was ich fordere, geben musst, ganz gleich, ob man für oder gegen dich entscheiden wird.</w:t>
            </w:r>
          </w:p>
          <w:p w14:paraId="744CC204" w14:textId="77777777" w:rsidR="00E46D6F" w:rsidRPr="00A5122B" w:rsidRDefault="004B2FF4">
            <w:pPr>
              <w:spacing w:line="360" w:lineRule="auto"/>
              <w:rPr>
                <w:rFonts w:ascii="Arial" w:hAnsi="Arial"/>
                <w:sz w:val="20"/>
                <w:szCs w:val="20"/>
              </w:rPr>
            </w:pPr>
            <w:r w:rsidRPr="00A5122B">
              <w:rPr>
                <w:rFonts w:ascii="Arial" w:hAnsi="Arial"/>
                <w:sz w:val="20"/>
                <w:szCs w:val="20"/>
              </w:rPr>
              <w:t>Denn wenn der Prozess zu deinen Ungunsten ausgeht, dann steht mir das Geld nach dem Vertrag zu, weil ich gesiegt habe. Wenn aber zu deinen Gunsten entschieden wird, dann steht mir das Geld nach dem Vertrag zu, weil du gesiegt hast.“</w:t>
            </w:r>
          </w:p>
        </w:tc>
      </w:tr>
      <w:tr w:rsidR="00E46D6F" w14:paraId="19E861A8"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2B2E7E18" w14:textId="77777777" w:rsidR="00E46D6F" w:rsidRPr="00A5122B" w:rsidRDefault="004B2FF4">
            <w:pPr>
              <w:spacing w:line="360" w:lineRule="auto"/>
              <w:rPr>
                <w:rFonts w:ascii="Arial" w:hAnsi="Arial"/>
                <w:lang w:val="la-Latn"/>
              </w:rPr>
            </w:pPr>
            <w:r w:rsidRPr="00A5122B">
              <w:rPr>
                <w:rFonts w:ascii="Arial" w:hAnsi="Arial"/>
                <w:lang w:val="la-Latn"/>
              </w:rPr>
              <w:lastRenderedPageBreak/>
              <w:t>Ad ea respondit Euathlus:</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31A82035" w14:textId="77777777" w:rsidR="00E46D6F" w:rsidRPr="00A5122B" w:rsidRDefault="004B2FF4">
            <w:pPr>
              <w:spacing w:line="360" w:lineRule="auto"/>
              <w:rPr>
                <w:rFonts w:ascii="Arial" w:hAnsi="Arial"/>
                <w:sz w:val="20"/>
                <w:szCs w:val="20"/>
              </w:rPr>
            </w:pPr>
            <w:r w:rsidRPr="00A5122B">
              <w:rPr>
                <w:rFonts w:ascii="Arial" w:hAnsi="Arial"/>
                <w:sz w:val="20"/>
                <w:szCs w:val="20"/>
              </w:rPr>
              <w:t xml:space="preserve">Darauf antwortete </w:t>
            </w:r>
            <w:proofErr w:type="spellStart"/>
            <w:r w:rsidRPr="00A5122B">
              <w:rPr>
                <w:rFonts w:ascii="Arial" w:hAnsi="Arial"/>
                <w:sz w:val="20"/>
                <w:szCs w:val="20"/>
              </w:rPr>
              <w:t>Euathlos</w:t>
            </w:r>
            <w:proofErr w:type="spellEnd"/>
            <w:r w:rsidRPr="00A5122B">
              <w:rPr>
                <w:rFonts w:ascii="Arial" w:hAnsi="Arial"/>
                <w:sz w:val="20"/>
                <w:szCs w:val="20"/>
              </w:rPr>
              <w:t>:</w:t>
            </w:r>
          </w:p>
        </w:tc>
      </w:tr>
      <w:tr w:rsidR="00E46D6F" w14:paraId="4B9A444F"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02F719B1" w14:textId="77777777" w:rsidR="00E46D6F" w:rsidRPr="00A5122B" w:rsidRDefault="004B2FF4">
            <w:pPr>
              <w:spacing w:line="360" w:lineRule="auto"/>
              <w:rPr>
                <w:rFonts w:ascii="Arial" w:hAnsi="Arial"/>
                <w:lang w:val="la-Latn"/>
              </w:rPr>
            </w:pPr>
            <w:r w:rsidRPr="00A5122B">
              <w:rPr>
                <w:rFonts w:ascii="Arial" w:hAnsi="Arial"/>
                <w:lang w:val="la-Latn"/>
              </w:rPr>
              <w:t>„Potui”, inquit „huic tuae tam ancipiti captioni isse obviam, si verba non ipse facerem atque alio patrono uterer.</w:t>
            </w:r>
          </w:p>
          <w:p w14:paraId="5CA13C7E" w14:textId="77777777" w:rsidR="00E46D6F" w:rsidRPr="00A5122B" w:rsidRDefault="004B2FF4">
            <w:pPr>
              <w:spacing w:line="360" w:lineRule="auto"/>
              <w:rPr>
                <w:rFonts w:ascii="Arial" w:hAnsi="Arial"/>
                <w:lang w:val="la-Latn"/>
              </w:rPr>
            </w:pPr>
            <w:r w:rsidRPr="00A5122B">
              <w:rPr>
                <w:rFonts w:ascii="Arial" w:hAnsi="Arial"/>
                <w:lang w:val="la-Latn"/>
              </w:rPr>
              <w:t>Sed maius mihi in ista victoria prolubium est, cum te non in causa tantum, sed in argumento quoque isto vinco.</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309A9986" w14:textId="77777777" w:rsidR="00E46D6F" w:rsidRPr="00A5122B" w:rsidRDefault="004B2FF4">
            <w:pPr>
              <w:spacing w:line="360" w:lineRule="auto"/>
              <w:rPr>
                <w:rFonts w:ascii="Arial" w:hAnsi="Arial"/>
                <w:sz w:val="20"/>
                <w:szCs w:val="20"/>
              </w:rPr>
            </w:pPr>
            <w:r w:rsidRPr="00A5122B">
              <w:rPr>
                <w:rFonts w:ascii="Arial" w:hAnsi="Arial"/>
                <w:sz w:val="20"/>
                <w:szCs w:val="20"/>
              </w:rPr>
              <w:t>„Ich hätte deinem derart doppeldeutigen Trugschluss entgegentreten können, indem ich nicht selbst hier vorgetragen hätte, sondern mich der Dienste eines Anwalts bedient hätte.</w:t>
            </w:r>
          </w:p>
          <w:p w14:paraId="36007BCD" w14:textId="77777777" w:rsidR="00E46D6F" w:rsidRPr="00A5122B" w:rsidRDefault="004B2FF4">
            <w:pPr>
              <w:spacing w:line="360" w:lineRule="auto"/>
              <w:rPr>
                <w:rFonts w:ascii="Arial" w:hAnsi="Arial"/>
                <w:sz w:val="20"/>
                <w:szCs w:val="20"/>
              </w:rPr>
            </w:pPr>
            <w:r w:rsidRPr="00A5122B">
              <w:rPr>
                <w:rFonts w:ascii="Arial" w:hAnsi="Arial"/>
                <w:sz w:val="20"/>
                <w:szCs w:val="20"/>
              </w:rPr>
              <w:t>Aber ich habe größeren Spaß an diesem Sieg, wenn ich dich nicht nur im Prozess, sondern auch im Argumentationsgang besiege.</w:t>
            </w:r>
          </w:p>
        </w:tc>
      </w:tr>
      <w:tr w:rsidR="00E46D6F" w14:paraId="6C138A59"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783B668F" w14:textId="77777777" w:rsidR="00E46D6F" w:rsidRPr="00A5122B" w:rsidRDefault="004B2FF4">
            <w:pPr>
              <w:spacing w:line="360" w:lineRule="auto"/>
              <w:rPr>
                <w:rFonts w:ascii="Arial" w:hAnsi="Arial"/>
                <w:lang w:val="la-Latn"/>
              </w:rPr>
            </w:pPr>
            <w:r w:rsidRPr="00A5122B">
              <w:rPr>
                <w:rFonts w:ascii="Arial" w:hAnsi="Arial"/>
                <w:lang w:val="la-Latn"/>
              </w:rPr>
              <w:t>Disce igitur tu quoque, magister sapientissime, utroque modo fore, uti non reddam, quod petis, sive contra me pronuntiatum fuerit sive pro me. Nam si iudices pro causa mea senserint, nihil tibi ex sententia debebitur, quia ego vicero; sin contra me pronuntiaverint, nihil tibi ex pacto debebo, quia non vicero.” </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19DA7051" w14:textId="77777777" w:rsidR="00E46D6F" w:rsidRPr="00A5122B" w:rsidRDefault="004B2FF4">
            <w:pPr>
              <w:spacing w:line="360" w:lineRule="auto"/>
              <w:rPr>
                <w:rFonts w:ascii="Arial" w:hAnsi="Arial"/>
                <w:sz w:val="20"/>
                <w:szCs w:val="20"/>
              </w:rPr>
            </w:pPr>
            <w:r w:rsidRPr="00A5122B">
              <w:rPr>
                <w:rFonts w:ascii="Arial" w:hAnsi="Arial"/>
                <w:sz w:val="20"/>
                <w:szCs w:val="20"/>
              </w:rPr>
              <w:t>Nimm daher zur Kenntnis, weisester Lehrer, dass in beiden Fällen der Fall eintreten wird, dass ich dir das Geforderte nicht zurückgebe, ganz gleich, ob der Prozess gegen oder für mich ausgeht. Denn wenn die Richter in meinem Sinne entscheiden, dann schulde ich dir aufgrund des Gerichtsurteils nichts, weil ich gesiegt haben werde. Wenn sie aber gegen mich entscheiden, dann werde ich dir gemäß dem Vertrag nichts schulden, weil ich nicht gesiegt haben werde.“</w:t>
            </w:r>
          </w:p>
        </w:tc>
      </w:tr>
      <w:tr w:rsidR="00E46D6F" w14:paraId="500EBF70"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44AF57A4" w14:textId="77777777" w:rsidR="00E46D6F" w:rsidRPr="00A5122B" w:rsidRDefault="004B2FF4">
            <w:pPr>
              <w:spacing w:line="360" w:lineRule="auto"/>
              <w:rPr>
                <w:rFonts w:ascii="Arial" w:hAnsi="Arial"/>
                <w:lang w:val="la-Latn"/>
              </w:rPr>
            </w:pPr>
            <w:r w:rsidRPr="00A5122B">
              <w:rPr>
                <w:rFonts w:ascii="Arial" w:hAnsi="Arial"/>
                <w:lang w:val="la-Latn"/>
              </w:rPr>
              <w:t>Tum iudices dubiosum hoc inexplicabileque esse, quod utrimque dicebatur, rati, ne sententia sua, utramcumque in partem dicta esset, ipsa sese rescinderet, rem iniudicatam reliquerunt causamque in diem longissimam distulerunt.</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15C20A38" w14:textId="77777777" w:rsidR="00E46D6F" w:rsidRPr="00A5122B" w:rsidRDefault="004B2FF4">
            <w:pPr>
              <w:spacing w:line="360" w:lineRule="auto"/>
              <w:rPr>
                <w:rFonts w:ascii="Arial" w:hAnsi="Arial"/>
                <w:sz w:val="20"/>
                <w:szCs w:val="20"/>
              </w:rPr>
            </w:pPr>
            <w:r w:rsidRPr="00A5122B">
              <w:rPr>
                <w:rFonts w:ascii="Arial" w:hAnsi="Arial"/>
                <w:sz w:val="20"/>
                <w:szCs w:val="20"/>
              </w:rPr>
              <w:t>Da meinten die Richter, dass das, was von beiden Seiten vorgetragen wurde, ein Zweifelsfall und unerklärlich sei, und damit ihr Urteil, ganz gleich, in wessen Sinne sie entschieden, sich nicht selbst widerspräche, ließen sie die Sache unentschieden und vertagten den Fall auf unbestimmte Zeit.</w:t>
            </w:r>
          </w:p>
        </w:tc>
      </w:tr>
      <w:tr w:rsidR="00E46D6F" w14:paraId="5F146BE8" w14:textId="77777777">
        <w:trPr>
          <w:cantSplit/>
        </w:trPr>
        <w:tc>
          <w:tcPr>
            <w:tcW w:w="5269" w:type="dxa"/>
            <w:tcBorders>
              <w:left w:val="single" w:sz="2" w:space="0" w:color="666666"/>
              <w:bottom w:val="single" w:sz="2" w:space="0" w:color="666666"/>
            </w:tcBorders>
            <w:tcMar>
              <w:top w:w="113" w:type="dxa"/>
              <w:left w:w="113" w:type="dxa"/>
              <w:bottom w:w="113" w:type="dxa"/>
              <w:right w:w="113" w:type="dxa"/>
            </w:tcMar>
            <w:vAlign w:val="center"/>
          </w:tcPr>
          <w:p w14:paraId="60D31543" w14:textId="77777777" w:rsidR="00E46D6F" w:rsidRPr="00A5122B" w:rsidRDefault="004B2FF4">
            <w:pPr>
              <w:spacing w:line="360" w:lineRule="auto"/>
              <w:rPr>
                <w:rFonts w:ascii="Arial" w:hAnsi="Arial"/>
                <w:lang w:val="la-Latn"/>
              </w:rPr>
            </w:pPr>
            <w:r w:rsidRPr="00A5122B">
              <w:rPr>
                <w:rFonts w:ascii="Arial" w:hAnsi="Arial"/>
                <w:lang w:val="la-Latn"/>
              </w:rPr>
              <w:t>Sic ab adulescente discipulo magister eloquentiae inclutus suo sibi argumento confutatus est et captionis versute excogitatae frustratus fuit.</w:t>
            </w:r>
          </w:p>
        </w:tc>
        <w:tc>
          <w:tcPr>
            <w:tcW w:w="4713" w:type="dxa"/>
            <w:tcBorders>
              <w:left w:val="single" w:sz="2" w:space="0" w:color="666666"/>
              <w:bottom w:val="single" w:sz="2" w:space="0" w:color="666666"/>
              <w:right w:val="single" w:sz="2" w:space="0" w:color="666666"/>
            </w:tcBorders>
            <w:tcMar>
              <w:top w:w="113" w:type="dxa"/>
              <w:left w:w="113" w:type="dxa"/>
              <w:bottom w:w="113" w:type="dxa"/>
              <w:right w:w="113" w:type="dxa"/>
            </w:tcMar>
            <w:vAlign w:val="center"/>
          </w:tcPr>
          <w:p w14:paraId="1CE3828F" w14:textId="77777777" w:rsidR="00E46D6F" w:rsidRPr="00A5122B" w:rsidRDefault="004B2FF4">
            <w:pPr>
              <w:spacing w:line="360" w:lineRule="auto"/>
              <w:rPr>
                <w:rFonts w:ascii="Arial" w:hAnsi="Arial"/>
                <w:sz w:val="20"/>
                <w:szCs w:val="20"/>
              </w:rPr>
            </w:pPr>
            <w:r w:rsidRPr="00A5122B">
              <w:rPr>
                <w:rFonts w:ascii="Arial" w:hAnsi="Arial"/>
                <w:sz w:val="20"/>
                <w:szCs w:val="20"/>
              </w:rPr>
              <w:t>So wurde der berühmte Redelehrer von einem jugendlichen Schüler durch seine eigene Argumentation widerlegt und durch einen schlau ausgedachten Trugschluss in die Irre geführt.</w:t>
            </w:r>
          </w:p>
        </w:tc>
      </w:tr>
    </w:tbl>
    <w:p w14:paraId="3B855280" w14:textId="40715893" w:rsidR="00AA692A" w:rsidRDefault="00852EE9" w:rsidP="00852EE9">
      <w:pPr>
        <w:suppressAutoHyphens w:val="0"/>
        <w:autoSpaceDN/>
        <w:spacing w:before="113" w:after="142" w:line="276" w:lineRule="auto"/>
        <w:textAlignment w:val="auto"/>
        <w:rPr>
          <w:rFonts w:ascii="Times New Roman" w:eastAsia="Times New Roman" w:hAnsi="Times New Roman" w:cs="Times New Roman"/>
          <w:kern w:val="0"/>
          <w:lang w:eastAsia="de-DE" w:bidi="ar-SA"/>
        </w:rPr>
      </w:pPr>
      <w:r w:rsidRPr="00852EE9">
        <w:rPr>
          <w:rFonts w:ascii="Times New Roman" w:eastAsia="Times New Roman" w:hAnsi="Times New Roman" w:cs="Times New Roman"/>
          <w:kern w:val="0"/>
          <w:lang w:eastAsia="de-DE" w:bidi="ar-SA"/>
        </w:rPr>
        <w:t>Übersetzer: Tilman Bechthold-Hengelhaupt</w:t>
      </w:r>
    </w:p>
    <w:p w14:paraId="575FDF62" w14:textId="77777777" w:rsidR="00AA692A" w:rsidRDefault="00AA692A">
      <w:pPr>
        <w:rPr>
          <w:rFonts w:ascii="Times New Roman" w:eastAsia="Times New Roman" w:hAnsi="Times New Roman" w:cs="Times New Roman"/>
          <w:kern w:val="0"/>
          <w:lang w:eastAsia="de-DE" w:bidi="ar-SA"/>
        </w:rPr>
      </w:pPr>
      <w:r>
        <w:rPr>
          <w:rFonts w:ascii="Times New Roman" w:eastAsia="Times New Roman" w:hAnsi="Times New Roman" w:cs="Times New Roman"/>
          <w:kern w:val="0"/>
          <w:lang w:eastAsia="de-DE" w:bidi="ar-SA"/>
        </w:rPr>
        <w:br w:type="page"/>
      </w:r>
    </w:p>
    <w:p w14:paraId="2D7C99D2" w14:textId="090D254C" w:rsidR="00E46D6F" w:rsidRDefault="004B2FF4">
      <w:pPr>
        <w:pStyle w:val="berschrift1"/>
      </w:pPr>
      <w:r>
        <w:lastRenderedPageBreak/>
        <w:t>Fragen zur Bearbeitung und Diskussion</w:t>
      </w:r>
    </w:p>
    <w:p w14:paraId="460834D6" w14:textId="241006D5" w:rsidR="000463EC" w:rsidRPr="008B71EF" w:rsidRDefault="004B2FF4" w:rsidP="000463EC">
      <w:pPr>
        <w:pStyle w:val="Textbodyuser"/>
        <w:numPr>
          <w:ilvl w:val="0"/>
          <w:numId w:val="3"/>
        </w:numPr>
        <w:spacing w:after="0"/>
        <w:jc w:val="both"/>
        <w:rPr>
          <w:sz w:val="22"/>
          <w:szCs w:val="22"/>
        </w:rPr>
      </w:pPr>
      <w:r w:rsidRPr="008B71EF">
        <w:rPr>
          <w:rFonts w:cs="Liberation Serif"/>
          <w:sz w:val="22"/>
          <w:szCs w:val="22"/>
        </w:rPr>
        <w:t xml:space="preserve">Informieren Sie sich, was man unter einem Paradox versteht. </w:t>
      </w:r>
      <w:r w:rsidRPr="008B71EF">
        <w:rPr>
          <w:rStyle w:val="showbody"/>
          <w:rFonts w:cs="Liberation Serif"/>
          <w:sz w:val="22"/>
          <w:szCs w:val="22"/>
          <w:lang w:eastAsia="de-DE" w:bidi="ar-SA"/>
        </w:rPr>
        <w:t xml:space="preserve">Sie können z. B. in Metzlers Philosophielexikon unter dem Eintrag </w:t>
      </w:r>
      <w:hyperlink r:id="rId7" w:history="1">
        <w:r w:rsidRPr="008B71EF">
          <w:rPr>
            <w:rStyle w:val="Hyperlink"/>
            <w:sz w:val="22"/>
            <w:szCs w:val="22"/>
          </w:rPr>
          <w:t>Paradox</w:t>
        </w:r>
        <w:r w:rsidRPr="008B71EF">
          <w:rPr>
            <w:rStyle w:val="Internetlink"/>
            <w:rFonts w:cs="Liberation Serif"/>
            <w:sz w:val="22"/>
            <w:szCs w:val="22"/>
            <w:lang w:eastAsia="de-DE" w:bidi="ar-SA"/>
          </w:rPr>
          <w:t xml:space="preserve"> </w:t>
        </w:r>
      </w:hyperlink>
      <w:r w:rsidRPr="008B71EF">
        <w:rPr>
          <w:rStyle w:val="Funotenzeichen"/>
          <w:rFonts w:cs="Liberation Serif"/>
          <w:sz w:val="22"/>
          <w:szCs w:val="22"/>
          <w:lang w:eastAsia="de-DE" w:bidi="ar-SA"/>
        </w:rPr>
        <w:footnoteReference w:id="1"/>
      </w:r>
      <w:r w:rsidRPr="008B71EF">
        <w:rPr>
          <w:rStyle w:val="showbody"/>
          <w:rFonts w:cs="Liberation Serif"/>
          <w:sz w:val="22"/>
          <w:szCs w:val="22"/>
          <w:lang w:eastAsia="de-DE" w:bidi="ar-SA"/>
        </w:rPr>
        <w:t xml:space="preserve"> nachschauen.</w:t>
      </w:r>
      <w:r w:rsidR="000463EC" w:rsidRPr="008B71EF">
        <w:rPr>
          <w:rStyle w:val="showbody"/>
          <w:rFonts w:cs="Liberation Serif"/>
          <w:sz w:val="22"/>
          <w:szCs w:val="22"/>
          <w:lang w:eastAsia="de-DE" w:bidi="ar-SA"/>
        </w:rPr>
        <w:t xml:space="preserve"> </w:t>
      </w:r>
      <w:r w:rsidR="008B71EF" w:rsidRPr="008B71EF">
        <w:rPr>
          <w:rStyle w:val="showbody"/>
          <w:sz w:val="22"/>
          <w:szCs w:val="22"/>
        </w:rPr>
        <w:t>Das Stilmittel des Paradox wird auch in der erläutert.</w:t>
      </w:r>
    </w:p>
    <w:p w14:paraId="656C1956" w14:textId="77777777" w:rsidR="00E46D6F" w:rsidRPr="00AA692A" w:rsidRDefault="004B2FF4">
      <w:pPr>
        <w:pStyle w:val="Textbodyuser"/>
        <w:numPr>
          <w:ilvl w:val="0"/>
          <w:numId w:val="3"/>
        </w:numPr>
        <w:spacing w:after="0" w:line="276" w:lineRule="auto"/>
        <w:jc w:val="both"/>
        <w:rPr>
          <w:sz w:val="22"/>
          <w:szCs w:val="22"/>
        </w:rPr>
      </w:pPr>
      <w:r w:rsidRPr="00AA692A">
        <w:rPr>
          <w:sz w:val="22"/>
          <w:szCs w:val="22"/>
        </w:rPr>
        <w:t>Erklären Sie in wenigen Worten, worin in dieser Geschichte das Paradox besteht.</w:t>
      </w:r>
    </w:p>
    <w:p w14:paraId="7F14E2DD" w14:textId="77777777" w:rsidR="00E46D6F" w:rsidRPr="00AA692A" w:rsidRDefault="004B2FF4">
      <w:pPr>
        <w:pStyle w:val="Textbodyuser"/>
        <w:numPr>
          <w:ilvl w:val="0"/>
          <w:numId w:val="3"/>
        </w:numPr>
        <w:spacing w:line="276" w:lineRule="auto"/>
        <w:jc w:val="both"/>
        <w:rPr>
          <w:sz w:val="22"/>
          <w:szCs w:val="22"/>
        </w:rPr>
      </w:pPr>
      <w:r w:rsidRPr="00AA692A">
        <w:rPr>
          <w:sz w:val="22"/>
          <w:szCs w:val="22"/>
        </w:rPr>
        <w:t xml:space="preserve">Eine vorgeschlagene Lösung lautet: Die Richter hätten </w:t>
      </w:r>
      <w:proofErr w:type="spellStart"/>
      <w:r w:rsidRPr="00AA692A">
        <w:rPr>
          <w:sz w:val="22"/>
          <w:szCs w:val="22"/>
        </w:rPr>
        <w:t>Euathlos</w:t>
      </w:r>
      <w:proofErr w:type="spellEnd"/>
      <w:r w:rsidRPr="00AA692A">
        <w:rPr>
          <w:sz w:val="22"/>
          <w:szCs w:val="22"/>
        </w:rPr>
        <w:t xml:space="preserve"> gewinnen lassen sollen, da er ja bis dahin noch keinen Prozess gewonnen hatte. In einem zweiten Prozess, den Protagoras dann hätte anstrengen müssen, hätte dieser gewonnen, da </w:t>
      </w:r>
      <w:proofErr w:type="spellStart"/>
      <w:r w:rsidRPr="00AA692A">
        <w:rPr>
          <w:sz w:val="22"/>
          <w:szCs w:val="22"/>
        </w:rPr>
        <w:t>Euathlos</w:t>
      </w:r>
      <w:proofErr w:type="spellEnd"/>
      <w:r w:rsidRPr="00AA692A">
        <w:rPr>
          <w:sz w:val="22"/>
          <w:szCs w:val="22"/>
        </w:rPr>
        <w:t xml:space="preserve"> ja zuvor einen Prozess (nämlich den ersten) gewonnen hatte. Was meinen Sie?</w:t>
      </w:r>
    </w:p>
    <w:p w14:paraId="5F502455" w14:textId="77777777" w:rsidR="00E46D6F" w:rsidRPr="00AA692A" w:rsidRDefault="004B2FF4">
      <w:pPr>
        <w:pStyle w:val="Textbodyuser"/>
        <w:numPr>
          <w:ilvl w:val="0"/>
          <w:numId w:val="3"/>
        </w:numPr>
        <w:spacing w:after="0" w:line="276" w:lineRule="auto"/>
        <w:jc w:val="both"/>
        <w:rPr>
          <w:sz w:val="22"/>
          <w:szCs w:val="22"/>
        </w:rPr>
      </w:pPr>
      <w:r w:rsidRPr="00AA692A">
        <w:rPr>
          <w:sz w:val="22"/>
          <w:szCs w:val="22"/>
        </w:rPr>
        <w:t>Zur Sprache:</w:t>
      </w:r>
    </w:p>
    <w:p w14:paraId="208EA806" w14:textId="77777777" w:rsidR="00E46D6F" w:rsidRPr="00AA692A" w:rsidRDefault="004B2FF4">
      <w:pPr>
        <w:pStyle w:val="Textbodyuser"/>
        <w:spacing w:after="0" w:line="276" w:lineRule="auto"/>
        <w:ind w:left="1134"/>
        <w:jc w:val="both"/>
        <w:rPr>
          <w:sz w:val="22"/>
          <w:szCs w:val="22"/>
        </w:rPr>
      </w:pPr>
      <w:r w:rsidRPr="00AA692A">
        <w:rPr>
          <w:sz w:val="22"/>
          <w:szCs w:val="22"/>
        </w:rPr>
        <w:t>a. An mehreren Stellen kommt das Futur II vor. Suchen Sie diese Stellen im lateinischen Text heraus und erklären Sie, warum es hier verwendet wird.</w:t>
      </w:r>
    </w:p>
    <w:p w14:paraId="1BD0AB2D" w14:textId="77777777" w:rsidR="00E46D6F" w:rsidRPr="00AA692A" w:rsidRDefault="004B2FF4">
      <w:pPr>
        <w:pStyle w:val="Textbodyuser"/>
        <w:spacing w:after="0" w:line="276" w:lineRule="auto"/>
        <w:ind w:left="1134"/>
        <w:jc w:val="both"/>
        <w:rPr>
          <w:sz w:val="22"/>
          <w:szCs w:val="22"/>
        </w:rPr>
      </w:pPr>
      <w:r w:rsidRPr="00AA692A">
        <w:rPr>
          <w:sz w:val="22"/>
          <w:szCs w:val="22"/>
        </w:rPr>
        <w:t>b. Untersuchen Sie, wie die beiden Kontrahenten miteinander umgehen, d. h. ob Sie sich gegenseitig respektvoll oder mit Schimpfwörtern ansprechen. Prüfen Sie bei möglichen respektvollen Anreden, ob Ironie oder Sarkasmus vorliegen können.</w:t>
      </w:r>
      <w:r w:rsidRPr="00AA692A">
        <w:rPr>
          <w:rStyle w:val="Funotenzeichen"/>
          <w:sz w:val="22"/>
          <w:szCs w:val="22"/>
        </w:rPr>
        <w:footnoteReference w:id="2"/>
      </w:r>
      <w:r w:rsidRPr="00AA692A">
        <w:rPr>
          <w:sz w:val="22"/>
          <w:szCs w:val="22"/>
        </w:rPr>
        <w:t xml:space="preserve"> Belegen Sie Ihre Befunde am lateinischen Text.</w:t>
      </w:r>
    </w:p>
    <w:p w14:paraId="2F438B48" w14:textId="77777777" w:rsidR="00E46D6F" w:rsidRPr="00AA692A" w:rsidRDefault="004B2FF4">
      <w:pPr>
        <w:pStyle w:val="Textbodyuser"/>
        <w:numPr>
          <w:ilvl w:val="0"/>
          <w:numId w:val="3"/>
        </w:numPr>
        <w:spacing w:after="0" w:line="276" w:lineRule="auto"/>
        <w:jc w:val="both"/>
        <w:rPr>
          <w:sz w:val="22"/>
          <w:szCs w:val="22"/>
        </w:rPr>
      </w:pPr>
      <w:r w:rsidRPr="00AA692A">
        <w:rPr>
          <w:sz w:val="22"/>
          <w:szCs w:val="22"/>
        </w:rPr>
        <w:t>Arbeiten Sie am Text heraus, was für ein Bild von den Sophisten in dieser Anekdote gezeichnet wird.</w:t>
      </w:r>
    </w:p>
    <w:p w14:paraId="4D4309E5" w14:textId="77777777" w:rsidR="00E46D6F" w:rsidRPr="00AA692A" w:rsidRDefault="004B2FF4">
      <w:pPr>
        <w:pStyle w:val="Textbodyuser"/>
        <w:numPr>
          <w:ilvl w:val="0"/>
          <w:numId w:val="3"/>
        </w:numPr>
        <w:spacing w:after="0" w:line="276" w:lineRule="auto"/>
        <w:jc w:val="both"/>
        <w:rPr>
          <w:sz w:val="22"/>
          <w:szCs w:val="22"/>
        </w:rPr>
      </w:pPr>
      <w:r w:rsidRPr="00AA692A">
        <w:rPr>
          <w:sz w:val="22"/>
          <w:szCs w:val="22"/>
        </w:rPr>
        <w:t>Prüfen Sie, ob man diesen Text der Textsorte der Anekdote zurechnen kann. Recherchieren Sie dafür die Merkmale einer Anekdote.</w:t>
      </w:r>
    </w:p>
    <w:p w14:paraId="1FDF6DA3" w14:textId="77777777" w:rsidR="00E46D6F" w:rsidRDefault="004B2FF4">
      <w:pPr>
        <w:pStyle w:val="berschrift1"/>
      </w:pPr>
      <w:r>
        <w:t>Tipps zum Weiterlesen</w:t>
      </w:r>
    </w:p>
    <w:p w14:paraId="597DB8B7" w14:textId="77777777" w:rsidR="00E46D6F" w:rsidRPr="00AA692A" w:rsidRDefault="004B2FF4">
      <w:pPr>
        <w:pStyle w:val="StandardWeb"/>
        <w:rPr>
          <w:rFonts w:ascii="Times New Roman" w:hAnsi="Times New Roman"/>
          <w:sz w:val="22"/>
          <w:szCs w:val="22"/>
        </w:rPr>
      </w:pPr>
      <w:r w:rsidRPr="00AA692A">
        <w:rPr>
          <w:rFonts w:ascii="Times New Roman" w:hAnsi="Times New Roman"/>
          <w:sz w:val="22"/>
          <w:szCs w:val="22"/>
        </w:rPr>
        <w:t xml:space="preserve">Das Paradox des </w:t>
      </w:r>
      <w:proofErr w:type="spellStart"/>
      <w:r w:rsidRPr="00AA692A">
        <w:rPr>
          <w:rFonts w:ascii="Times New Roman" w:hAnsi="Times New Roman"/>
          <w:sz w:val="22"/>
          <w:szCs w:val="22"/>
        </w:rPr>
        <w:t>Euathlos</w:t>
      </w:r>
      <w:proofErr w:type="spellEnd"/>
      <w:r w:rsidRPr="00AA692A">
        <w:rPr>
          <w:rFonts w:ascii="Times New Roman" w:hAnsi="Times New Roman"/>
          <w:sz w:val="22"/>
          <w:szCs w:val="22"/>
        </w:rPr>
        <w:t xml:space="preserve"> beschäftigt Philosophinnen und Philosophen bis heute. Beispiele:</w:t>
      </w:r>
    </w:p>
    <w:p w14:paraId="47242EA7" w14:textId="77777777" w:rsidR="00E46D6F" w:rsidRPr="00AA692A" w:rsidRDefault="004B2FF4" w:rsidP="00AA692A">
      <w:pPr>
        <w:numPr>
          <w:ilvl w:val="0"/>
          <w:numId w:val="4"/>
        </w:numPr>
        <w:tabs>
          <w:tab w:val="left" w:pos="1440"/>
        </w:tabs>
        <w:spacing w:before="100" w:after="100"/>
        <w:textAlignment w:val="auto"/>
        <w:rPr>
          <w:sz w:val="22"/>
          <w:szCs w:val="22"/>
          <w:lang w:val="en-GB"/>
        </w:rPr>
      </w:pPr>
      <w:r w:rsidRPr="00AA692A">
        <w:rPr>
          <w:sz w:val="22"/>
          <w:szCs w:val="22"/>
          <w:lang w:val="en-GB"/>
        </w:rPr>
        <w:t xml:space="preserve">Anton </w:t>
      </w:r>
      <w:proofErr w:type="spellStart"/>
      <w:r w:rsidRPr="00AA692A">
        <w:rPr>
          <w:sz w:val="22"/>
          <w:szCs w:val="22"/>
          <w:lang w:val="en-GB"/>
        </w:rPr>
        <w:t>Zamorev</w:t>
      </w:r>
      <w:proofErr w:type="spellEnd"/>
      <w:r w:rsidRPr="00AA692A">
        <w:rPr>
          <w:sz w:val="22"/>
          <w:szCs w:val="22"/>
          <w:lang w:val="en-GB"/>
        </w:rPr>
        <w:t xml:space="preserve">, Alexander </w:t>
      </w:r>
      <w:proofErr w:type="spellStart"/>
      <w:r w:rsidRPr="00AA692A">
        <w:rPr>
          <w:sz w:val="22"/>
          <w:szCs w:val="22"/>
          <w:lang w:val="en-GB"/>
        </w:rPr>
        <w:t>Fedyukovsky</w:t>
      </w:r>
      <w:proofErr w:type="spellEnd"/>
      <w:r w:rsidRPr="00AA692A">
        <w:rPr>
          <w:sz w:val="22"/>
          <w:szCs w:val="22"/>
          <w:lang w:val="en-GB"/>
        </w:rPr>
        <w:t xml:space="preserve"> (2020): </w:t>
      </w:r>
      <w:proofErr w:type="spellStart"/>
      <w:r w:rsidRPr="00AA692A">
        <w:rPr>
          <w:sz w:val="22"/>
          <w:szCs w:val="22"/>
          <w:lang w:val="en-GB"/>
        </w:rPr>
        <w:t>Euathlus</w:t>
      </w:r>
      <w:proofErr w:type="spellEnd"/>
      <w:r w:rsidRPr="00AA692A">
        <w:rPr>
          <w:sz w:val="22"/>
          <w:szCs w:val="22"/>
          <w:lang w:val="en-GB"/>
        </w:rPr>
        <w:t xml:space="preserve"> and Crocodile paradoxes: dialectic solution’s </w:t>
      </w:r>
      <w:r w:rsidRPr="00AA692A">
        <w:rPr>
          <w:rFonts w:cs="Liberation Serif"/>
          <w:sz w:val="22"/>
          <w:szCs w:val="22"/>
          <w:lang w:val="en-GB"/>
        </w:rPr>
        <w:t xml:space="preserve">advantages, </w:t>
      </w:r>
      <w:hyperlink r:id="rId8" w:history="1">
        <w:r w:rsidRPr="00AA692A">
          <w:rPr>
            <w:rStyle w:val="Internetlink"/>
            <w:rFonts w:cs="Liberation Serif"/>
            <w:color w:val="0000FF"/>
            <w:sz w:val="22"/>
            <w:szCs w:val="22"/>
            <w:lang w:val="en-GB" w:eastAsia="de-DE" w:bidi="ar-SA"/>
          </w:rPr>
          <w:t>E3S Web of Conferences</w:t>
        </w:r>
      </w:hyperlink>
      <w:r w:rsidRPr="00AA692A">
        <w:rPr>
          <w:sz w:val="22"/>
          <w:szCs w:val="22"/>
          <w:lang w:val="en-GB"/>
        </w:rPr>
        <w:t xml:space="preserve"> </w:t>
      </w:r>
      <w:r w:rsidRPr="00AA692A">
        <w:rPr>
          <w:rStyle w:val="Funotenzeichen"/>
          <w:rFonts w:ascii="Calibri" w:hAnsi="Calibri"/>
          <w:sz w:val="22"/>
          <w:szCs w:val="22"/>
          <w:lang w:val="en-GB" w:eastAsia="de-DE" w:bidi="ar-SA"/>
        </w:rPr>
        <w:footnoteReference w:id="3"/>
      </w:r>
    </w:p>
    <w:p w14:paraId="521EA544" w14:textId="77777777" w:rsidR="00E46D6F" w:rsidRPr="00AA692A" w:rsidRDefault="004B2FF4" w:rsidP="00AA692A">
      <w:pPr>
        <w:numPr>
          <w:ilvl w:val="0"/>
          <w:numId w:val="4"/>
        </w:numPr>
        <w:tabs>
          <w:tab w:val="left" w:pos="1440"/>
        </w:tabs>
        <w:spacing w:before="100" w:after="100"/>
        <w:ind w:left="720" w:hanging="360"/>
        <w:textAlignment w:val="auto"/>
        <w:rPr>
          <w:sz w:val="22"/>
          <w:szCs w:val="22"/>
        </w:rPr>
      </w:pPr>
      <w:r w:rsidRPr="00AA692A">
        <w:rPr>
          <w:sz w:val="22"/>
          <w:szCs w:val="22"/>
        </w:rPr>
        <w:t xml:space="preserve">Das Problem des </w:t>
      </w:r>
      <w:r w:rsidRPr="00AA692A">
        <w:rPr>
          <w:rFonts w:cs="Liberation Serif"/>
          <w:sz w:val="22"/>
          <w:szCs w:val="22"/>
        </w:rPr>
        <w:t xml:space="preserve">Protagoras (Norbert Tholen, </w:t>
      </w:r>
      <w:hyperlink r:id="rId9" w:history="1">
        <w:r w:rsidRPr="00AA692A">
          <w:rPr>
            <w:rStyle w:val="Internetlink"/>
            <w:rFonts w:cs="Liberation Serif"/>
            <w:color w:val="0000FF"/>
            <w:sz w:val="22"/>
            <w:szCs w:val="22"/>
            <w:lang w:eastAsia="de-DE" w:bidi="ar-SA"/>
          </w:rPr>
          <w:t>Blog also42</w:t>
        </w:r>
      </w:hyperlink>
      <w:r w:rsidRPr="00AA692A">
        <w:rPr>
          <w:sz w:val="22"/>
          <w:szCs w:val="22"/>
        </w:rPr>
        <w:t>)</w:t>
      </w:r>
      <w:r w:rsidRPr="00AA692A">
        <w:rPr>
          <w:rStyle w:val="Funotenzeichen"/>
          <w:rFonts w:ascii="Calibri" w:hAnsi="Calibri"/>
          <w:sz w:val="22"/>
          <w:szCs w:val="22"/>
          <w:lang w:eastAsia="de-DE" w:bidi="ar-SA"/>
        </w:rPr>
        <w:footnoteReference w:id="4"/>
      </w:r>
    </w:p>
    <w:p w14:paraId="7CB7116B" w14:textId="77777777" w:rsidR="00E46D6F" w:rsidRPr="00AA692A" w:rsidRDefault="004B2FF4" w:rsidP="00AA692A">
      <w:pPr>
        <w:numPr>
          <w:ilvl w:val="0"/>
          <w:numId w:val="4"/>
        </w:numPr>
        <w:tabs>
          <w:tab w:val="left" w:pos="1440"/>
        </w:tabs>
        <w:spacing w:before="100" w:after="100"/>
        <w:ind w:left="720" w:hanging="360"/>
        <w:textAlignment w:val="auto"/>
        <w:rPr>
          <w:sz w:val="22"/>
          <w:szCs w:val="22"/>
        </w:rPr>
      </w:pPr>
      <w:r w:rsidRPr="00AA692A">
        <w:rPr>
          <w:sz w:val="22"/>
          <w:szCs w:val="22"/>
        </w:rPr>
        <w:t xml:space="preserve">Wolfgang Lenzen (1974): Protagoras contra </w:t>
      </w:r>
      <w:proofErr w:type="spellStart"/>
      <w:r w:rsidRPr="00AA692A">
        <w:rPr>
          <w:sz w:val="22"/>
          <w:szCs w:val="22"/>
        </w:rPr>
        <w:t>Euathlus</w:t>
      </w:r>
      <w:proofErr w:type="spellEnd"/>
      <w:r w:rsidRPr="00AA692A">
        <w:rPr>
          <w:sz w:val="22"/>
          <w:szCs w:val="22"/>
        </w:rPr>
        <w:t xml:space="preserve">. Betrachtungen zu einer so genannten </w:t>
      </w:r>
      <w:r w:rsidRPr="00AA692A">
        <w:rPr>
          <w:rFonts w:cs="Liberation Serif"/>
          <w:sz w:val="22"/>
          <w:szCs w:val="22"/>
        </w:rPr>
        <w:t xml:space="preserve">Paradoxie, </w:t>
      </w:r>
      <w:hyperlink r:id="rId10" w:history="1">
        <w:r w:rsidRPr="00AA692A">
          <w:rPr>
            <w:rStyle w:val="Internetlink"/>
            <w:rFonts w:cs="Liberation Serif"/>
            <w:color w:val="0000FF"/>
            <w:sz w:val="22"/>
            <w:szCs w:val="22"/>
            <w:lang w:eastAsia="de-DE" w:bidi="ar-SA"/>
          </w:rPr>
          <w:t>Universität Osnabrück</w:t>
        </w:r>
      </w:hyperlink>
      <w:r w:rsidRPr="00AA692A">
        <w:rPr>
          <w:sz w:val="22"/>
          <w:szCs w:val="22"/>
        </w:rPr>
        <w:t xml:space="preserve"> </w:t>
      </w:r>
      <w:r w:rsidRPr="00AA692A">
        <w:rPr>
          <w:rStyle w:val="Funotenzeichen"/>
          <w:rFonts w:ascii="Calibri" w:hAnsi="Calibri"/>
          <w:sz w:val="22"/>
          <w:szCs w:val="22"/>
          <w:lang w:eastAsia="de-DE" w:bidi="ar-SA"/>
        </w:rPr>
        <w:footnoteReference w:id="5"/>
      </w:r>
    </w:p>
    <w:p w14:paraId="16242F68" w14:textId="20ABFDBB" w:rsidR="00E46D6F" w:rsidRDefault="00E46D6F">
      <w:pPr>
        <w:pStyle w:val="HorizontalLine"/>
        <w:pBdr>
          <w:bottom w:val="single" w:sz="6" w:space="1" w:color="auto"/>
        </w:pBdr>
      </w:pPr>
    </w:p>
    <w:p w14:paraId="053B743D" w14:textId="49E32507" w:rsidR="00E46D6F" w:rsidRDefault="004B2FF4">
      <w:pPr>
        <w:spacing w:line="276" w:lineRule="auto"/>
      </w:pPr>
      <w:r>
        <w:t xml:space="preserve">URL dieses Textes: </w:t>
      </w:r>
    </w:p>
    <w:p w14:paraId="2A104E8B" w14:textId="5CEE1CE8" w:rsidR="00B44866" w:rsidRPr="00FF616C" w:rsidRDefault="0038615E">
      <w:pPr>
        <w:spacing w:line="276" w:lineRule="auto"/>
      </w:pPr>
      <w:hyperlink r:id="rId11" w:history="1">
        <w:r w:rsidR="00B44866" w:rsidRPr="00F03621">
          <w:rPr>
            <w:rStyle w:val="Hyperlink"/>
          </w:rPr>
          <w:t>https://www.schule-bw.de/faecher-und-schularten/sprachen-und-literatur/latein/texte-und-medien/sprueche-anekdoten/aulus-gellius/gellius-paradox-euathlos.html</w:t>
        </w:r>
      </w:hyperlink>
      <w:r w:rsidR="00B44866">
        <w:t xml:space="preserve"> </w:t>
      </w:r>
    </w:p>
    <w:p w14:paraId="54E6F843" w14:textId="77777777" w:rsidR="00E46D6F" w:rsidRDefault="004B2FF4">
      <w:pPr>
        <w:spacing w:line="276" w:lineRule="auto"/>
      </w:pPr>
      <w:r>
        <w:t xml:space="preserve">In diesem Online-Dokument findet man Links zu didaktischen Hinweisen und zu weiteren Texten von Aulus </w:t>
      </w:r>
      <w:proofErr w:type="spellStart"/>
      <w:r>
        <w:t>Gellius</w:t>
      </w:r>
      <w:proofErr w:type="spellEnd"/>
      <w:r>
        <w:t>.</w:t>
      </w:r>
    </w:p>
    <w:p w14:paraId="3BCF13B5" w14:textId="77777777" w:rsidR="00E46D6F" w:rsidRDefault="00E46D6F">
      <w:pPr>
        <w:pStyle w:val="Textbody"/>
      </w:pPr>
    </w:p>
    <w:sectPr w:rsidR="00E46D6F">
      <w:headerReference w:type="even" r:id="rId12"/>
      <w:headerReference w:type="default" r:id="rId13"/>
      <w:footerReference w:type="even" r:id="rId14"/>
      <w:footerReference w:type="default" r:id="rId15"/>
      <w:headerReference w:type="first" r:id="rId16"/>
      <w:footerReference w:type="first" r:id="rId17"/>
      <w:pgSz w:w="11906" w:h="16838"/>
      <w:pgMar w:top="1360" w:right="1020" w:bottom="1360" w:left="1020" w:header="1020" w:footer="10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3B83" w14:textId="77777777" w:rsidR="0038615E" w:rsidRDefault="0038615E">
      <w:r>
        <w:separator/>
      </w:r>
    </w:p>
  </w:endnote>
  <w:endnote w:type="continuationSeparator" w:id="0">
    <w:p w14:paraId="28EEA699" w14:textId="77777777" w:rsidR="0038615E" w:rsidRDefault="0038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F243" w14:textId="77777777" w:rsidR="00B44866" w:rsidRDefault="00B448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D9C8" w14:textId="77777777" w:rsidR="00AA692A" w:rsidRDefault="00AA692A">
    <w:pPr>
      <w:pStyle w:val="Fuzeile"/>
      <w:widowControl w:val="0"/>
      <w:pBdr>
        <w:top w:val="single" w:sz="12" w:space="1" w:color="000000"/>
      </w:pBdr>
      <w:rPr>
        <w:sz w:val="18"/>
        <w:szCs w:val="18"/>
      </w:rPr>
    </w:pPr>
  </w:p>
  <w:p w14:paraId="251A0DB3" w14:textId="362D0B7F" w:rsidR="00EA3EC9" w:rsidRDefault="004B2FF4">
    <w:pPr>
      <w:pStyle w:val="Fuzeile"/>
      <w:widowControl w:val="0"/>
      <w:pBdr>
        <w:top w:val="single" w:sz="12" w:space="1" w:color="000000"/>
      </w:pBdr>
    </w:pPr>
    <w:r>
      <w:rPr>
        <w:sz w:val="18"/>
        <w:szCs w:val="18"/>
      </w:rPr>
      <w:t xml:space="preserve">Diese Materialien sind unter der OER-konformen Lizenz </w:t>
    </w:r>
    <w:hyperlink r:id="rId1" w:history="1">
      <w:r>
        <w:rPr>
          <w:rStyle w:val="Hyperlink"/>
          <w:sz w:val="18"/>
          <w:szCs w:val="18"/>
        </w:rPr>
        <w:t>CC BY 4.0 International</w:t>
      </w:r>
    </w:hyperlink>
    <w:r>
      <w:rPr>
        <w:sz w:val="18"/>
        <w:szCs w:val="18"/>
      </w:rPr>
      <w:t xml:space="preserve"> verfügbar. Herausgeber: Landesbildungsserver Baden-Württemberg (</w:t>
    </w:r>
    <w:hyperlink r:id="rId2" w:history="1">
      <w:r>
        <w:rPr>
          <w:rStyle w:val="Hyperlink"/>
          <w:sz w:val="18"/>
          <w:szCs w:val="18"/>
        </w:rPr>
        <w:t>www.schule-bw.de</w:t>
      </w:r>
    </w:hyperlink>
    <w:r>
      <w:rPr>
        <w:sz w:val="18"/>
        <w:szCs w:val="18"/>
      </w:rPr>
      <w:t xml:space="preserve">), Fachredaktion Latein (auch </w:t>
    </w:r>
    <w:r w:rsidRPr="00D57CB7">
      <w:rPr>
        <w:sz w:val="18"/>
        <w:szCs w:val="18"/>
      </w:rPr>
      <w:t xml:space="preserve">unter </w:t>
    </w:r>
    <w:hyperlink r:id="rId3" w:history="1">
      <w:r w:rsidRPr="00D57CB7">
        <w:rPr>
          <w:rStyle w:val="Hyperlink"/>
          <w:sz w:val="18"/>
          <w:szCs w:val="18"/>
        </w:rPr>
        <w:t>www.latein-bw.de</w:t>
      </w:r>
    </w:hyperlink>
    <w:r w:rsidRPr="00D57CB7">
      <w:rPr>
        <w:sz w:val="18"/>
        <w:szCs w:val="18"/>
      </w:rPr>
      <w:t xml:space="preserve"> zu erreichen</w:t>
    </w:r>
    <w:r>
      <w:rPr>
        <w:sz w:val="18"/>
        <w:szCs w:val="18"/>
      </w:rPr>
      <w:t xml:space="preserve">). Urheberrechtsangaben gemäß </w:t>
    </w:r>
    <w:hyperlink r:id="rId4" w:history="1">
      <w:r>
        <w:rPr>
          <w:rStyle w:val="Hyperlink"/>
          <w:sz w:val="18"/>
          <w:szCs w:val="18"/>
        </w:rPr>
        <w:t>www.schule-bw.de/urheberrecht</w:t>
      </w:r>
    </w:hyperlink>
    <w:r>
      <w:rPr>
        <w:sz w:val="18"/>
        <w:szCs w:val="18"/>
      </w:rPr>
      <w:t xml:space="preserve"> sind zu beachten. Bitte beachten Sie eventuell abweichende Lizenzangaben bei den eingebundenen Bildern und anderen Materialien.</w:t>
    </w:r>
  </w:p>
  <w:p w14:paraId="738C4951" w14:textId="77777777" w:rsidR="00EA3EC9" w:rsidRDefault="004B2FF4">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 ARABIC </w:instrText>
    </w:r>
    <w:r>
      <w:rPr>
        <w:sz w:val="20"/>
        <w:szCs w:val="16"/>
      </w:rPr>
      <w:fldChar w:fldCharType="separate"/>
    </w:r>
    <w:r>
      <w:rPr>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w:instrText>
    </w:r>
    <w:r>
      <w:rPr>
        <w:sz w:val="20"/>
        <w:szCs w:val="16"/>
      </w:rPr>
      <w:fldChar w:fldCharType="separate"/>
    </w:r>
    <w:r>
      <w:rPr>
        <w:sz w:val="20"/>
        <w:szCs w:val="16"/>
      </w:rPr>
      <w:t>5</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8389" w14:textId="77777777" w:rsidR="00B44866" w:rsidRDefault="00B448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53FD" w14:textId="77777777" w:rsidR="0038615E" w:rsidRDefault="0038615E">
      <w:r>
        <w:rPr>
          <w:color w:val="000000"/>
        </w:rPr>
        <w:separator/>
      </w:r>
    </w:p>
  </w:footnote>
  <w:footnote w:type="continuationSeparator" w:id="0">
    <w:p w14:paraId="7BB9BA78" w14:textId="77777777" w:rsidR="0038615E" w:rsidRDefault="0038615E">
      <w:r>
        <w:continuationSeparator/>
      </w:r>
    </w:p>
  </w:footnote>
  <w:footnote w:id="1">
    <w:p w14:paraId="1EBADE46" w14:textId="4B70412A" w:rsidR="00E46D6F" w:rsidRPr="00FF616C" w:rsidRDefault="004B2FF4">
      <w:pPr>
        <w:pStyle w:val="Footnote"/>
        <w:rPr>
          <w:lang w:val="en-GB"/>
        </w:rPr>
      </w:pPr>
      <w:r>
        <w:rPr>
          <w:rStyle w:val="Funotenzeichen"/>
        </w:rPr>
        <w:footnoteRef/>
      </w:r>
      <w:r w:rsidR="00B44866">
        <w:rPr>
          <w:rFonts w:ascii="Calibri" w:hAnsi="Calibri" w:cs="Times New Roman"/>
          <w:lang w:val="en-GB" w:eastAsia="de-DE" w:bidi="ar-SA"/>
        </w:rPr>
        <w:t xml:space="preserve"> </w:t>
      </w:r>
      <w:r>
        <w:rPr>
          <w:rFonts w:ascii="Calibri" w:hAnsi="Calibri" w:cs="Times New Roman"/>
          <w:lang w:val="en-GB" w:eastAsia="de-DE" w:bidi="ar-SA"/>
        </w:rPr>
        <w:t xml:space="preserve">URL: </w:t>
      </w:r>
      <w:hyperlink r:id="rId1" w:history="1">
        <w:r>
          <w:rPr>
            <w:rStyle w:val="Internetlink"/>
            <w:rFonts w:ascii="Calibri" w:hAnsi="Calibri" w:cs="Times New Roman"/>
            <w:color w:val="0000FF"/>
            <w:lang w:val="en-GB" w:eastAsia="de-DE" w:bidi="ar-SA"/>
          </w:rPr>
          <w:t>https://www.spektrum.de/lexikon/philosophie/paradoxie-paradox/1523</w:t>
        </w:r>
      </w:hyperlink>
    </w:p>
  </w:footnote>
  <w:footnote w:id="2">
    <w:p w14:paraId="01EDEA17" w14:textId="2F2B3AC6" w:rsidR="00E46D6F" w:rsidRDefault="004B2FF4">
      <w:pPr>
        <w:pStyle w:val="Footnote"/>
      </w:pPr>
      <w:r>
        <w:rPr>
          <w:rStyle w:val="Funotenzeichen"/>
        </w:rPr>
        <w:footnoteRef/>
      </w:r>
      <w:r w:rsidR="00B44866">
        <w:rPr>
          <w:rFonts w:ascii="Calibri" w:hAnsi="Calibri"/>
        </w:rPr>
        <w:t xml:space="preserve"> </w:t>
      </w:r>
      <w:r w:rsidR="008B71EF">
        <w:rPr>
          <w:rFonts w:ascii="Calibri" w:hAnsi="Calibri"/>
        </w:rPr>
        <w:t>Der</w:t>
      </w:r>
      <w:r>
        <w:rPr>
          <w:rFonts w:ascii="Calibri" w:hAnsi="Calibri"/>
        </w:rPr>
        <w:t xml:space="preserve"> Begriffe </w:t>
      </w:r>
      <w:r w:rsidRPr="008B71EF">
        <w:rPr>
          <w:rFonts w:ascii="Calibri" w:hAnsi="Calibri"/>
          <w:i/>
          <w:iCs/>
        </w:rPr>
        <w:t>Ironie</w:t>
      </w:r>
      <w:r>
        <w:rPr>
          <w:rFonts w:ascii="Calibri" w:hAnsi="Calibri"/>
        </w:rPr>
        <w:t xml:space="preserve"> </w:t>
      </w:r>
      <w:r w:rsidR="008B71EF">
        <w:rPr>
          <w:rFonts w:ascii="Calibri" w:hAnsi="Calibri"/>
        </w:rPr>
        <w:t>wird</w:t>
      </w:r>
      <w:r>
        <w:rPr>
          <w:rFonts w:ascii="Calibri" w:hAnsi="Calibri"/>
        </w:rPr>
        <w:t xml:space="preserve"> in der </w:t>
      </w:r>
      <w:hyperlink r:id="rId2" w:anchor="paradox" w:tgtFrame="_blank" w:tooltip="Liste der Stilmittel" w:history="1">
        <w:r w:rsidR="008B71EF" w:rsidRPr="008B71EF">
          <w:rPr>
            <w:rStyle w:val="Hyperlink"/>
            <w:sz w:val="22"/>
            <w:szCs w:val="22"/>
          </w:rPr>
          <w:t>Liste der Stil</w:t>
        </w:r>
        <w:r w:rsidR="008B71EF" w:rsidRPr="008B71EF">
          <w:rPr>
            <w:rStyle w:val="Hyperlink"/>
            <w:sz w:val="22"/>
            <w:szCs w:val="22"/>
          </w:rPr>
          <w:t>m</w:t>
        </w:r>
        <w:r w:rsidR="008B71EF" w:rsidRPr="008B71EF">
          <w:rPr>
            <w:rStyle w:val="Hyperlink"/>
            <w:sz w:val="22"/>
            <w:szCs w:val="22"/>
          </w:rPr>
          <w:t>ittel</w:t>
        </w:r>
      </w:hyperlink>
      <w:r w:rsidR="008B71EF" w:rsidRPr="008B71EF">
        <w:rPr>
          <w:rStyle w:val="showbody"/>
          <w:sz w:val="22"/>
          <w:szCs w:val="22"/>
        </w:rPr>
        <w:t xml:space="preserve"> </w:t>
      </w:r>
      <w:r w:rsidR="008B71EF">
        <w:rPr>
          <w:rStyle w:val="showbody"/>
          <w:sz w:val="22"/>
          <w:szCs w:val="22"/>
        </w:rPr>
        <w:t>e</w:t>
      </w:r>
      <w:r>
        <w:rPr>
          <w:rFonts w:ascii="Calibri" w:hAnsi="Calibri"/>
        </w:rPr>
        <w:t>rläutert.</w:t>
      </w:r>
    </w:p>
  </w:footnote>
  <w:footnote w:id="3">
    <w:p w14:paraId="1F3A32D9" w14:textId="77777777" w:rsidR="00E46D6F" w:rsidRPr="00FF616C" w:rsidRDefault="004B2FF4">
      <w:pPr>
        <w:pStyle w:val="Footnote"/>
        <w:rPr>
          <w:lang w:val="en-GB"/>
        </w:rPr>
      </w:pPr>
      <w:r>
        <w:rPr>
          <w:rStyle w:val="Funotenzeichen"/>
        </w:rPr>
        <w:footnoteRef/>
      </w:r>
      <w:r>
        <w:rPr>
          <w:rFonts w:ascii="Calibri" w:hAnsi="Calibri" w:cs="Times New Roman"/>
          <w:lang w:val="en-GB" w:eastAsia="de-DE" w:bidi="ar-SA"/>
        </w:rPr>
        <w:t xml:space="preserve">URL/DOI: </w:t>
      </w:r>
      <w:hyperlink r:id="rId3" w:history="1">
        <w:r>
          <w:rPr>
            <w:rStyle w:val="Internetlink"/>
            <w:rFonts w:ascii="Calibri" w:hAnsi="Calibri" w:cs="Times New Roman"/>
            <w:color w:val="0000FF"/>
            <w:lang w:val="en-GB" w:eastAsia="de-DE" w:bidi="ar-SA"/>
          </w:rPr>
          <w:t>https://doi.org/10.1051/e3sconf/202016411022</w:t>
        </w:r>
      </w:hyperlink>
    </w:p>
  </w:footnote>
  <w:footnote w:id="4">
    <w:p w14:paraId="16BD750C" w14:textId="77777777" w:rsidR="00E46D6F" w:rsidRPr="00FF616C" w:rsidRDefault="004B2FF4">
      <w:pPr>
        <w:pStyle w:val="Footnote"/>
        <w:rPr>
          <w:lang w:val="en-GB"/>
        </w:rPr>
      </w:pPr>
      <w:r>
        <w:rPr>
          <w:rStyle w:val="Funotenzeichen"/>
        </w:rPr>
        <w:footnoteRef/>
      </w:r>
      <w:r>
        <w:rPr>
          <w:rFonts w:ascii="Calibri" w:hAnsi="Calibri" w:cs="Times New Roman"/>
          <w:lang w:val="en-GB" w:eastAsia="de-DE" w:bidi="ar-SA"/>
        </w:rPr>
        <w:t xml:space="preserve">URL: </w:t>
      </w:r>
      <w:hyperlink r:id="rId4" w:history="1">
        <w:r>
          <w:rPr>
            <w:rStyle w:val="Internetlink"/>
            <w:rFonts w:ascii="Calibri" w:hAnsi="Calibri" w:cs="Times New Roman"/>
            <w:color w:val="0000FF"/>
            <w:lang w:val="en-GB" w:eastAsia="de-DE" w:bidi="ar-SA"/>
          </w:rPr>
          <w:t>https://also42.wordpress.com/2011/06/29/cohen-das-problem-des-protagoras-ratsel-3/</w:t>
        </w:r>
      </w:hyperlink>
    </w:p>
  </w:footnote>
  <w:footnote w:id="5">
    <w:p w14:paraId="7D3FF90A" w14:textId="5148CF96" w:rsidR="00E46D6F" w:rsidRPr="00FF616C" w:rsidRDefault="004B2FF4">
      <w:pPr>
        <w:pStyle w:val="Footnote"/>
        <w:rPr>
          <w:lang w:val="en-GB"/>
        </w:rPr>
      </w:pPr>
      <w:r>
        <w:rPr>
          <w:rStyle w:val="Funotenzeichen"/>
        </w:rPr>
        <w:footnoteRef/>
      </w:r>
      <w:r>
        <w:rPr>
          <w:rFonts w:ascii="Calibri" w:hAnsi="Calibri" w:cs="Times New Roman"/>
          <w:lang w:val="en-GB" w:eastAsia="de-DE" w:bidi="ar-SA"/>
        </w:rPr>
        <w:t xml:space="preserve">URL: </w:t>
      </w:r>
      <w:hyperlink r:id="rId5" w:history="1">
        <w:r>
          <w:rPr>
            <w:rStyle w:val="Internetlink"/>
            <w:rFonts w:ascii="Calibri" w:hAnsi="Calibri" w:cs="Times New Roman"/>
            <w:color w:val="0000FF"/>
            <w:lang w:val="en-GB" w:eastAsia="de-DE" w:bidi="ar-SA"/>
          </w:rPr>
          <w:t>https://www.philosophie.uni-osnabrueck.de/fileadmin/Allgemeine_Uploads/Publikationen/Lenzen/Protagoras_contra_Euathlus.pdf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A33B" w14:textId="77777777" w:rsidR="00B44866" w:rsidRDefault="00B448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946A" w14:textId="2C6CEBB4" w:rsidR="00EA3EC9" w:rsidRDefault="000C4E89" w:rsidP="000C4E89">
    <w:pPr>
      <w:pStyle w:val="Kopfzeile"/>
      <w:spacing w:after="240"/>
    </w:pPr>
    <w:r>
      <w:rPr>
        <w:noProof/>
      </w:rPr>
      <w:drawing>
        <wp:anchor distT="0" distB="0" distL="114300" distR="114300" simplePos="0" relativeHeight="251660288" behindDoc="0" locked="0" layoutInCell="1" allowOverlap="1" wp14:anchorId="3CEA2B8E" wp14:editId="20523563">
          <wp:simplePos x="0" y="0"/>
          <wp:positionH relativeFrom="column">
            <wp:posOffset>4673600</wp:posOffset>
          </wp:positionH>
          <wp:positionV relativeFrom="paragraph">
            <wp:posOffset>-330200</wp:posOffset>
          </wp:positionV>
          <wp:extent cx="1513205" cy="438150"/>
          <wp:effectExtent l="0" t="0" r="0" b="0"/>
          <wp:wrapSquare wrapText="bothSides"/>
          <wp:docPr id="1" name="Bild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217" t="13904" r="6409" b="13904"/>
                  <a:stretch>
                    <a:fillRect/>
                  </a:stretch>
                </pic:blipFill>
                <pic:spPr>
                  <a:xfrm>
                    <a:off x="0" y="0"/>
                    <a:ext cx="1513205" cy="4381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F240860" wp14:editId="0CA395E2">
          <wp:simplePos x="0" y="0"/>
          <wp:positionH relativeFrom="column">
            <wp:posOffset>2933700</wp:posOffset>
          </wp:positionH>
          <wp:positionV relativeFrom="paragraph">
            <wp:posOffset>-317500</wp:posOffset>
          </wp:positionV>
          <wp:extent cx="339090" cy="463550"/>
          <wp:effectExtent l="0" t="0" r="3810" b="0"/>
          <wp:wrapNone/>
          <wp:docPr id="2"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39090" cy="4635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6FBB190" wp14:editId="76BEC609">
          <wp:simplePos x="0" y="0"/>
          <wp:positionH relativeFrom="column">
            <wp:posOffset>-50800</wp:posOffset>
          </wp:positionH>
          <wp:positionV relativeFrom="paragraph">
            <wp:posOffset>-361950</wp:posOffset>
          </wp:positionV>
          <wp:extent cx="1612900" cy="469900"/>
          <wp:effectExtent l="0" t="0" r="6350" b="6350"/>
          <wp:wrapSquare wrapText="bothSides"/>
          <wp:docPr id="3"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612900" cy="469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AA62" w14:textId="77777777" w:rsidR="00B44866" w:rsidRDefault="00B44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5F5"/>
    <w:multiLevelType w:val="multilevel"/>
    <w:tmpl w:val="D5385CFC"/>
    <w:lvl w:ilvl="0">
      <w:start w:val="1"/>
      <w:numFmt w:val="decimal"/>
      <w:lvlText w:val="%1."/>
      <w:lvlJc w:val="left"/>
      <w:pPr>
        <w:ind w:left="707" w:hanging="283"/>
      </w:p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1" w15:restartNumberingAfterBreak="0">
    <w:nsid w:val="15FE6788"/>
    <w:multiLevelType w:val="multilevel"/>
    <w:tmpl w:val="5888BC5C"/>
    <w:styleLink w:val="WWNum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 w15:restartNumberingAfterBreak="0">
    <w:nsid w:val="32A52676"/>
    <w:multiLevelType w:val="multilevel"/>
    <w:tmpl w:val="D5385CFC"/>
    <w:lvl w:ilvl="0">
      <w:start w:val="1"/>
      <w:numFmt w:val="decimal"/>
      <w:lvlText w:val="%1."/>
      <w:lvlJc w:val="left"/>
      <w:pPr>
        <w:ind w:left="707" w:hanging="283"/>
      </w:p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3" w15:restartNumberingAfterBreak="0">
    <w:nsid w:val="73D46090"/>
    <w:multiLevelType w:val="multilevel"/>
    <w:tmpl w:val="940AB708"/>
    <w:styleLink w:val="WWNum1"/>
    <w:lvl w:ilvl="0">
      <w:start w:val="1"/>
      <w:numFmt w:val="decimal"/>
      <w:lvlText w:val="%1."/>
      <w:lvlJc w:val="left"/>
      <w:pPr>
        <w:ind w:left="707" w:hanging="283"/>
      </w:pPr>
      <w:rPr>
        <w:rFonts w:ascii="Calibri" w:hAnsi="Calibri" w:cs="Times New Roman"/>
      </w:rPr>
    </w:lvl>
    <w:lvl w:ilvl="1">
      <w:start w:val="1"/>
      <w:numFmt w:val="lowerLetter"/>
      <w:lvlText w:val="%1.%2."/>
      <w:lvlJc w:val="left"/>
      <w:pPr>
        <w:ind w:left="1414" w:hanging="283"/>
      </w:pPr>
      <w:rPr>
        <w:rFonts w:cs="Times New Roman"/>
      </w:rPr>
    </w:lvl>
    <w:lvl w:ilvl="2">
      <w:start w:val="1"/>
      <w:numFmt w:val="lowerLetter"/>
      <w:lvlText w:val="%1.%2.%3."/>
      <w:lvlJc w:val="left"/>
      <w:pPr>
        <w:ind w:left="2121" w:hanging="283"/>
      </w:pPr>
      <w:rPr>
        <w:rFonts w:cs="Times New Roman"/>
      </w:rPr>
    </w:lvl>
    <w:lvl w:ilvl="3">
      <w:start w:val="1"/>
      <w:numFmt w:val="lowerLetter"/>
      <w:lvlText w:val="%1.%2.%3.%4."/>
      <w:lvlJc w:val="left"/>
      <w:pPr>
        <w:ind w:left="2828" w:hanging="283"/>
      </w:pPr>
      <w:rPr>
        <w:rFonts w:cs="Times New Roman"/>
      </w:rPr>
    </w:lvl>
    <w:lvl w:ilvl="4">
      <w:start w:val="1"/>
      <w:numFmt w:val="lowerLetter"/>
      <w:lvlText w:val="%1.%2.%3.%4.%5."/>
      <w:lvlJc w:val="left"/>
      <w:pPr>
        <w:ind w:left="3535" w:hanging="283"/>
      </w:pPr>
      <w:rPr>
        <w:rFonts w:cs="Times New Roman"/>
      </w:rPr>
    </w:lvl>
    <w:lvl w:ilvl="5">
      <w:start w:val="1"/>
      <w:numFmt w:val="lowerLetter"/>
      <w:lvlText w:val="%1.%2.%3.%4.%5.%6."/>
      <w:lvlJc w:val="left"/>
      <w:pPr>
        <w:ind w:left="4242" w:hanging="283"/>
      </w:pPr>
      <w:rPr>
        <w:rFonts w:cs="Times New Roman"/>
      </w:rPr>
    </w:lvl>
    <w:lvl w:ilvl="6">
      <w:start w:val="1"/>
      <w:numFmt w:val="lowerLetter"/>
      <w:lvlText w:val="%1.%2.%3.%4.%5.%6.%7."/>
      <w:lvlJc w:val="left"/>
      <w:pPr>
        <w:ind w:left="4949" w:hanging="283"/>
      </w:pPr>
      <w:rPr>
        <w:rFonts w:cs="Times New Roman"/>
      </w:rPr>
    </w:lvl>
    <w:lvl w:ilvl="7">
      <w:start w:val="1"/>
      <w:numFmt w:val="lowerLetter"/>
      <w:lvlText w:val="%1.%2.%3.%4.%5.%6.%7.%8."/>
      <w:lvlJc w:val="left"/>
      <w:pPr>
        <w:ind w:left="5656" w:hanging="283"/>
      </w:pPr>
      <w:rPr>
        <w:rFonts w:cs="Times New Roman"/>
      </w:rPr>
    </w:lvl>
    <w:lvl w:ilvl="8">
      <w:start w:val="1"/>
      <w:numFmt w:val="lowerLetter"/>
      <w:lvlText w:val="%1.%2.%3.%4.%5.%6.%7.%8.%9."/>
      <w:lvlJc w:val="left"/>
      <w:pPr>
        <w:ind w:left="6363" w:hanging="283"/>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6F"/>
    <w:rsid w:val="000463EC"/>
    <w:rsid w:val="000C4E89"/>
    <w:rsid w:val="000F62AC"/>
    <w:rsid w:val="0038615E"/>
    <w:rsid w:val="004B2FF4"/>
    <w:rsid w:val="00852EE9"/>
    <w:rsid w:val="008B71EF"/>
    <w:rsid w:val="008C3CED"/>
    <w:rsid w:val="009A2E5E"/>
    <w:rsid w:val="00A5122B"/>
    <w:rsid w:val="00AA692A"/>
    <w:rsid w:val="00B44866"/>
    <w:rsid w:val="00D57CB7"/>
    <w:rsid w:val="00E46D6F"/>
    <w:rsid w:val="00E94C0D"/>
    <w:rsid w:val="00FC2C51"/>
    <w:rsid w:val="00FF6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B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b/>
      <w:bCs/>
    </w:rPr>
  </w:style>
  <w:style w:type="paragraph" w:styleId="berschrift2">
    <w:name w:val="heading 2"/>
    <w:basedOn w:val="Standard"/>
    <w:next w:val="Standard"/>
    <w:uiPriority w:val="9"/>
    <w:semiHidden/>
    <w:unhideWhenUsed/>
    <w:qFormat/>
    <w:pPr>
      <w:keepNext/>
      <w:keepLines/>
      <w:spacing w:before="200" w:after="240"/>
      <w:outlineLvl w:val="1"/>
    </w:pPr>
    <w:rPr>
      <w:rFonts w:ascii="Cambria" w:eastAsia="Times New Roman" w:hAnsi="Cambria" w:cs="Times New Roman"/>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el">
    <w:name w:val="Title"/>
    <w:basedOn w:val="Heading"/>
    <w:next w:val="Textbody"/>
    <w:uiPriority w:val="10"/>
    <w:qFormat/>
    <w:pPr>
      <w:jc w:val="center"/>
    </w:pPr>
    <w:rPr>
      <w:b/>
      <w:bCs/>
      <w:sz w:val="56"/>
      <w:szCs w:val="56"/>
    </w:r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HeaderandFooter"/>
  </w:style>
  <w:style w:type="paragraph" w:styleId="Fuzeile">
    <w:name w:val="footer"/>
    <w:basedOn w:val="HeaderandFooter"/>
  </w:style>
  <w:style w:type="paragraph" w:customStyle="1" w:styleId="TableContents">
    <w:name w:val="Table Contents"/>
    <w:basedOn w:val="Standard"/>
    <w:pPr>
      <w:widowControl w:val="0"/>
      <w:suppressLineNumbers/>
    </w:pPr>
  </w:style>
  <w:style w:type="paragraph" w:customStyle="1" w:styleId="NormaleTabelle1">
    <w:name w:val="Normale Tabelle1"/>
    <w:pPr>
      <w:spacing w:line="360" w:lineRule="auto"/>
      <w:textAlignment w:val="auto"/>
    </w:pPr>
    <w:rPr>
      <w:rFonts w:ascii="Calibri" w:eastAsia="Calibri" w:hAnsi="Calibri" w:cs="Times New Roman"/>
      <w:sz w:val="22"/>
      <w:szCs w:val="22"/>
      <w:lang w:eastAsia="en-US" w:bidi="ar-SA"/>
    </w:rPr>
  </w:style>
  <w:style w:type="paragraph" w:customStyle="1" w:styleId="Tabellenraster1">
    <w:name w:val="Tabellenraster1"/>
    <w:basedOn w:val="NormaleTabelle1"/>
    <w:pPr>
      <w:spacing w:line="240" w:lineRule="auto"/>
    </w:pPr>
  </w:style>
  <w:style w:type="paragraph" w:customStyle="1" w:styleId="TextErlaeuterung">
    <w:name w:val="Text Erlaeuterung"/>
    <w:basedOn w:val="Textbody"/>
    <w:pPr>
      <w:spacing w:line="340" w:lineRule="atLeast"/>
    </w:pPr>
    <w:rPr>
      <w:rFonts w:ascii="Arial" w:eastAsia="Arial" w:hAnsi="Arial" w:cs="Arial"/>
      <w:sz w:val="22"/>
      <w:szCs w:val="22"/>
    </w:rPr>
  </w:style>
  <w:style w:type="paragraph" w:customStyle="1" w:styleId="Vokabelangabe">
    <w:name w:val="Vokabelangabe"/>
    <w:basedOn w:val="Standard"/>
    <w:autoRedefine/>
    <w:pPr>
      <w:ind w:left="284" w:hanging="284"/>
    </w:pPr>
    <w:rPr>
      <w:sz w:val="20"/>
      <w:szCs w:val="20"/>
    </w:rPr>
  </w:style>
  <w:style w:type="paragraph" w:customStyle="1" w:styleId="Footnote">
    <w:name w:val="Footnote"/>
    <w:basedOn w:val="Standard"/>
    <w:pPr>
      <w:suppressLineNumbers/>
      <w:ind w:left="339" w:hanging="339"/>
    </w:pPr>
    <w:rPr>
      <w:sz w:val="20"/>
      <w:szCs w:val="20"/>
    </w:rPr>
  </w:style>
  <w:style w:type="paragraph" w:customStyle="1" w:styleId="Textbodyuser">
    <w:name w:val="Text body (user)"/>
    <w:basedOn w:val="Standard"/>
    <w:pPr>
      <w:spacing w:after="140"/>
    </w:pPr>
  </w:style>
  <w:style w:type="paragraph" w:styleId="StandardWeb">
    <w:name w:val="Normal (Web)"/>
    <w:basedOn w:val="Standard"/>
    <w:uiPriority w:val="99"/>
    <w:pPr>
      <w:spacing w:before="100" w:after="100"/>
      <w:textAlignment w:val="auto"/>
    </w:pPr>
  </w:style>
  <w:style w:type="paragraph" w:customStyle="1" w:styleId="HorizontalLine">
    <w:name w:val="Horizontal Line"/>
    <w:basedOn w:val="Standard"/>
    <w:next w:val="Textbody"/>
    <w:pPr>
      <w:suppressLineNumbers/>
      <w:spacing w:after="283"/>
    </w:pPr>
    <w:rPr>
      <w:sz w:val="12"/>
      <w:szCs w:val="12"/>
    </w:rPr>
  </w:style>
  <w:style w:type="paragraph" w:customStyle="1" w:styleId="TableHeading">
    <w:name w:val="Table Heading"/>
    <w:basedOn w:val="TableContents"/>
    <w:pPr>
      <w:jc w:val="center"/>
    </w:pPr>
    <w:rPr>
      <w:b/>
      <w:bCs/>
    </w:rPr>
  </w:style>
  <w:style w:type="character" w:styleId="Hyperlink">
    <w:name w:val="Hyperlink"/>
    <w:basedOn w:val="Absatz-Standardschriftart"/>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ListLabel4">
    <w:name w:val="ListLabel 4"/>
    <w:rPr>
      <w:rFonts w:ascii="Calibri" w:eastAsia="Calibri" w:hAnsi="Calibri"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showbody">
    <w:name w:val="showbody"/>
    <w:basedOn w:val="Absatz-Standardschriftart"/>
  </w:style>
  <w:style w:type="character" w:styleId="Hervorhebung">
    <w:name w:val="Emphasis"/>
    <w:rPr>
      <w:i/>
      <w:iCs/>
    </w:rPr>
  </w:style>
  <w:style w:type="numbering" w:customStyle="1" w:styleId="WWNum1">
    <w:name w:val="WWNum1"/>
    <w:basedOn w:val="KeineListe"/>
    <w:pPr>
      <w:numPr>
        <w:numId w:val="1"/>
      </w:numPr>
    </w:pPr>
  </w:style>
  <w:style w:type="numbering" w:customStyle="1" w:styleId="WWNum2a">
    <w:name w:val="WWNum2a"/>
    <w:basedOn w:val="KeineListe"/>
    <w:pPr>
      <w:numPr>
        <w:numId w:val="2"/>
      </w:numPr>
    </w:pPr>
  </w:style>
  <w:style w:type="character" w:styleId="Funotenzeichen">
    <w:name w:val="footnote reference"/>
    <w:basedOn w:val="Absatz-Standardschriftart"/>
    <w:uiPriority w:val="99"/>
    <w:semiHidden/>
    <w:unhideWhenUsed/>
    <w:rPr>
      <w:vertAlign w:val="superscript"/>
    </w:rPr>
  </w:style>
  <w:style w:type="character" w:styleId="NichtaufgelsteErwhnung">
    <w:name w:val="Unresolved Mention"/>
    <w:basedOn w:val="Absatz-Standardschriftart"/>
    <w:uiPriority w:val="99"/>
    <w:semiHidden/>
    <w:unhideWhenUsed/>
    <w:rsid w:val="00B44866"/>
    <w:rPr>
      <w:color w:val="605E5C"/>
      <w:shd w:val="clear" w:color="auto" w:fill="E1DFDD"/>
    </w:rPr>
  </w:style>
  <w:style w:type="character" w:styleId="BesuchterLink">
    <w:name w:val="FollowedHyperlink"/>
    <w:basedOn w:val="Absatz-Standardschriftart"/>
    <w:uiPriority w:val="99"/>
    <w:semiHidden/>
    <w:unhideWhenUsed/>
    <w:rsid w:val="008B7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0155">
      <w:bodyDiv w:val="1"/>
      <w:marLeft w:val="0"/>
      <w:marRight w:val="0"/>
      <w:marTop w:val="0"/>
      <w:marBottom w:val="0"/>
      <w:divBdr>
        <w:top w:val="none" w:sz="0" w:space="0" w:color="auto"/>
        <w:left w:val="none" w:sz="0" w:space="0" w:color="auto"/>
        <w:bottom w:val="none" w:sz="0" w:space="0" w:color="auto"/>
        <w:right w:val="none" w:sz="0" w:space="0" w:color="auto"/>
      </w:divBdr>
    </w:div>
    <w:div w:id="952829125">
      <w:bodyDiv w:val="1"/>
      <w:marLeft w:val="0"/>
      <w:marRight w:val="0"/>
      <w:marTop w:val="0"/>
      <w:marBottom w:val="0"/>
      <w:divBdr>
        <w:top w:val="none" w:sz="0" w:space="0" w:color="auto"/>
        <w:left w:val="none" w:sz="0" w:space="0" w:color="auto"/>
        <w:bottom w:val="none" w:sz="0" w:space="0" w:color="auto"/>
        <w:right w:val="none" w:sz="0" w:space="0" w:color="auto"/>
      </w:divBdr>
    </w:div>
    <w:div w:id="189657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0164110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ektrum.de/lexikon/philosophie/paradoxie-paradox/152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ule-bw.de/faecher-und-schularten/sprachen-und-literatur/latein/texte-und-medien/sprueche-anekdoten/aulus-gellius/gellius-paradox-euathlo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hilosophie.uni-osnabrueck.de/fileadmin/Allgemeine_Uploads/Publikationen/Lenzen/Protagoras_contra_Euathlu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lso42.wordpress.com/2011/06/29/cohen-das-problem-des-protagoras-ratsel-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51/e3sconf/202016411022" TargetMode="External"/><Relationship Id="rId2" Type="http://schemas.openxmlformats.org/officeDocument/2006/relationships/hyperlink" Target="https://www.schule-bw.de/resolveuid/a0a056e0b9ae4eb0aea3f35933583ad7" TargetMode="External"/><Relationship Id="rId1" Type="http://schemas.openxmlformats.org/officeDocument/2006/relationships/hyperlink" Target="https://www.spektrum.de/lexikon/philosophie/paradoxie-paradox/1523" TargetMode="External"/><Relationship Id="rId5" Type="http://schemas.openxmlformats.org/officeDocument/2006/relationships/hyperlink" Target="https://www.philosophie.uni-osnabrueck.de/fileadmin/Allgemeine_Uploads/Publikationen/Lenzen/Protagoras_contra_Euathlus.pdf" TargetMode="External"/><Relationship Id="rId4" Type="http://schemas.openxmlformats.org/officeDocument/2006/relationships/hyperlink" Target="https://also42.wordpress.com/2011/06/29/cohen-das-problem-des-protagoras-ratsel-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7873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Gellius über das Paradox des Euathlos</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Gellius über das Paradox des Euathlos</dc:title>
  <dc:creator/>
  <cp:lastModifiedBy/>
  <cp:revision>1</cp:revision>
  <dcterms:created xsi:type="dcterms:W3CDTF">2022-02-23T13:47:00Z</dcterms:created>
  <dcterms:modified xsi:type="dcterms:W3CDTF">2022-03-31T20:22:00Z</dcterms:modified>
</cp:coreProperties>
</file>