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CF98" w14:textId="76A5B670" w:rsidR="00D600B5" w:rsidRDefault="00235EB8">
      <w:pPr>
        <w:pStyle w:val="Titel"/>
      </w:pPr>
      <w:r>
        <w:t xml:space="preserve">Aulus </w:t>
      </w:r>
      <w:proofErr w:type="spellStart"/>
      <w:r>
        <w:t>Gellius</w:t>
      </w:r>
      <w:proofErr w:type="spellEnd"/>
      <w:r w:rsidR="00467F1D">
        <w:t xml:space="preserve">: </w:t>
      </w:r>
      <w:proofErr w:type="spellStart"/>
      <w:r>
        <w:t>Noctes</w:t>
      </w:r>
      <w:proofErr w:type="spellEnd"/>
      <w:r>
        <w:t xml:space="preserve"> </w:t>
      </w:r>
      <w:proofErr w:type="spellStart"/>
      <w:r>
        <w:t>Atticae</w:t>
      </w:r>
      <w:proofErr w:type="spellEnd"/>
      <w:r>
        <w:t xml:space="preserve"> 13, 17</w:t>
      </w:r>
    </w:p>
    <w:p w14:paraId="2A34B0FF" w14:textId="2816CDF7" w:rsidR="00D600B5" w:rsidRDefault="00235EB8">
      <w:pPr>
        <w:pStyle w:val="berschrift1"/>
      </w:pPr>
      <w:r>
        <w:t>Menschlichkeit und Bildung. Über die Bedeutung des Wortes</w:t>
      </w:r>
      <w:r w:rsidR="00467F1D">
        <w:t xml:space="preserve"> </w:t>
      </w:r>
      <w:r>
        <w:t>„</w:t>
      </w:r>
      <w:proofErr w:type="spellStart"/>
      <w:r>
        <w:t>humanitas</w:t>
      </w:r>
      <w:proofErr w:type="spellEnd"/>
      <w:r>
        <w:t>“</w:t>
      </w:r>
    </w:p>
    <w:p w14:paraId="6557B812" w14:textId="229F2257" w:rsidR="00EC7993" w:rsidRDefault="00235EB8">
      <w:pPr>
        <w:pStyle w:val="Textbody"/>
      </w:pPr>
      <w:r>
        <w:t xml:space="preserve">Im 13. Buch seiner </w:t>
      </w:r>
      <w:proofErr w:type="spellStart"/>
      <w:r>
        <w:t>Noctes</w:t>
      </w:r>
      <w:proofErr w:type="spellEnd"/>
      <w:r>
        <w:t xml:space="preserve"> </w:t>
      </w:r>
      <w:proofErr w:type="spellStart"/>
      <w:r>
        <w:t>Atticae</w:t>
      </w:r>
      <w:proofErr w:type="spellEnd"/>
      <w:r>
        <w:t xml:space="preserve"> reflektiert der Autor über bestimmte Wörter und Begriffe. In diesem Text untersucht er verschiedene Bedeutungen der Wörter </w:t>
      </w:r>
      <w:proofErr w:type="spellStart"/>
      <w:r>
        <w:t>humanus</w:t>
      </w:r>
      <w:proofErr w:type="spellEnd"/>
      <w:r>
        <w:t xml:space="preserve"> und </w:t>
      </w:r>
      <w:proofErr w:type="spellStart"/>
      <w:r>
        <w:t>humanitas</w:t>
      </w:r>
      <w:proofErr w:type="spellEnd"/>
      <w:r>
        <w:t>.</w:t>
      </w:r>
    </w:p>
    <w:tbl>
      <w:tblPr>
        <w:tblW w:w="9982" w:type="dxa"/>
        <w:tblInd w:w="5" w:type="dxa"/>
        <w:tblLayout w:type="fixed"/>
        <w:tblCellMar>
          <w:left w:w="10" w:type="dxa"/>
          <w:right w:w="10" w:type="dxa"/>
        </w:tblCellMar>
        <w:tblLook w:val="0000" w:firstRow="0" w:lastRow="0" w:firstColumn="0" w:lastColumn="0" w:noHBand="0" w:noVBand="0"/>
      </w:tblPr>
      <w:tblGrid>
        <w:gridCol w:w="5660"/>
        <w:gridCol w:w="4322"/>
      </w:tblGrid>
      <w:tr w:rsidR="00D600B5" w14:paraId="0B9B6CBA" w14:textId="77777777" w:rsidTr="00467F1D">
        <w:trPr>
          <w:cantSplit/>
        </w:trPr>
        <w:tc>
          <w:tcPr>
            <w:tcW w:w="5660" w:type="dxa"/>
            <w:tcBorders>
              <w:top w:val="single" w:sz="4" w:space="0" w:color="000000"/>
              <w:left w:val="single" w:sz="4" w:space="0" w:color="000000"/>
              <w:bottom w:val="single" w:sz="4" w:space="0" w:color="000000"/>
            </w:tcBorders>
            <w:tcMar>
              <w:top w:w="113" w:type="dxa"/>
              <w:left w:w="108" w:type="dxa"/>
              <w:bottom w:w="113" w:type="dxa"/>
              <w:right w:w="108" w:type="dxa"/>
            </w:tcMar>
          </w:tcPr>
          <w:p w14:paraId="7CFA017F" w14:textId="77777777" w:rsidR="00D600B5" w:rsidRPr="00EC7993" w:rsidRDefault="00235EB8">
            <w:pPr>
              <w:widowControl w:val="0"/>
              <w:suppressAutoHyphens w:val="0"/>
              <w:spacing w:after="60" w:line="360" w:lineRule="auto"/>
              <w:textAlignment w:val="auto"/>
              <w:rPr>
                <w:rFonts w:ascii="Arial" w:eastAsia="Calibri" w:hAnsi="Arial"/>
                <w:kern w:val="0"/>
                <w:lang w:val="la-Latn" w:eastAsia="en-US" w:bidi="ar-SA"/>
              </w:rPr>
            </w:pPr>
            <w:r w:rsidRPr="00EC7993">
              <w:rPr>
                <w:rFonts w:ascii="Arial" w:eastAsia="Calibri" w:hAnsi="Arial"/>
                <w:kern w:val="0"/>
                <w:lang w:val="la-Latn" w:eastAsia="en-US" w:bidi="ar-SA"/>
              </w:rPr>
              <w:t xml:space="preserve">[1] Qui verba Latina fecerunt quique his probe usi sunt, </w:t>
            </w:r>
            <w:r w:rsidRPr="00EC7993">
              <w:rPr>
                <w:rFonts w:ascii="Arial" w:eastAsia="Calibri" w:hAnsi="Arial"/>
                <w:i/>
                <w:iCs/>
                <w:kern w:val="0"/>
                <w:lang w:val="la-Latn" w:eastAsia="en-US" w:bidi="ar-SA"/>
              </w:rPr>
              <w:t>humanitatem</w:t>
            </w:r>
            <w:r w:rsidRPr="00EC7993">
              <w:rPr>
                <w:rFonts w:ascii="Arial" w:eastAsia="Calibri" w:hAnsi="Arial"/>
                <w:kern w:val="0"/>
                <w:lang w:val="la-Latn" w:eastAsia="en-US" w:bidi="ar-SA"/>
              </w:rPr>
              <w:t xml:space="preserve"> non id esse voluerunt, quod volgus existimat quodque a Graecis φιλανθρωπία (philantropia, Menschenliebe) dicitur et significat dexteritatem quandam benivolentiamque erga omnes homines promiscam, sed </w:t>
            </w:r>
            <w:r w:rsidRPr="00EC7993">
              <w:rPr>
                <w:rFonts w:ascii="Arial" w:eastAsia="Calibri" w:hAnsi="Arial"/>
                <w:i/>
                <w:iCs/>
                <w:kern w:val="0"/>
                <w:lang w:val="la-Latn" w:eastAsia="en-US" w:bidi="ar-SA"/>
              </w:rPr>
              <w:t>humanitatem</w:t>
            </w:r>
            <w:r w:rsidRPr="00EC7993">
              <w:rPr>
                <w:rFonts w:ascii="Arial" w:eastAsia="Calibri" w:hAnsi="Arial"/>
                <w:kern w:val="0"/>
                <w:lang w:val="la-Latn" w:eastAsia="en-US" w:bidi="ar-SA"/>
              </w:rPr>
              <w:t xml:space="preserve"> appellaverunt id propemodum, quod Graeci παιδείαν (paideia, Bildung) vocant, nos </w:t>
            </w:r>
            <w:r w:rsidRPr="00EC7993">
              <w:rPr>
                <w:rFonts w:ascii="Arial" w:eastAsia="Calibri" w:hAnsi="Arial"/>
                <w:i/>
                <w:iCs/>
                <w:kern w:val="0"/>
                <w:lang w:val="la-Latn" w:eastAsia="en-US" w:bidi="ar-SA"/>
              </w:rPr>
              <w:t>eruditionem institutionemque in bonas artis</w:t>
            </w:r>
            <w:r w:rsidRPr="00EC7993">
              <w:rPr>
                <w:rFonts w:ascii="Arial" w:eastAsia="Calibri" w:hAnsi="Arial"/>
                <w:kern w:val="0"/>
                <w:lang w:val="la-Latn" w:eastAsia="en-US" w:bidi="ar-SA"/>
              </w:rPr>
              <w:t xml:space="preserve"> dicimus.</w:t>
            </w:r>
          </w:p>
          <w:p w14:paraId="1E186C9C" w14:textId="77777777" w:rsidR="00D600B5" w:rsidRPr="00EC7993" w:rsidRDefault="00235EB8">
            <w:pPr>
              <w:widowControl w:val="0"/>
              <w:suppressAutoHyphens w:val="0"/>
              <w:spacing w:after="60" w:line="360" w:lineRule="auto"/>
              <w:textAlignment w:val="auto"/>
              <w:rPr>
                <w:rFonts w:ascii="Arial" w:eastAsia="Calibri" w:hAnsi="Arial"/>
                <w:kern w:val="0"/>
                <w:lang w:val="la-Latn" w:eastAsia="en-US" w:bidi="ar-SA"/>
              </w:rPr>
            </w:pPr>
            <w:r w:rsidRPr="00EC7993">
              <w:rPr>
                <w:rFonts w:ascii="Arial" w:eastAsia="Calibri" w:hAnsi="Arial"/>
                <w:kern w:val="0"/>
                <w:lang w:val="la-Latn" w:eastAsia="en-US" w:bidi="ar-SA"/>
              </w:rPr>
              <w:t>Quas qui sinceriter cupiunt adpetuntque, hi sunt vel maxime humanissimi.</w:t>
            </w:r>
          </w:p>
          <w:p w14:paraId="2A0B5FBC" w14:textId="77777777" w:rsidR="00D600B5" w:rsidRPr="00EC7993" w:rsidRDefault="00D600B5">
            <w:pPr>
              <w:widowControl w:val="0"/>
              <w:suppressAutoHyphens w:val="0"/>
              <w:spacing w:after="60" w:line="360" w:lineRule="auto"/>
              <w:textAlignment w:val="auto"/>
              <w:rPr>
                <w:rFonts w:ascii="Arial" w:eastAsia="Calibri" w:hAnsi="Arial"/>
                <w:kern w:val="0"/>
                <w:lang w:val="la-Latn" w:eastAsia="en-US" w:bidi="ar-SA"/>
              </w:rPr>
            </w:pPr>
          </w:p>
          <w:p w14:paraId="11647894" w14:textId="77777777" w:rsidR="00D600B5" w:rsidRPr="00EC7993" w:rsidRDefault="00235EB8">
            <w:pPr>
              <w:widowControl w:val="0"/>
              <w:suppressAutoHyphens w:val="0"/>
              <w:spacing w:after="60" w:line="360" w:lineRule="auto"/>
              <w:textAlignment w:val="auto"/>
              <w:rPr>
                <w:rFonts w:ascii="Arial" w:eastAsia="Calibri" w:hAnsi="Arial"/>
                <w:kern w:val="0"/>
                <w:lang w:val="la-Latn" w:eastAsia="en-US" w:bidi="ar-SA"/>
              </w:rPr>
            </w:pPr>
            <w:r w:rsidRPr="00EC7993">
              <w:rPr>
                <w:rFonts w:ascii="Arial" w:eastAsia="Calibri" w:hAnsi="Arial"/>
                <w:kern w:val="0"/>
                <w:lang w:val="la-Latn" w:eastAsia="en-US" w:bidi="ar-SA"/>
              </w:rPr>
              <w:t xml:space="preserve">Huius enim scientiae cura et disciplina ex universis animantibus uni homini datast idcircoque </w:t>
            </w:r>
            <w:r w:rsidRPr="00EC7993">
              <w:rPr>
                <w:rFonts w:ascii="Arial" w:eastAsia="Calibri" w:hAnsi="Arial"/>
                <w:i/>
                <w:iCs/>
                <w:kern w:val="0"/>
                <w:lang w:val="la-Latn" w:eastAsia="en-US" w:bidi="ar-SA"/>
              </w:rPr>
              <w:t>humanitas</w:t>
            </w:r>
            <w:r w:rsidRPr="00EC7993">
              <w:rPr>
                <w:rFonts w:ascii="Arial" w:eastAsia="Calibri" w:hAnsi="Arial"/>
                <w:kern w:val="0"/>
                <w:lang w:val="la-Latn" w:eastAsia="en-US" w:bidi="ar-SA"/>
              </w:rPr>
              <w:t xml:space="preserve"> appellata est.</w:t>
            </w:r>
          </w:p>
        </w:tc>
        <w:tc>
          <w:tcPr>
            <w:tcW w:w="432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67291F7" w14:textId="77777777" w:rsidR="00D600B5" w:rsidRPr="00EC7993" w:rsidRDefault="00235EB8">
            <w:pPr>
              <w:widowControl w:val="0"/>
              <w:suppressAutoHyphens w:val="0"/>
              <w:spacing w:after="60" w:line="360" w:lineRule="auto"/>
              <w:textAlignment w:val="auto"/>
              <w:rPr>
                <w:rFonts w:ascii="Arial" w:eastAsia="Calibri" w:hAnsi="Arial"/>
                <w:kern w:val="0"/>
                <w:sz w:val="20"/>
                <w:szCs w:val="20"/>
                <w:lang w:eastAsia="en-US" w:bidi="ar-SA"/>
              </w:rPr>
            </w:pPr>
            <w:r w:rsidRPr="00EC7993">
              <w:rPr>
                <w:rFonts w:ascii="Arial" w:eastAsia="Calibri" w:hAnsi="Arial"/>
                <w:kern w:val="0"/>
                <w:sz w:val="20"/>
                <w:szCs w:val="20"/>
                <w:lang w:eastAsia="en-US" w:bidi="ar-SA"/>
              </w:rPr>
              <w:t>Diejenigen, die die Wörter der lateinischen Sprache prägten und diese richtig verwendet haben, vertraten die Meinung, dass „Menschlichkeit“ (</w:t>
            </w:r>
            <w:proofErr w:type="spellStart"/>
            <w:r w:rsidRPr="00EC7993">
              <w:rPr>
                <w:rFonts w:ascii="Arial" w:eastAsia="Calibri" w:hAnsi="Arial"/>
                <w:kern w:val="0"/>
                <w:sz w:val="20"/>
                <w:szCs w:val="20"/>
                <w:lang w:eastAsia="en-US" w:bidi="ar-SA"/>
              </w:rPr>
              <w:t>humanitas</w:t>
            </w:r>
            <w:proofErr w:type="spellEnd"/>
            <w:r w:rsidRPr="00EC7993">
              <w:rPr>
                <w:rFonts w:ascii="Arial" w:eastAsia="Calibri" w:hAnsi="Arial"/>
                <w:kern w:val="0"/>
                <w:sz w:val="20"/>
                <w:szCs w:val="20"/>
                <w:lang w:eastAsia="en-US" w:bidi="ar-SA"/>
              </w:rPr>
              <w:t xml:space="preserve">) nicht das bedeutet, was das Volk dafür hält und was die Griechen als </w:t>
            </w:r>
            <w:proofErr w:type="spellStart"/>
            <w:r w:rsidRPr="00EC7993">
              <w:rPr>
                <w:rFonts w:ascii="Arial" w:eastAsia="Calibri" w:hAnsi="Arial"/>
                <w:kern w:val="0"/>
                <w:sz w:val="20"/>
                <w:szCs w:val="20"/>
                <w:lang w:eastAsia="en-US" w:bidi="ar-SA"/>
              </w:rPr>
              <w:t>philantropia</w:t>
            </w:r>
            <w:proofErr w:type="spellEnd"/>
            <w:r w:rsidRPr="00EC7993">
              <w:rPr>
                <w:rFonts w:ascii="Arial" w:eastAsia="Calibri" w:hAnsi="Arial"/>
                <w:kern w:val="0"/>
                <w:sz w:val="20"/>
                <w:szCs w:val="20"/>
                <w:lang w:eastAsia="en-US" w:bidi="ar-SA"/>
              </w:rPr>
              <w:t xml:space="preserve"> (Menschenliebe) bezeichneten und was damit eine gewisse Umgänglichkeit und ein Wohlwollen gegenüber allen Menschen, wer es auch sei, bezeichnet, sondern sie nannten „Menschlichkeit“ (</w:t>
            </w:r>
            <w:proofErr w:type="spellStart"/>
            <w:r w:rsidRPr="00EC7993">
              <w:rPr>
                <w:rFonts w:ascii="Arial" w:eastAsia="Calibri" w:hAnsi="Arial"/>
                <w:kern w:val="0"/>
                <w:sz w:val="20"/>
                <w:szCs w:val="20"/>
                <w:lang w:eastAsia="en-US" w:bidi="ar-SA"/>
              </w:rPr>
              <w:t>humanitas</w:t>
            </w:r>
            <w:proofErr w:type="spellEnd"/>
            <w:r w:rsidRPr="00EC7993">
              <w:rPr>
                <w:rFonts w:ascii="Arial" w:eastAsia="Calibri" w:hAnsi="Arial"/>
                <w:kern w:val="0"/>
                <w:sz w:val="20"/>
                <w:szCs w:val="20"/>
                <w:lang w:eastAsia="en-US" w:bidi="ar-SA"/>
              </w:rPr>
              <w:t>) vielmehr das, was die Griechen Bildung (</w:t>
            </w:r>
            <w:proofErr w:type="spellStart"/>
            <w:r w:rsidRPr="00EC7993">
              <w:rPr>
                <w:rFonts w:ascii="Arial" w:eastAsia="Calibri" w:hAnsi="Arial"/>
                <w:kern w:val="0"/>
                <w:sz w:val="20"/>
                <w:szCs w:val="20"/>
                <w:lang w:eastAsia="en-US" w:bidi="ar-SA"/>
              </w:rPr>
              <w:t>paideia</w:t>
            </w:r>
            <w:proofErr w:type="spellEnd"/>
            <w:r w:rsidRPr="00EC7993">
              <w:rPr>
                <w:rFonts w:ascii="Arial" w:eastAsia="Calibri" w:hAnsi="Arial"/>
                <w:kern w:val="0"/>
                <w:sz w:val="20"/>
                <w:szCs w:val="20"/>
                <w:lang w:eastAsia="en-US" w:bidi="ar-SA"/>
              </w:rPr>
              <w:t>) nennen, wir hingegen Erziehung (</w:t>
            </w:r>
            <w:proofErr w:type="spellStart"/>
            <w:r w:rsidRPr="00EC7993">
              <w:rPr>
                <w:rFonts w:ascii="Arial" w:eastAsia="Calibri" w:hAnsi="Arial"/>
                <w:kern w:val="0"/>
                <w:sz w:val="20"/>
                <w:szCs w:val="20"/>
                <w:lang w:eastAsia="en-US" w:bidi="ar-SA"/>
              </w:rPr>
              <w:t>eruditio</w:t>
            </w:r>
            <w:proofErr w:type="spellEnd"/>
            <w:r w:rsidRPr="00EC7993">
              <w:rPr>
                <w:rFonts w:ascii="Arial" w:eastAsia="Calibri" w:hAnsi="Arial"/>
                <w:kern w:val="0"/>
                <w:sz w:val="20"/>
                <w:szCs w:val="20"/>
                <w:lang w:eastAsia="en-US" w:bidi="ar-SA"/>
              </w:rPr>
              <w:t>) und Unterricht in den Künsten (</w:t>
            </w:r>
            <w:proofErr w:type="spellStart"/>
            <w:r w:rsidRPr="00EC7993">
              <w:rPr>
                <w:rFonts w:ascii="Arial" w:eastAsia="Calibri" w:hAnsi="Arial"/>
                <w:kern w:val="0"/>
                <w:sz w:val="20"/>
                <w:szCs w:val="20"/>
                <w:lang w:eastAsia="en-US" w:bidi="ar-SA"/>
              </w:rPr>
              <w:t>institutio</w:t>
            </w:r>
            <w:proofErr w:type="spellEnd"/>
            <w:r w:rsidRPr="00EC7993">
              <w:rPr>
                <w:rFonts w:ascii="Arial" w:eastAsia="Calibri" w:hAnsi="Arial"/>
                <w:kern w:val="0"/>
                <w:sz w:val="20"/>
                <w:szCs w:val="20"/>
                <w:lang w:eastAsia="en-US" w:bidi="ar-SA"/>
              </w:rPr>
              <w:t>).</w:t>
            </w:r>
          </w:p>
          <w:p w14:paraId="0456A686" w14:textId="77777777" w:rsidR="00D600B5" w:rsidRPr="00EC7993" w:rsidRDefault="00235EB8">
            <w:pPr>
              <w:widowControl w:val="0"/>
              <w:suppressAutoHyphens w:val="0"/>
              <w:spacing w:after="60" w:line="360" w:lineRule="auto"/>
              <w:textAlignment w:val="auto"/>
              <w:rPr>
                <w:rFonts w:ascii="Arial" w:eastAsia="Calibri" w:hAnsi="Arial"/>
                <w:kern w:val="0"/>
                <w:sz w:val="20"/>
                <w:szCs w:val="20"/>
                <w:lang w:eastAsia="en-US" w:bidi="ar-SA"/>
              </w:rPr>
            </w:pPr>
            <w:r w:rsidRPr="00EC7993">
              <w:rPr>
                <w:rFonts w:ascii="Arial" w:eastAsia="Calibri" w:hAnsi="Arial"/>
                <w:kern w:val="0"/>
                <w:sz w:val="20"/>
                <w:szCs w:val="20"/>
                <w:lang w:eastAsia="en-US" w:bidi="ar-SA"/>
              </w:rPr>
              <w:t>Alle, die dieses letztgenannte ernsthaft wünschen und anstreben, sind im wahrsten Sinne menschlich.</w:t>
            </w:r>
          </w:p>
          <w:p w14:paraId="0B3F047A" w14:textId="77777777" w:rsidR="00D600B5" w:rsidRPr="00EC7993" w:rsidRDefault="00235EB8">
            <w:pPr>
              <w:widowControl w:val="0"/>
              <w:suppressAutoHyphens w:val="0"/>
              <w:spacing w:after="60" w:line="360" w:lineRule="auto"/>
              <w:textAlignment w:val="auto"/>
              <w:rPr>
                <w:rFonts w:ascii="Arial" w:eastAsia="Calibri" w:hAnsi="Arial"/>
                <w:kern w:val="0"/>
                <w:sz w:val="20"/>
                <w:szCs w:val="20"/>
                <w:lang w:eastAsia="en-US" w:bidi="ar-SA"/>
              </w:rPr>
            </w:pPr>
            <w:r w:rsidRPr="00EC7993">
              <w:rPr>
                <w:rFonts w:ascii="Arial" w:eastAsia="Calibri" w:hAnsi="Arial"/>
                <w:kern w:val="0"/>
                <w:sz w:val="20"/>
                <w:szCs w:val="20"/>
                <w:lang w:eastAsia="en-US" w:bidi="ar-SA"/>
              </w:rPr>
              <w:t xml:space="preserve">Die Sorge um dieses Wissen und die gewissenhafte Bemühung darum ist nämlich von allen Lebewesen allein dem Menschen gegeben und wurde daher </w:t>
            </w:r>
            <w:r w:rsidRPr="00EC7993">
              <w:rPr>
                <w:rFonts w:ascii="Arial" w:eastAsia="Calibri" w:hAnsi="Arial"/>
                <w:i/>
                <w:iCs/>
                <w:kern w:val="0"/>
                <w:sz w:val="20"/>
                <w:szCs w:val="20"/>
                <w:lang w:eastAsia="en-US" w:bidi="ar-SA"/>
              </w:rPr>
              <w:t>Menschlichkeit</w:t>
            </w:r>
            <w:r w:rsidRPr="00EC7993">
              <w:rPr>
                <w:rFonts w:ascii="Arial" w:eastAsia="Calibri" w:hAnsi="Arial"/>
                <w:kern w:val="0"/>
                <w:sz w:val="20"/>
                <w:szCs w:val="20"/>
                <w:lang w:eastAsia="en-US" w:bidi="ar-SA"/>
              </w:rPr>
              <w:t xml:space="preserve"> (</w:t>
            </w:r>
            <w:proofErr w:type="spellStart"/>
            <w:r w:rsidRPr="00EC7993">
              <w:rPr>
                <w:rFonts w:ascii="Arial" w:eastAsia="Calibri" w:hAnsi="Arial"/>
                <w:kern w:val="0"/>
                <w:sz w:val="20"/>
                <w:szCs w:val="20"/>
                <w:lang w:eastAsia="en-US" w:bidi="ar-SA"/>
              </w:rPr>
              <w:t>humanitas</w:t>
            </w:r>
            <w:proofErr w:type="spellEnd"/>
            <w:r w:rsidRPr="00EC7993">
              <w:rPr>
                <w:rFonts w:ascii="Arial" w:eastAsia="Calibri" w:hAnsi="Arial"/>
                <w:kern w:val="0"/>
                <w:sz w:val="20"/>
                <w:szCs w:val="20"/>
                <w:lang w:eastAsia="en-US" w:bidi="ar-SA"/>
              </w:rPr>
              <w:t>) genannt.</w:t>
            </w:r>
          </w:p>
        </w:tc>
      </w:tr>
      <w:tr w:rsidR="00D600B5" w14:paraId="72A66D91" w14:textId="77777777" w:rsidTr="00467F1D">
        <w:trPr>
          <w:cantSplit/>
          <w:trHeight w:val="1488"/>
        </w:trPr>
        <w:tc>
          <w:tcPr>
            <w:tcW w:w="5660" w:type="dxa"/>
            <w:tcBorders>
              <w:left w:val="single" w:sz="4" w:space="0" w:color="000000"/>
              <w:bottom w:val="single" w:sz="4" w:space="0" w:color="000000"/>
            </w:tcBorders>
            <w:tcMar>
              <w:top w:w="113" w:type="dxa"/>
              <w:left w:w="108" w:type="dxa"/>
              <w:bottom w:w="113" w:type="dxa"/>
              <w:right w:w="108" w:type="dxa"/>
            </w:tcMar>
          </w:tcPr>
          <w:p w14:paraId="64A6DC15" w14:textId="77777777" w:rsidR="00D600B5" w:rsidRPr="00EC7993" w:rsidRDefault="00235EB8">
            <w:pPr>
              <w:widowControl w:val="0"/>
              <w:suppressAutoHyphens w:val="0"/>
              <w:spacing w:after="60" w:line="360" w:lineRule="auto"/>
              <w:textAlignment w:val="auto"/>
              <w:rPr>
                <w:rFonts w:ascii="Arial" w:eastAsia="Calibri" w:hAnsi="Arial"/>
                <w:kern w:val="0"/>
                <w:lang w:val="la-Latn" w:eastAsia="en-US" w:bidi="ar-SA"/>
              </w:rPr>
            </w:pPr>
            <w:r w:rsidRPr="00EC7993">
              <w:rPr>
                <w:rFonts w:ascii="Arial" w:eastAsia="Calibri" w:hAnsi="Arial"/>
                <w:kern w:val="0"/>
                <w:lang w:val="la-Latn" w:eastAsia="en-US" w:bidi="ar-SA"/>
              </w:rPr>
              <w:t>[2] Sic igitur eo verbo veteres esse usos et cumprimis M. Varronem Marcumque Tullium omnes ferme libri declarant.</w:t>
            </w:r>
          </w:p>
          <w:p w14:paraId="7055FA87" w14:textId="77777777" w:rsidR="00D600B5" w:rsidRPr="00EC7993" w:rsidRDefault="00235EB8">
            <w:pPr>
              <w:widowControl w:val="0"/>
              <w:suppressAutoHyphens w:val="0"/>
              <w:spacing w:after="60" w:line="360" w:lineRule="auto"/>
              <w:textAlignment w:val="auto"/>
              <w:rPr>
                <w:rFonts w:ascii="Arial" w:eastAsia="Calibri" w:hAnsi="Arial"/>
                <w:kern w:val="0"/>
                <w:lang w:val="la-Latn" w:eastAsia="en-US" w:bidi="ar-SA"/>
              </w:rPr>
            </w:pPr>
            <w:r w:rsidRPr="00EC7993">
              <w:rPr>
                <w:rFonts w:ascii="Arial" w:eastAsia="Calibri" w:hAnsi="Arial"/>
                <w:kern w:val="0"/>
                <w:lang w:val="la-Latn" w:eastAsia="en-US" w:bidi="ar-SA"/>
              </w:rPr>
              <w:t>Quamobrem satis habui unum interim exemplum promere.</w:t>
            </w:r>
          </w:p>
        </w:tc>
        <w:tc>
          <w:tcPr>
            <w:tcW w:w="4322" w:type="dxa"/>
            <w:tcBorders>
              <w:left w:val="single" w:sz="4" w:space="0" w:color="000000"/>
              <w:bottom w:val="single" w:sz="4" w:space="0" w:color="000000"/>
              <w:right w:val="single" w:sz="4" w:space="0" w:color="000000"/>
            </w:tcBorders>
            <w:tcMar>
              <w:top w:w="113" w:type="dxa"/>
              <w:left w:w="108" w:type="dxa"/>
              <w:bottom w:w="113" w:type="dxa"/>
              <w:right w:w="108" w:type="dxa"/>
            </w:tcMar>
          </w:tcPr>
          <w:p w14:paraId="2D78F246" w14:textId="77777777" w:rsidR="00D600B5" w:rsidRPr="00EC7993" w:rsidRDefault="00235EB8">
            <w:pPr>
              <w:widowControl w:val="0"/>
              <w:suppressAutoHyphens w:val="0"/>
              <w:spacing w:after="60" w:line="360" w:lineRule="auto"/>
              <w:textAlignment w:val="auto"/>
              <w:rPr>
                <w:rFonts w:ascii="Arial" w:eastAsia="Calibri" w:hAnsi="Arial"/>
                <w:kern w:val="0"/>
                <w:sz w:val="20"/>
                <w:szCs w:val="20"/>
                <w:lang w:eastAsia="en-US" w:bidi="ar-SA"/>
              </w:rPr>
            </w:pPr>
            <w:r w:rsidRPr="00EC7993">
              <w:rPr>
                <w:rFonts w:ascii="Arial" w:eastAsia="Calibri" w:hAnsi="Arial"/>
                <w:kern w:val="0"/>
                <w:sz w:val="20"/>
                <w:szCs w:val="20"/>
                <w:lang w:eastAsia="en-US" w:bidi="ar-SA"/>
              </w:rPr>
              <w:t>Dass die Alten, v.a. M. Varro und M. Tullius (Cicero) dieses Wort so verstanden haben, das zeigen beinahe alle ihre Bücher.</w:t>
            </w:r>
          </w:p>
          <w:p w14:paraId="13F32A32" w14:textId="77777777" w:rsidR="00D600B5" w:rsidRPr="00EC7993" w:rsidRDefault="00235EB8">
            <w:pPr>
              <w:widowControl w:val="0"/>
              <w:suppressAutoHyphens w:val="0"/>
              <w:spacing w:after="60" w:line="360" w:lineRule="auto"/>
              <w:textAlignment w:val="auto"/>
              <w:rPr>
                <w:rFonts w:ascii="Arial" w:eastAsia="Calibri" w:hAnsi="Arial"/>
                <w:kern w:val="0"/>
                <w:sz w:val="20"/>
                <w:szCs w:val="20"/>
                <w:lang w:eastAsia="en-US" w:bidi="ar-SA"/>
              </w:rPr>
            </w:pPr>
            <w:r w:rsidRPr="00EC7993">
              <w:rPr>
                <w:rFonts w:ascii="Arial" w:eastAsia="Calibri" w:hAnsi="Arial"/>
                <w:kern w:val="0"/>
                <w:sz w:val="20"/>
                <w:szCs w:val="20"/>
                <w:lang w:eastAsia="en-US" w:bidi="ar-SA"/>
              </w:rPr>
              <w:t>Daher genügt es, wenn ich einstweilen nur ein Beispiel anführe.</w:t>
            </w:r>
          </w:p>
        </w:tc>
      </w:tr>
      <w:tr w:rsidR="00D600B5" w14:paraId="2EA4D876" w14:textId="77777777" w:rsidTr="00467F1D">
        <w:trPr>
          <w:cantSplit/>
          <w:trHeight w:val="2136"/>
        </w:trPr>
        <w:tc>
          <w:tcPr>
            <w:tcW w:w="5660" w:type="dxa"/>
            <w:tcBorders>
              <w:left w:val="single" w:sz="4" w:space="0" w:color="000000"/>
              <w:bottom w:val="single" w:sz="4" w:space="0" w:color="000000"/>
            </w:tcBorders>
            <w:tcMar>
              <w:top w:w="113" w:type="dxa"/>
              <w:left w:w="108" w:type="dxa"/>
              <w:bottom w:w="113" w:type="dxa"/>
              <w:right w:w="108" w:type="dxa"/>
            </w:tcMar>
          </w:tcPr>
          <w:p w14:paraId="75C656B9" w14:textId="77777777" w:rsidR="00D600B5" w:rsidRPr="00EC7993" w:rsidRDefault="00235EB8">
            <w:pPr>
              <w:widowControl w:val="0"/>
              <w:suppressAutoHyphens w:val="0"/>
              <w:spacing w:after="60" w:line="360" w:lineRule="auto"/>
              <w:textAlignment w:val="auto"/>
              <w:rPr>
                <w:rFonts w:ascii="Arial" w:eastAsia="Calibri" w:hAnsi="Arial"/>
                <w:kern w:val="0"/>
                <w:lang w:val="la-Latn" w:eastAsia="en-US" w:bidi="ar-SA"/>
              </w:rPr>
            </w:pPr>
            <w:r w:rsidRPr="00EC7993">
              <w:rPr>
                <w:rFonts w:ascii="Arial" w:eastAsia="Calibri" w:hAnsi="Arial"/>
                <w:kern w:val="0"/>
                <w:lang w:val="la-Latn" w:eastAsia="en-US" w:bidi="ar-SA"/>
              </w:rPr>
              <w:lastRenderedPageBreak/>
              <w:t>[3] Itaque verba posui Varronis e libro rerum humanarum primo, cuius principium hoc est: „Praxiteles, qui propter artificium egregium nemini est paulum modo humaniori ignotus.“</w:t>
            </w:r>
          </w:p>
          <w:p w14:paraId="54F9EB92" w14:textId="77777777" w:rsidR="00D600B5" w:rsidRPr="00EC7993" w:rsidRDefault="00D600B5">
            <w:pPr>
              <w:widowControl w:val="0"/>
              <w:suppressAutoHyphens w:val="0"/>
              <w:spacing w:after="60" w:line="360" w:lineRule="auto"/>
              <w:textAlignment w:val="auto"/>
              <w:rPr>
                <w:rFonts w:ascii="Arial" w:eastAsia="Calibri" w:hAnsi="Arial"/>
                <w:kern w:val="0"/>
                <w:lang w:val="la-Latn" w:eastAsia="en-US" w:bidi="ar-SA"/>
              </w:rPr>
            </w:pPr>
          </w:p>
        </w:tc>
        <w:tc>
          <w:tcPr>
            <w:tcW w:w="4322" w:type="dxa"/>
            <w:tcBorders>
              <w:left w:val="single" w:sz="4" w:space="0" w:color="000000"/>
              <w:bottom w:val="single" w:sz="4" w:space="0" w:color="000000"/>
              <w:right w:val="single" w:sz="4" w:space="0" w:color="000000"/>
            </w:tcBorders>
            <w:tcMar>
              <w:top w:w="113" w:type="dxa"/>
              <w:left w:w="108" w:type="dxa"/>
              <w:bottom w:w="113" w:type="dxa"/>
              <w:right w:w="108" w:type="dxa"/>
            </w:tcMar>
          </w:tcPr>
          <w:p w14:paraId="12CF1D54" w14:textId="77777777" w:rsidR="00D600B5" w:rsidRPr="00EC7993" w:rsidRDefault="00235EB8">
            <w:pPr>
              <w:widowControl w:val="0"/>
              <w:suppressAutoHyphens w:val="0"/>
              <w:spacing w:after="60" w:line="360" w:lineRule="auto"/>
              <w:textAlignment w:val="auto"/>
              <w:rPr>
                <w:rFonts w:ascii="Arial" w:eastAsia="Calibri" w:hAnsi="Arial"/>
                <w:kern w:val="0"/>
                <w:sz w:val="20"/>
                <w:szCs w:val="20"/>
                <w:lang w:eastAsia="en-US" w:bidi="ar-SA"/>
              </w:rPr>
            </w:pPr>
            <w:r w:rsidRPr="00EC7993">
              <w:rPr>
                <w:rFonts w:ascii="Arial" w:eastAsia="Calibri" w:hAnsi="Arial"/>
                <w:kern w:val="0"/>
                <w:sz w:val="20"/>
                <w:szCs w:val="20"/>
                <w:lang w:eastAsia="en-US" w:bidi="ar-SA"/>
              </w:rPr>
              <w:t xml:space="preserve">Deshalb nehme ich die Worte des Varro aus dem ersten Buch über die Sitten der Menschen, dessen Anfang folgendermaßen lautet: „Praxiteles, der wegen seiner überragenden Meisterschaft niemandem unbekannt ist, der auch nur ein wenig </w:t>
            </w:r>
            <w:r w:rsidRPr="00EC7993">
              <w:rPr>
                <w:rFonts w:ascii="Arial" w:eastAsia="Calibri" w:hAnsi="Arial"/>
                <w:i/>
                <w:iCs/>
                <w:kern w:val="0"/>
                <w:sz w:val="20"/>
                <w:szCs w:val="20"/>
                <w:lang w:eastAsia="en-US" w:bidi="ar-SA"/>
              </w:rPr>
              <w:t>human</w:t>
            </w:r>
            <w:r w:rsidRPr="00EC7993">
              <w:rPr>
                <w:rFonts w:ascii="Arial" w:eastAsia="Calibri" w:hAnsi="Arial"/>
                <w:kern w:val="0"/>
                <w:sz w:val="20"/>
                <w:szCs w:val="20"/>
                <w:lang w:eastAsia="en-US" w:bidi="ar-SA"/>
              </w:rPr>
              <w:t xml:space="preserve"> ist...“</w:t>
            </w:r>
          </w:p>
        </w:tc>
      </w:tr>
      <w:tr w:rsidR="00D600B5" w14:paraId="18662C14" w14:textId="77777777" w:rsidTr="00467F1D">
        <w:trPr>
          <w:cantSplit/>
        </w:trPr>
        <w:tc>
          <w:tcPr>
            <w:tcW w:w="5660" w:type="dxa"/>
            <w:tcBorders>
              <w:left w:val="single" w:sz="4" w:space="0" w:color="000000"/>
              <w:bottom w:val="single" w:sz="4" w:space="0" w:color="000000"/>
            </w:tcBorders>
            <w:tcMar>
              <w:top w:w="113" w:type="dxa"/>
              <w:left w:w="108" w:type="dxa"/>
              <w:bottom w:w="113" w:type="dxa"/>
              <w:right w:w="108" w:type="dxa"/>
            </w:tcMar>
          </w:tcPr>
          <w:p w14:paraId="05110282" w14:textId="77777777" w:rsidR="00D600B5" w:rsidRPr="00EC7993" w:rsidRDefault="00235EB8">
            <w:pPr>
              <w:widowControl w:val="0"/>
              <w:suppressAutoHyphens w:val="0"/>
              <w:spacing w:after="60" w:line="360" w:lineRule="auto"/>
              <w:textAlignment w:val="auto"/>
              <w:rPr>
                <w:rFonts w:ascii="Arial" w:eastAsia="Calibri" w:hAnsi="Arial"/>
                <w:kern w:val="0"/>
                <w:lang w:val="la-Latn" w:eastAsia="en-US" w:bidi="ar-SA"/>
              </w:rPr>
            </w:pPr>
            <w:r w:rsidRPr="00EC7993">
              <w:rPr>
                <w:rFonts w:ascii="Arial" w:eastAsia="Calibri" w:hAnsi="Arial"/>
                <w:kern w:val="0"/>
                <w:lang w:val="la-Latn" w:eastAsia="en-US" w:bidi="ar-SA"/>
              </w:rPr>
              <w:t>[4] „Humaniori“ inquit non ita, ut vulgo dicitur, facili et tractabili et benivolo, tametsi rudis litterarum sit – hoc enim cum sententia nequaquam convenit –, sed eruditiori doctiorique, qui Praxitelem, quid fuerit, et ex libris et ex historia cognoverit.</w:t>
            </w:r>
          </w:p>
          <w:p w14:paraId="7899EE52" w14:textId="77777777" w:rsidR="00D600B5" w:rsidRPr="00EC7993" w:rsidRDefault="00D600B5">
            <w:pPr>
              <w:widowControl w:val="0"/>
              <w:suppressAutoHyphens w:val="0"/>
              <w:spacing w:after="60" w:line="360" w:lineRule="auto"/>
              <w:textAlignment w:val="auto"/>
              <w:rPr>
                <w:rFonts w:ascii="Arial" w:eastAsia="Calibri" w:hAnsi="Arial"/>
                <w:kern w:val="0"/>
                <w:lang w:val="la-Latn" w:eastAsia="en-US" w:bidi="ar-SA"/>
              </w:rPr>
            </w:pPr>
          </w:p>
        </w:tc>
        <w:tc>
          <w:tcPr>
            <w:tcW w:w="4322" w:type="dxa"/>
            <w:tcBorders>
              <w:left w:val="single" w:sz="4" w:space="0" w:color="000000"/>
              <w:bottom w:val="single" w:sz="4" w:space="0" w:color="000000"/>
              <w:right w:val="single" w:sz="4" w:space="0" w:color="000000"/>
            </w:tcBorders>
            <w:tcMar>
              <w:top w:w="113" w:type="dxa"/>
              <w:left w:w="108" w:type="dxa"/>
              <w:bottom w:w="113" w:type="dxa"/>
              <w:right w:w="108" w:type="dxa"/>
            </w:tcMar>
          </w:tcPr>
          <w:p w14:paraId="4458A95D" w14:textId="3777D825" w:rsidR="00D600B5" w:rsidRPr="00EC7993" w:rsidRDefault="00235EB8">
            <w:pPr>
              <w:widowControl w:val="0"/>
              <w:suppressAutoHyphens w:val="0"/>
              <w:spacing w:after="60" w:line="360" w:lineRule="auto"/>
              <w:textAlignment w:val="auto"/>
              <w:rPr>
                <w:rFonts w:ascii="Arial" w:eastAsia="Calibri" w:hAnsi="Arial"/>
                <w:kern w:val="0"/>
                <w:sz w:val="20"/>
                <w:szCs w:val="20"/>
                <w:lang w:eastAsia="en-US" w:bidi="ar-SA"/>
              </w:rPr>
            </w:pPr>
            <w:r w:rsidRPr="00EC7993">
              <w:rPr>
                <w:rFonts w:ascii="Arial" w:eastAsia="Calibri" w:hAnsi="Arial"/>
                <w:kern w:val="0"/>
                <w:sz w:val="20"/>
                <w:szCs w:val="20"/>
                <w:lang w:eastAsia="en-US" w:bidi="ar-SA"/>
              </w:rPr>
              <w:t>„Human“ verwendet er nicht so, wie es im allgemeinen Sprachgebrauch benutzt wird, von einem, der umgänglich, gütig und wohlwollend ist</w:t>
            </w:r>
            <w:r w:rsidR="00661983">
              <w:rPr>
                <w:rFonts w:ascii="Arial" w:eastAsia="Calibri" w:hAnsi="Arial"/>
                <w:kern w:val="0"/>
                <w:sz w:val="20"/>
                <w:szCs w:val="20"/>
                <w:lang w:eastAsia="en-US" w:bidi="ar-SA"/>
              </w:rPr>
              <w:t xml:space="preserve">, </w:t>
            </w:r>
            <w:r w:rsidR="00661983" w:rsidRPr="00661983">
              <w:rPr>
                <w:rFonts w:ascii="Arial" w:eastAsia="Calibri" w:hAnsi="Arial"/>
                <w:kern w:val="0"/>
                <w:sz w:val="20"/>
                <w:szCs w:val="20"/>
                <w:lang w:eastAsia="en-US" w:bidi="ar-SA"/>
              </w:rPr>
              <w:t>auch wenn er sich in der Literatur nicht auskennt</w:t>
            </w:r>
            <w:r w:rsidR="00661983">
              <w:rPr>
                <w:rFonts w:ascii="Arial" w:eastAsia="Calibri" w:hAnsi="Arial"/>
                <w:kern w:val="0"/>
                <w:sz w:val="20"/>
                <w:szCs w:val="20"/>
                <w:lang w:eastAsia="en-US" w:bidi="ar-SA"/>
              </w:rPr>
              <w:t xml:space="preserve"> </w:t>
            </w:r>
            <w:r w:rsidRPr="00EC7993">
              <w:rPr>
                <w:rFonts w:ascii="Arial" w:eastAsia="Calibri" w:hAnsi="Arial"/>
                <w:kern w:val="0"/>
                <w:sz w:val="20"/>
                <w:szCs w:val="20"/>
                <w:lang w:eastAsia="en-US" w:bidi="ar-SA"/>
              </w:rPr>
              <w:t>– dies passt nämlich keineswegs zum Sinn des Satzes –sondern so, dass dieser gebildet und gelehrt ist und aus den Büchern und aus der Geschichte gelernt hat, wer Praxiteles war und worin seine Bedeutung besteht.</w:t>
            </w:r>
          </w:p>
        </w:tc>
      </w:tr>
    </w:tbl>
    <w:p w14:paraId="22B5C632" w14:textId="77777777" w:rsidR="00D600B5" w:rsidRDefault="00D600B5"/>
    <w:p w14:paraId="32813838" w14:textId="77777777" w:rsidR="00D600B5" w:rsidRDefault="00235EB8">
      <w:pPr>
        <w:pStyle w:val="berschrift1"/>
      </w:pPr>
      <w:r>
        <w:t>Arbeitsvorschläge</w:t>
      </w:r>
    </w:p>
    <w:p w14:paraId="22567DD5" w14:textId="77777777" w:rsidR="00D600B5" w:rsidRDefault="00235EB8">
      <w:pPr>
        <w:numPr>
          <w:ilvl w:val="0"/>
          <w:numId w:val="2"/>
        </w:numPr>
        <w:suppressAutoHyphens w:val="0"/>
        <w:spacing w:after="57" w:line="288" w:lineRule="auto"/>
        <w:ind w:left="714" w:hanging="357"/>
        <w:jc w:val="both"/>
        <w:textAlignment w:val="auto"/>
      </w:pPr>
      <w:r>
        <w:rPr>
          <w:rFonts w:ascii="Arial" w:hAnsi="Arial" w:cs="Arial"/>
        </w:rPr>
        <w:t>Gliedern Sie diesen Text. Verwenden Sie dafür die Anregungen aus dem Arbeitsblatt</w:t>
      </w:r>
      <w:r>
        <w:t xml:space="preserve"> </w:t>
      </w:r>
      <w:hyperlink r:id="rId7" w:history="1">
        <w:r>
          <w:rPr>
            <w:rStyle w:val="Internetlink"/>
            <w:rFonts w:ascii="Arial" w:hAnsi="Arial" w:cs="Arial"/>
          </w:rPr>
          <w:t>Interpretation: Gliederung von Texten</w:t>
        </w:r>
      </w:hyperlink>
      <w:r>
        <w:rPr>
          <w:rStyle w:val="Internetlink"/>
          <w:rFonts w:ascii="Arial" w:hAnsi="Arial" w:cs="Arial"/>
        </w:rPr>
        <w:t>.</w:t>
      </w:r>
    </w:p>
    <w:p w14:paraId="6B2624C6" w14:textId="77777777" w:rsidR="00D600B5" w:rsidRDefault="00235EB8">
      <w:pPr>
        <w:numPr>
          <w:ilvl w:val="0"/>
          <w:numId w:val="1"/>
        </w:numPr>
        <w:suppressAutoHyphens w:val="0"/>
        <w:spacing w:after="57" w:line="288" w:lineRule="auto"/>
        <w:jc w:val="both"/>
        <w:textAlignment w:val="auto"/>
      </w:pPr>
      <w:r>
        <w:rPr>
          <w:rFonts w:ascii="Arial" w:hAnsi="Arial" w:cs="Arial"/>
        </w:rPr>
        <w:t xml:space="preserve">Informieren Sie sich über die in diesem Text vorkommenden historischen Persönlichkeiten. Die Autoren M. Tullius Cicero und M. </w:t>
      </w:r>
      <w:proofErr w:type="spellStart"/>
      <w:r>
        <w:rPr>
          <w:rFonts w:ascii="Arial" w:hAnsi="Arial" w:cs="Arial"/>
        </w:rPr>
        <w:t>Terentius</w:t>
      </w:r>
      <w:proofErr w:type="spellEnd"/>
      <w:r>
        <w:rPr>
          <w:rFonts w:ascii="Arial" w:hAnsi="Arial" w:cs="Arial"/>
        </w:rPr>
        <w:t xml:space="preserve"> Varro werden in der </w:t>
      </w:r>
      <w:hyperlink r:id="rId8" w:history="1">
        <w:r>
          <w:rPr>
            <w:rStyle w:val="Internetlink"/>
            <w:rFonts w:ascii="Arial" w:hAnsi="Arial" w:cs="Arial"/>
          </w:rPr>
          <w:t>Tabelle zur römischen Geschichte</w:t>
        </w:r>
      </w:hyperlink>
      <w:r>
        <w:rPr>
          <w:rFonts w:ascii="Arial" w:hAnsi="Arial" w:cs="Arial"/>
        </w:rPr>
        <w:t xml:space="preserve"> dargestellt.</w:t>
      </w:r>
    </w:p>
    <w:p w14:paraId="315DBC50" w14:textId="3F51E522" w:rsidR="00467F1D" w:rsidRDefault="00235EB8">
      <w:pPr>
        <w:numPr>
          <w:ilvl w:val="0"/>
          <w:numId w:val="1"/>
        </w:numPr>
        <w:suppressAutoHyphens w:val="0"/>
        <w:spacing w:after="57" w:line="288" w:lineRule="auto"/>
        <w:jc w:val="both"/>
        <w:textAlignment w:val="auto"/>
        <w:rPr>
          <w:rFonts w:ascii="Arial" w:hAnsi="Arial" w:cs="Arial"/>
        </w:rPr>
      </w:pPr>
      <w:r>
        <w:rPr>
          <w:rFonts w:ascii="Arial" w:hAnsi="Arial" w:cs="Arial"/>
        </w:rPr>
        <w:t xml:space="preserve">Arbeiten Sie heraus, was nach </w:t>
      </w:r>
      <w:proofErr w:type="spellStart"/>
      <w:r>
        <w:rPr>
          <w:rFonts w:ascii="Arial" w:hAnsi="Arial" w:cs="Arial"/>
        </w:rPr>
        <w:t>Gellius</w:t>
      </w:r>
      <w:proofErr w:type="spellEnd"/>
      <w:r>
        <w:rPr>
          <w:rFonts w:ascii="Arial" w:hAnsi="Arial" w:cs="Arial"/>
        </w:rPr>
        <w:t xml:space="preserve"> den Kern des Begriffes </w:t>
      </w:r>
      <w:proofErr w:type="spellStart"/>
      <w:r>
        <w:rPr>
          <w:rStyle w:val="Hervorhebung"/>
          <w:rFonts w:ascii="Arial" w:hAnsi="Arial" w:cs="Arial"/>
        </w:rPr>
        <w:t>humanitas</w:t>
      </w:r>
      <w:proofErr w:type="spellEnd"/>
      <w:r>
        <w:rPr>
          <w:rFonts w:ascii="Arial" w:hAnsi="Arial" w:cs="Arial"/>
        </w:rPr>
        <w:t xml:space="preserve"> ausmacht.</w:t>
      </w:r>
    </w:p>
    <w:p w14:paraId="740E109E" w14:textId="77777777" w:rsidR="00D600B5" w:rsidRDefault="00235EB8">
      <w:pPr>
        <w:numPr>
          <w:ilvl w:val="0"/>
          <w:numId w:val="1"/>
        </w:numPr>
        <w:suppressAutoHyphens w:val="0"/>
        <w:spacing w:after="57" w:line="288" w:lineRule="auto"/>
        <w:jc w:val="both"/>
        <w:textAlignment w:val="auto"/>
        <w:rPr>
          <w:rFonts w:ascii="Arial" w:hAnsi="Arial" w:cs="Arial"/>
        </w:rPr>
      </w:pPr>
      <w:r>
        <w:rPr>
          <w:rFonts w:ascii="Arial" w:hAnsi="Arial" w:cs="Arial"/>
        </w:rPr>
        <w:t>Erstellen Sie eine tabellarische Liste der verschiedenen Begriffe, die in diesem Text vorkommen (</w:t>
      </w:r>
      <w:proofErr w:type="spellStart"/>
      <w:r>
        <w:rPr>
          <w:rFonts w:ascii="Arial" w:hAnsi="Arial" w:cs="Arial"/>
        </w:rPr>
        <w:t>humanitas</w:t>
      </w:r>
      <w:proofErr w:type="spellEnd"/>
      <w:r>
        <w:rPr>
          <w:rFonts w:ascii="Arial" w:hAnsi="Arial" w:cs="Arial"/>
        </w:rPr>
        <w:t xml:space="preserve">, </w:t>
      </w:r>
      <w:proofErr w:type="spellStart"/>
      <w:r>
        <w:rPr>
          <w:rFonts w:ascii="Arial" w:hAnsi="Arial" w:cs="Arial"/>
        </w:rPr>
        <w:t>paideia</w:t>
      </w:r>
      <w:proofErr w:type="spellEnd"/>
      <w:r>
        <w:rPr>
          <w:rFonts w:ascii="Arial" w:hAnsi="Arial" w:cs="Arial"/>
        </w:rPr>
        <w:t>, …) und suchen Sie für jeden dieser Begriffe die im Text gegebenen Definitionen heraus. Sie können auch eine andere grafische Gliederung ausprobieren.</w:t>
      </w:r>
    </w:p>
    <w:p w14:paraId="5AA06925" w14:textId="77777777" w:rsidR="00D600B5" w:rsidRDefault="00235EB8">
      <w:pPr>
        <w:numPr>
          <w:ilvl w:val="0"/>
          <w:numId w:val="1"/>
        </w:numPr>
        <w:suppressAutoHyphens w:val="0"/>
        <w:spacing w:after="57" w:line="288" w:lineRule="auto"/>
        <w:jc w:val="both"/>
        <w:textAlignment w:val="auto"/>
      </w:pPr>
      <w:r>
        <w:rPr>
          <w:rFonts w:ascii="Arial" w:hAnsi="Arial" w:cs="Arial"/>
        </w:rPr>
        <w:t>Informieren Sie sich in Ihrem gedruckten Lateinlexikon oder in einem Lateinlexikon im Internet (</w:t>
      </w:r>
      <w:hyperlink r:id="rId9" w:history="1">
        <w:r>
          <w:rPr>
            <w:rStyle w:val="Internetlink"/>
            <w:rFonts w:ascii="Arial" w:hAnsi="Arial" w:cs="Arial"/>
          </w:rPr>
          <w:t>Linkempfehlungen</w:t>
        </w:r>
      </w:hyperlink>
      <w:r>
        <w:rPr>
          <w:rFonts w:ascii="Arial" w:hAnsi="Arial" w:cs="Arial"/>
        </w:rPr>
        <w:t xml:space="preserve">) über die verschiedenen Bedeutungen der lateinischen Wörter </w:t>
      </w:r>
      <w:proofErr w:type="spellStart"/>
      <w:r>
        <w:rPr>
          <w:rStyle w:val="Hervorhebung"/>
          <w:rFonts w:ascii="Arial" w:hAnsi="Arial" w:cs="Arial"/>
        </w:rPr>
        <w:t>humanus</w:t>
      </w:r>
      <w:proofErr w:type="spellEnd"/>
      <w:r>
        <w:rPr>
          <w:rFonts w:ascii="Arial" w:hAnsi="Arial" w:cs="Arial"/>
        </w:rPr>
        <w:t xml:space="preserve"> und </w:t>
      </w:r>
      <w:proofErr w:type="spellStart"/>
      <w:r>
        <w:rPr>
          <w:rStyle w:val="Hervorhebung"/>
          <w:rFonts w:ascii="Arial" w:hAnsi="Arial" w:cs="Arial"/>
        </w:rPr>
        <w:t>humanitas</w:t>
      </w:r>
      <w:proofErr w:type="spellEnd"/>
      <w:r>
        <w:rPr>
          <w:rFonts w:ascii="Arial" w:hAnsi="Arial" w:cs="Arial"/>
        </w:rPr>
        <w:t>.</w:t>
      </w:r>
    </w:p>
    <w:p w14:paraId="56EE9212" w14:textId="77777777" w:rsidR="00D600B5" w:rsidRDefault="00235EB8">
      <w:pPr>
        <w:numPr>
          <w:ilvl w:val="0"/>
          <w:numId w:val="1"/>
        </w:numPr>
        <w:suppressAutoHyphens w:val="0"/>
        <w:spacing w:after="57" w:line="288" w:lineRule="auto"/>
        <w:jc w:val="both"/>
        <w:textAlignment w:val="auto"/>
      </w:pPr>
      <w:r>
        <w:rPr>
          <w:rFonts w:ascii="Arial" w:hAnsi="Arial" w:cs="Arial"/>
        </w:rPr>
        <w:t xml:space="preserve">Lesen Sie den Artikel </w:t>
      </w:r>
      <w:r>
        <w:rPr>
          <w:rStyle w:val="Hervorhebung"/>
          <w:rFonts w:ascii="Arial" w:hAnsi="Arial" w:cs="Arial"/>
        </w:rPr>
        <w:t>Humanität</w:t>
      </w:r>
      <w:r>
        <w:rPr>
          <w:rFonts w:ascii="Arial" w:hAnsi="Arial" w:cs="Arial"/>
        </w:rPr>
        <w:t xml:space="preserve"> im </w:t>
      </w:r>
      <w:r>
        <w:rPr>
          <w:rStyle w:val="Hervorhebung"/>
          <w:rFonts w:ascii="Arial" w:hAnsi="Arial" w:cs="Arial"/>
        </w:rPr>
        <w:t>Metzler Lexikon Philosophie</w:t>
      </w:r>
      <w:r>
        <w:rPr>
          <w:rFonts w:ascii="Arial" w:hAnsi="Arial" w:cs="Arial"/>
        </w:rPr>
        <w:t> (</w:t>
      </w:r>
      <w:hyperlink r:id="rId10" w:history="1">
        <w:r>
          <w:rPr>
            <w:rStyle w:val="Internetlink"/>
            <w:rFonts w:ascii="Arial" w:hAnsi="Arial" w:cs="Arial"/>
          </w:rPr>
          <w:t>Spektrum.de</w:t>
        </w:r>
      </w:hyperlink>
      <w:r>
        <w:rPr>
          <w:rFonts w:ascii="Arial" w:hAnsi="Arial" w:cs="Arial"/>
        </w:rPr>
        <w:t>)</w:t>
      </w:r>
      <w:r>
        <w:rPr>
          <w:rStyle w:val="Funotenzeichen"/>
          <w:rFonts w:ascii="Arial" w:hAnsi="Arial" w:cs="Arial"/>
        </w:rPr>
        <w:footnoteReference w:id="1"/>
      </w:r>
      <w:r>
        <w:rPr>
          <w:rFonts w:ascii="Arial" w:hAnsi="Arial" w:cs="Arial"/>
        </w:rPr>
        <w:t xml:space="preserve">. Skizzieren Sie die dort beschriebene Geschichte des Wortfeldes </w:t>
      </w:r>
      <w:r>
        <w:rPr>
          <w:rStyle w:val="Hervorhebung"/>
          <w:rFonts w:ascii="Arial" w:hAnsi="Arial" w:cs="Arial"/>
        </w:rPr>
        <w:t>Humanität/Menschlichkeit</w:t>
      </w:r>
      <w:r>
        <w:rPr>
          <w:rFonts w:ascii="Arial" w:hAnsi="Arial" w:cs="Arial"/>
        </w:rPr>
        <w:t xml:space="preserve">. </w:t>
      </w:r>
      <w:r>
        <w:rPr>
          <w:rFonts w:ascii="Arial" w:hAnsi="Arial" w:cs="Arial"/>
        </w:rPr>
        <w:lastRenderedPageBreak/>
        <w:t>Prüfen Sie, ob es Gemein</w:t>
      </w:r>
      <w:r>
        <w:rPr>
          <w:rFonts w:ascii="Arial" w:hAnsi="Arial" w:cs="Arial"/>
        </w:rPr>
        <w:softHyphen/>
        <w:t xml:space="preserve">samkeiten oder Widersprüche zwischen </w:t>
      </w:r>
      <w:proofErr w:type="spellStart"/>
      <w:r>
        <w:rPr>
          <w:rFonts w:ascii="Arial" w:hAnsi="Arial" w:cs="Arial"/>
        </w:rPr>
        <w:t>Gellius</w:t>
      </w:r>
      <w:proofErr w:type="spellEnd"/>
      <w:r>
        <w:rPr>
          <w:rFonts w:ascii="Arial" w:hAnsi="Arial" w:cs="Arial"/>
        </w:rPr>
        <w:t>' Darstellung und der Darstellung im Philosophielexikon gibt, und stellen Sie die Gemeinsamkeiten und Unterschiede in einer Tabelle auf.</w:t>
      </w:r>
    </w:p>
    <w:p w14:paraId="13894C09" w14:textId="6C0413FE" w:rsidR="00D600B5" w:rsidRDefault="00235EB8" w:rsidP="00EC7993">
      <w:pPr>
        <w:suppressAutoHyphens w:val="0"/>
        <w:spacing w:line="288" w:lineRule="auto"/>
        <w:jc w:val="both"/>
        <w:textAlignment w:val="auto"/>
      </w:pPr>
      <w:r>
        <w:rPr>
          <w:rFonts w:ascii="Arial" w:hAnsi="Arial" w:cs="Arial"/>
        </w:rPr>
        <w:t>Zur Vertiefung: Wenn Sie die philosophische Diskussion über die Humanität weiter vertiefen wollen, können Sie auch diesen Text des Philosophen Volker Gerhardt lesen: „Humanität. Die Frage nach dem Menschen neu stellen“ (in: Information Philosophie Heft 4/2019, S. 8 – 15, auch online auf der Seite</w:t>
      </w:r>
      <w:r w:rsidR="00EC7993">
        <w:rPr>
          <w:rFonts w:ascii="Arial" w:hAnsi="Arial" w:cs="Arial"/>
        </w:rPr>
        <w:t xml:space="preserve"> </w:t>
      </w:r>
      <w:hyperlink r:id="rId11" w:history="1">
        <w:r>
          <w:rPr>
            <w:rStyle w:val="Internetlink"/>
            <w:rFonts w:ascii="Arial" w:hAnsi="Arial" w:cs="Arial"/>
          </w:rPr>
          <w:t>www.information-philosophie.de</w:t>
        </w:r>
      </w:hyperlink>
      <w:r>
        <w:rPr>
          <w:rFonts w:ascii="Arial" w:hAnsi="Arial" w:cs="Arial"/>
        </w:rPr>
        <w:t>)</w:t>
      </w:r>
      <w:r>
        <w:rPr>
          <w:rStyle w:val="Funotenzeichen"/>
          <w:rFonts w:ascii="Arial" w:hAnsi="Arial" w:cs="Arial"/>
        </w:rPr>
        <w:footnoteReference w:id="2"/>
      </w:r>
    </w:p>
    <w:p w14:paraId="1536C419" w14:textId="77777777" w:rsidR="00D600B5" w:rsidRDefault="00235EB8">
      <w:pPr>
        <w:numPr>
          <w:ilvl w:val="0"/>
          <w:numId w:val="1"/>
        </w:numPr>
        <w:suppressAutoHyphens w:val="0"/>
        <w:spacing w:after="57" w:line="288" w:lineRule="auto"/>
        <w:jc w:val="both"/>
        <w:textAlignment w:val="auto"/>
        <w:rPr>
          <w:rFonts w:ascii="Arial" w:hAnsi="Arial" w:cs="Arial"/>
        </w:rPr>
      </w:pPr>
      <w:r>
        <w:rPr>
          <w:rFonts w:ascii="Arial" w:hAnsi="Arial" w:cs="Arial"/>
        </w:rPr>
        <w:t>Erörtern Sie (bzw. diskutieren Sie in der Gruppe):</w:t>
      </w:r>
    </w:p>
    <w:p w14:paraId="710DA9DA" w14:textId="77777777" w:rsidR="00D600B5" w:rsidRDefault="00235EB8">
      <w:pPr>
        <w:numPr>
          <w:ilvl w:val="0"/>
          <w:numId w:val="3"/>
        </w:numPr>
        <w:suppressAutoHyphens w:val="0"/>
        <w:spacing w:after="57" w:line="288" w:lineRule="auto"/>
        <w:jc w:val="both"/>
        <w:textAlignment w:val="auto"/>
      </w:pPr>
      <w:r>
        <w:rPr>
          <w:rFonts w:ascii="Arial" w:hAnsi="Arial" w:cs="Arial"/>
        </w:rPr>
        <w:t xml:space="preserve"> Ist </w:t>
      </w:r>
      <w:proofErr w:type="spellStart"/>
      <w:r>
        <w:rPr>
          <w:rFonts w:ascii="Arial" w:hAnsi="Arial" w:cs="Arial"/>
        </w:rPr>
        <w:t>Gellius</w:t>
      </w:r>
      <w:proofErr w:type="spellEnd"/>
      <w:r>
        <w:rPr>
          <w:rFonts w:ascii="Arial" w:hAnsi="Arial" w:cs="Arial"/>
        </w:rPr>
        <w:t xml:space="preserve">' Bild der </w:t>
      </w:r>
      <w:proofErr w:type="spellStart"/>
      <w:r>
        <w:rPr>
          <w:rStyle w:val="Hervorhebung"/>
          <w:rFonts w:ascii="Arial" w:hAnsi="Arial" w:cs="Arial"/>
        </w:rPr>
        <w:t>humanitas</w:t>
      </w:r>
      <w:proofErr w:type="spellEnd"/>
      <w:r>
        <w:rPr>
          <w:rFonts w:ascii="Arial" w:hAnsi="Arial" w:cs="Arial"/>
        </w:rPr>
        <w:t xml:space="preserve"> für uns heute noch relevant?</w:t>
      </w:r>
    </w:p>
    <w:p w14:paraId="343A07EF" w14:textId="77777777" w:rsidR="00D600B5" w:rsidRDefault="00235EB8">
      <w:pPr>
        <w:numPr>
          <w:ilvl w:val="0"/>
          <w:numId w:val="3"/>
        </w:numPr>
        <w:suppressAutoHyphens w:val="0"/>
        <w:spacing w:after="57" w:line="288" w:lineRule="auto"/>
        <w:jc w:val="both"/>
        <w:textAlignment w:val="auto"/>
      </w:pPr>
      <w:r>
        <w:rPr>
          <w:rFonts w:ascii="Arial" w:hAnsi="Arial" w:cs="Arial"/>
        </w:rPr>
        <w:t xml:space="preserve">Kann man sagen, dass der Autor hier das beschreibt, was man unter </w:t>
      </w:r>
      <w:r>
        <w:rPr>
          <w:rStyle w:val="Hervorhebung"/>
          <w:rFonts w:ascii="Arial" w:hAnsi="Arial" w:cs="Arial"/>
        </w:rPr>
        <w:t>Bildung</w:t>
      </w:r>
      <w:r>
        <w:rPr>
          <w:rFonts w:ascii="Arial" w:hAnsi="Arial" w:cs="Arial"/>
        </w:rPr>
        <w:t xml:space="preserve"> verstehen sollte?</w:t>
      </w:r>
    </w:p>
    <w:p w14:paraId="314F197E" w14:textId="77777777" w:rsidR="00D600B5" w:rsidRDefault="00235EB8">
      <w:pPr>
        <w:numPr>
          <w:ilvl w:val="0"/>
          <w:numId w:val="3"/>
        </w:numPr>
        <w:suppressAutoHyphens w:val="0"/>
        <w:spacing w:after="57" w:line="288" w:lineRule="auto"/>
        <w:jc w:val="both"/>
        <w:textAlignment w:val="auto"/>
      </w:pPr>
      <w:r>
        <w:rPr>
          <w:rFonts w:ascii="Arial" w:hAnsi="Arial" w:cs="Arial"/>
        </w:rPr>
        <w:t xml:space="preserve">Ist die Schule Ihrer Meinung nach in </w:t>
      </w:r>
      <w:proofErr w:type="spellStart"/>
      <w:r>
        <w:rPr>
          <w:rFonts w:ascii="Arial" w:hAnsi="Arial" w:cs="Arial"/>
        </w:rPr>
        <w:t>Gellius</w:t>
      </w:r>
      <w:proofErr w:type="spellEnd"/>
      <w:r>
        <w:rPr>
          <w:rFonts w:ascii="Arial" w:hAnsi="Arial" w:cs="Arial"/>
        </w:rPr>
        <w:t xml:space="preserve">' Sinne eine </w:t>
      </w:r>
      <w:r>
        <w:rPr>
          <w:rStyle w:val="Hervorhebung"/>
          <w:rFonts w:ascii="Arial" w:hAnsi="Arial" w:cs="Arial"/>
        </w:rPr>
        <w:t>Bildungs</w:t>
      </w:r>
      <w:r>
        <w:rPr>
          <w:rFonts w:ascii="Arial" w:hAnsi="Arial" w:cs="Arial"/>
        </w:rPr>
        <w:t xml:space="preserve">einrichtung? Oder hat sich unser Verständnis von Bildung so verändert, dass man aus </w:t>
      </w:r>
      <w:proofErr w:type="spellStart"/>
      <w:r>
        <w:rPr>
          <w:rFonts w:ascii="Arial" w:hAnsi="Arial" w:cs="Arial"/>
        </w:rPr>
        <w:t>Gellius</w:t>
      </w:r>
      <w:proofErr w:type="spellEnd"/>
      <w:r>
        <w:rPr>
          <w:rFonts w:ascii="Arial" w:hAnsi="Arial" w:cs="Arial"/>
        </w:rPr>
        <w:t>' Darstellung keine Anre</w:t>
      </w:r>
      <w:r>
        <w:rPr>
          <w:rFonts w:ascii="Arial" w:hAnsi="Arial" w:cs="Arial"/>
        </w:rPr>
        <w:softHyphen/>
        <w:t>gungen mehr erhalten kann?</w:t>
      </w:r>
    </w:p>
    <w:p w14:paraId="4291BD0E" w14:textId="77777777" w:rsidR="00D600B5" w:rsidRDefault="00235EB8">
      <w:pPr>
        <w:numPr>
          <w:ilvl w:val="0"/>
          <w:numId w:val="1"/>
        </w:numPr>
        <w:pBdr>
          <w:bottom w:val="single" w:sz="6" w:space="1" w:color="auto"/>
        </w:pBdr>
        <w:suppressAutoHyphens w:val="0"/>
        <w:spacing w:after="57" w:line="288" w:lineRule="auto"/>
        <w:jc w:val="both"/>
        <w:textAlignment w:val="auto"/>
        <w:rPr>
          <w:rFonts w:ascii="Arial" w:hAnsi="Arial" w:cs="Arial"/>
        </w:rPr>
      </w:pPr>
      <w:r>
        <w:rPr>
          <w:rFonts w:ascii="Arial" w:hAnsi="Arial" w:cs="Arial"/>
        </w:rPr>
        <w:t xml:space="preserve">Nehmen Sie an, dass Sie für die Schulhomepage einen Text zur Vorstellung des Lateinunterrichts schreiben sollen. Was würden Sie aus </w:t>
      </w:r>
      <w:proofErr w:type="spellStart"/>
      <w:r>
        <w:rPr>
          <w:rFonts w:ascii="Arial" w:hAnsi="Arial" w:cs="Arial"/>
        </w:rPr>
        <w:t>Gellius</w:t>
      </w:r>
      <w:proofErr w:type="spellEnd"/>
      <w:r>
        <w:rPr>
          <w:rFonts w:ascii="Arial" w:hAnsi="Arial" w:cs="Arial"/>
        </w:rPr>
        <w:t>' Text übernehmen?</w:t>
      </w:r>
    </w:p>
    <w:p w14:paraId="14C78D68" w14:textId="77777777" w:rsidR="00467F1D" w:rsidRPr="00467F1D" w:rsidRDefault="00467F1D" w:rsidP="00467F1D">
      <w:pPr>
        <w:pStyle w:val="Textbody"/>
      </w:pPr>
    </w:p>
    <w:p w14:paraId="09AE4BAF" w14:textId="77777777" w:rsidR="00D600B5" w:rsidRPr="00467F1D" w:rsidRDefault="00235EB8">
      <w:pPr>
        <w:spacing w:before="52" w:after="52"/>
        <w:ind w:left="720"/>
        <w:rPr>
          <w:color w:val="0070C0"/>
          <w:u w:val="single"/>
        </w:rPr>
      </w:pPr>
      <w:r>
        <w:rPr>
          <w:sz w:val="26"/>
          <w:szCs w:val="26"/>
        </w:rPr>
        <w:t xml:space="preserve">URL dieses Textes: </w:t>
      </w:r>
      <w:hyperlink r:id="rId12" w:history="1">
        <w:r w:rsidRPr="00EC7993">
          <w:rPr>
            <w:rStyle w:val="Internetlink"/>
            <w:rFonts w:ascii="Arial" w:hAnsi="Arial" w:cs="Arial"/>
          </w:rPr>
          <w:t>www.schule-bw.de/faecher-und-schularten/sprachen-und-literatur/latein/texte-und-medien/sprueche-anekdoten/aulus-gellius/gellius-humanitas-bildung.html</w:t>
        </w:r>
      </w:hyperlink>
    </w:p>
    <w:p w14:paraId="7E9A31BE" w14:textId="77777777" w:rsidR="00D600B5" w:rsidRDefault="00235EB8">
      <w:pPr>
        <w:spacing w:before="57" w:after="57"/>
        <w:ind w:left="720"/>
      </w:pPr>
      <w:r>
        <w:rPr>
          <w:sz w:val="26"/>
          <w:szCs w:val="26"/>
        </w:rPr>
        <w:t xml:space="preserve">In diesem Online-Dokument findet man Links zu didaktischen Hinweisen und zu weiteren Texten von Aulus </w:t>
      </w:r>
      <w:proofErr w:type="spellStart"/>
      <w:r>
        <w:rPr>
          <w:sz w:val="26"/>
          <w:szCs w:val="26"/>
        </w:rPr>
        <w:t>Gellius</w:t>
      </w:r>
      <w:proofErr w:type="spellEnd"/>
      <w:r>
        <w:rPr>
          <w:sz w:val="26"/>
          <w:szCs w:val="26"/>
        </w:rPr>
        <w:t>.</w:t>
      </w:r>
    </w:p>
    <w:sectPr w:rsidR="00D600B5">
      <w:headerReference w:type="even" r:id="rId13"/>
      <w:headerReference w:type="default" r:id="rId14"/>
      <w:footerReference w:type="even" r:id="rId15"/>
      <w:footerReference w:type="default" r:id="rId16"/>
      <w:headerReference w:type="first" r:id="rId17"/>
      <w:footerReference w:type="first" r:id="rId18"/>
      <w:pgSz w:w="11906" w:h="16838"/>
      <w:pgMar w:top="1360" w:right="1020" w:bottom="1360" w:left="1020" w:header="1020" w:footer="10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CAA3" w14:textId="77777777" w:rsidR="00BA209B" w:rsidRDefault="00BA209B">
      <w:r>
        <w:separator/>
      </w:r>
    </w:p>
  </w:endnote>
  <w:endnote w:type="continuationSeparator" w:id="0">
    <w:p w14:paraId="1226FED6" w14:textId="77777777" w:rsidR="00BA209B" w:rsidRDefault="00BA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5861" w14:textId="77777777" w:rsidR="00EC7993" w:rsidRDefault="00EC79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7F62" w14:textId="77777777" w:rsidR="00674C76" w:rsidRDefault="00235EB8">
    <w:pPr>
      <w:pStyle w:val="Fuzeile"/>
      <w:widowControl w:val="0"/>
      <w:pBdr>
        <w:top w:val="single" w:sz="12" w:space="1" w:color="000000"/>
      </w:pBdr>
    </w:pPr>
    <w:r>
      <w:rPr>
        <w:sz w:val="18"/>
        <w:szCs w:val="18"/>
      </w:rPr>
      <w:t xml:space="preserve">Diese Materialien sind unter der OER-konformen Lizenz </w:t>
    </w:r>
    <w:hyperlink r:id="rId1" w:history="1">
      <w:r>
        <w:rPr>
          <w:rStyle w:val="Hyperlink"/>
          <w:sz w:val="18"/>
          <w:szCs w:val="18"/>
        </w:rPr>
        <w:t>CC BY 4.0 International</w:t>
      </w:r>
    </w:hyperlink>
    <w:r>
      <w:rPr>
        <w:sz w:val="18"/>
        <w:szCs w:val="18"/>
      </w:rPr>
      <w:t xml:space="preserve"> verfügbar. Herausgeber: Landesbildungsserver Baden-Württemberg (</w:t>
    </w:r>
    <w:hyperlink r:id="rId2" w:history="1">
      <w:r>
        <w:rPr>
          <w:rStyle w:val="Hyperlink"/>
          <w:sz w:val="18"/>
          <w:szCs w:val="18"/>
        </w:rPr>
        <w:t>www.schule-bw.de</w:t>
      </w:r>
    </w:hyperlink>
    <w:r>
      <w:rPr>
        <w:sz w:val="18"/>
        <w:szCs w:val="18"/>
      </w:rPr>
      <w:t xml:space="preserve">), Fachredaktion Latein (auch </w:t>
    </w:r>
    <w:r w:rsidRPr="00EC7993">
      <w:rPr>
        <w:sz w:val="18"/>
        <w:szCs w:val="18"/>
      </w:rPr>
      <w:t xml:space="preserve">unter </w:t>
    </w:r>
    <w:hyperlink r:id="rId3" w:history="1">
      <w:r w:rsidRPr="00EC7993">
        <w:rPr>
          <w:rStyle w:val="Hyperlink"/>
          <w:sz w:val="18"/>
          <w:szCs w:val="18"/>
        </w:rPr>
        <w:t>www.latein-bw.de</w:t>
      </w:r>
    </w:hyperlink>
    <w:r>
      <w:rPr>
        <w:sz w:val="18"/>
        <w:szCs w:val="18"/>
      </w:rPr>
      <w:t xml:space="preserve"> zu erreichen). Urheberrechtsangaben gemäß </w:t>
    </w:r>
    <w:hyperlink r:id="rId4" w:history="1">
      <w:r>
        <w:rPr>
          <w:rStyle w:val="Hyperlink"/>
          <w:sz w:val="18"/>
          <w:szCs w:val="18"/>
        </w:rPr>
        <w:t>www.schule-bw.de/urheberrecht</w:t>
      </w:r>
    </w:hyperlink>
    <w:r>
      <w:rPr>
        <w:sz w:val="18"/>
        <w:szCs w:val="18"/>
      </w:rPr>
      <w:t xml:space="preserve"> sind zu beachten. Bitte beachten Sie eventuell abweichende Lizenzangaben bei den eingebundenen Bildern und anderen Materialien.</w:t>
    </w:r>
  </w:p>
  <w:p w14:paraId="486CAB9E" w14:textId="77777777" w:rsidR="00674C76" w:rsidRDefault="00235EB8">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 xml:space="preserve"> PAGE \* ARABIC </w:instrText>
    </w:r>
    <w:r>
      <w:rPr>
        <w:sz w:val="20"/>
        <w:szCs w:val="16"/>
      </w:rPr>
      <w:fldChar w:fldCharType="separate"/>
    </w:r>
    <w:r>
      <w:rPr>
        <w:sz w:val="20"/>
        <w:szCs w:val="16"/>
      </w:rPr>
      <w:t>2</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w:instrText>
    </w:r>
    <w:r>
      <w:rPr>
        <w:sz w:val="20"/>
        <w:szCs w:val="16"/>
      </w:rPr>
      <w:fldChar w:fldCharType="separate"/>
    </w:r>
    <w:r>
      <w:rPr>
        <w:sz w:val="20"/>
        <w:szCs w:val="16"/>
      </w:rPr>
      <w:t>3</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2246" w14:textId="77777777" w:rsidR="00EC7993" w:rsidRDefault="00EC79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12DA" w14:textId="77777777" w:rsidR="00BA209B" w:rsidRDefault="00BA209B">
      <w:r>
        <w:rPr>
          <w:color w:val="000000"/>
        </w:rPr>
        <w:separator/>
      </w:r>
    </w:p>
  </w:footnote>
  <w:footnote w:type="continuationSeparator" w:id="0">
    <w:p w14:paraId="5633F3DF" w14:textId="77777777" w:rsidR="00BA209B" w:rsidRDefault="00BA209B">
      <w:r>
        <w:continuationSeparator/>
      </w:r>
    </w:p>
  </w:footnote>
  <w:footnote w:id="1">
    <w:p w14:paraId="712D4EFE" w14:textId="77777777" w:rsidR="00D600B5" w:rsidRPr="00467F1D" w:rsidRDefault="00235EB8">
      <w:pPr>
        <w:pStyle w:val="Footnote"/>
        <w:rPr>
          <w:color w:val="0070C0"/>
          <w:u w:val="single"/>
          <w:lang w:val="en-GB"/>
        </w:rPr>
      </w:pPr>
      <w:r>
        <w:rPr>
          <w:rStyle w:val="Funotenzeichen"/>
        </w:rPr>
        <w:footnoteRef/>
      </w:r>
      <w:r w:rsidRPr="00467F1D">
        <w:rPr>
          <w:lang w:val="en-GB"/>
        </w:rPr>
        <w:t xml:space="preserve">URL: </w:t>
      </w:r>
      <w:hyperlink r:id="rId1" w:history="1">
        <w:r w:rsidRPr="00467F1D">
          <w:rPr>
            <w:color w:val="0070C0"/>
            <w:u w:val="single"/>
            <w:lang w:val="en-GB"/>
          </w:rPr>
          <w:t>https://www.spektrum.de/lexikon/philosophie/humanitaet/903</w:t>
        </w:r>
      </w:hyperlink>
    </w:p>
  </w:footnote>
  <w:footnote w:id="2">
    <w:p w14:paraId="723C516B" w14:textId="0BABE321" w:rsidR="00D600B5" w:rsidRPr="00467F1D" w:rsidRDefault="00235EB8">
      <w:pPr>
        <w:pStyle w:val="Footnote"/>
        <w:rPr>
          <w:lang w:val="en-GB"/>
        </w:rPr>
      </w:pPr>
      <w:r>
        <w:rPr>
          <w:rStyle w:val="Funotenzeichen"/>
        </w:rPr>
        <w:footnoteRef/>
      </w:r>
      <w:r w:rsidR="00661983">
        <w:rPr>
          <w:lang w:val="en-GB"/>
        </w:rPr>
        <w:t xml:space="preserve"> </w:t>
      </w:r>
      <w:r w:rsidRPr="00467F1D">
        <w:rPr>
          <w:lang w:val="en-GB"/>
        </w:rPr>
        <w:t xml:space="preserve">URL: </w:t>
      </w:r>
      <w:hyperlink r:id="rId2" w:history="1">
        <w:r w:rsidRPr="00467F1D">
          <w:rPr>
            <w:color w:val="0070C0"/>
            <w:u w:val="single"/>
            <w:lang w:val="en-GB"/>
          </w:rPr>
          <w:t>https://www.information-philosophie.de/?a=1&amp;t=9286&amp;n=2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D226" w14:textId="77777777" w:rsidR="00EC7993" w:rsidRDefault="00EC79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09F4" w14:textId="58CA213E" w:rsidR="00674C76" w:rsidRDefault="00467F1D" w:rsidP="00467F1D">
    <w:pPr>
      <w:pStyle w:val="Kopfzeile"/>
      <w:spacing w:after="240"/>
    </w:pPr>
    <w:r>
      <w:rPr>
        <w:noProof/>
      </w:rPr>
      <w:drawing>
        <wp:anchor distT="0" distB="0" distL="114300" distR="114300" simplePos="0" relativeHeight="251659264" behindDoc="1" locked="0" layoutInCell="1" allowOverlap="1" wp14:anchorId="0203B5A7" wp14:editId="77F1EF63">
          <wp:simplePos x="0" y="0"/>
          <wp:positionH relativeFrom="column">
            <wp:posOffset>2926080</wp:posOffset>
          </wp:positionH>
          <wp:positionV relativeFrom="paragraph">
            <wp:posOffset>-320040</wp:posOffset>
          </wp:positionV>
          <wp:extent cx="342900" cy="472440"/>
          <wp:effectExtent l="0" t="0" r="0" b="3810"/>
          <wp:wrapNone/>
          <wp:docPr id="2" name="Bild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2900" cy="4724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35EB8">
      <w:rPr>
        <w:noProof/>
      </w:rPr>
      <w:drawing>
        <wp:anchor distT="0" distB="0" distL="114300" distR="114300" simplePos="0" relativeHeight="251660288" behindDoc="0" locked="0" layoutInCell="1" allowOverlap="1" wp14:anchorId="6FE06F93" wp14:editId="15B6460D">
          <wp:simplePos x="0" y="0"/>
          <wp:positionH relativeFrom="column">
            <wp:posOffset>4551839</wp:posOffset>
          </wp:positionH>
          <wp:positionV relativeFrom="paragraph">
            <wp:posOffset>-329400</wp:posOffset>
          </wp:positionV>
          <wp:extent cx="1634400" cy="570240"/>
          <wp:effectExtent l="0" t="0" r="3900" b="1260"/>
          <wp:wrapSquare wrapText="bothSides"/>
          <wp:docPr id="1" name="Bild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l="6217" t="13904" r="6409" b="13904"/>
                  <a:stretch>
                    <a:fillRect/>
                  </a:stretch>
                </pic:blipFill>
                <pic:spPr>
                  <a:xfrm>
                    <a:off x="0" y="0"/>
                    <a:ext cx="1634400" cy="570240"/>
                  </a:xfrm>
                  <a:prstGeom prst="rect">
                    <a:avLst/>
                  </a:prstGeom>
                  <a:noFill/>
                  <a:ln>
                    <a:noFill/>
                    <a:prstDash/>
                  </a:ln>
                </pic:spPr>
              </pic:pic>
            </a:graphicData>
          </a:graphic>
        </wp:anchor>
      </w:drawing>
    </w:r>
    <w:r w:rsidR="00235EB8">
      <w:rPr>
        <w:noProof/>
      </w:rPr>
      <w:drawing>
        <wp:anchor distT="0" distB="0" distL="114300" distR="114300" simplePos="0" relativeHeight="251661312" behindDoc="0" locked="0" layoutInCell="1" allowOverlap="1" wp14:anchorId="6BE4C385" wp14:editId="422DC6B8">
          <wp:simplePos x="0" y="0"/>
          <wp:positionH relativeFrom="column">
            <wp:posOffset>-50760</wp:posOffset>
          </wp:positionH>
          <wp:positionV relativeFrom="paragraph">
            <wp:posOffset>-360720</wp:posOffset>
          </wp:positionV>
          <wp:extent cx="1923480" cy="622440"/>
          <wp:effectExtent l="0" t="0" r="570" b="6210"/>
          <wp:wrapSquare wrapText="bothSides"/>
          <wp:docPr id="3"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923480" cy="6224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CD5F" w14:textId="77777777" w:rsidR="00EC7993" w:rsidRDefault="00EC79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4134E"/>
    <w:multiLevelType w:val="multilevel"/>
    <w:tmpl w:val="B05652E2"/>
    <w:lvl w:ilvl="0">
      <w:numFmt w:val="bullet"/>
      <w:lvlText w:val="•"/>
      <w:lvlJc w:val="left"/>
      <w:pPr>
        <w:ind w:left="1555" w:hanging="360"/>
      </w:pPr>
      <w:rPr>
        <w:rFonts w:ascii="OpenSymbol" w:eastAsia="OpenSymbol" w:hAnsi="OpenSymbol" w:cs="OpenSymbol"/>
      </w:rPr>
    </w:lvl>
    <w:lvl w:ilvl="1">
      <w:numFmt w:val="bullet"/>
      <w:lvlText w:val="◦"/>
      <w:lvlJc w:val="left"/>
      <w:pPr>
        <w:ind w:left="1915" w:hanging="360"/>
      </w:pPr>
      <w:rPr>
        <w:rFonts w:ascii="OpenSymbol" w:eastAsia="OpenSymbol" w:hAnsi="OpenSymbol" w:cs="OpenSymbol"/>
      </w:rPr>
    </w:lvl>
    <w:lvl w:ilvl="2">
      <w:numFmt w:val="bullet"/>
      <w:lvlText w:val="▪"/>
      <w:lvlJc w:val="left"/>
      <w:pPr>
        <w:ind w:left="2275" w:hanging="360"/>
      </w:pPr>
      <w:rPr>
        <w:rFonts w:ascii="OpenSymbol" w:eastAsia="OpenSymbol" w:hAnsi="OpenSymbol" w:cs="OpenSymbol"/>
      </w:rPr>
    </w:lvl>
    <w:lvl w:ilvl="3">
      <w:numFmt w:val="bullet"/>
      <w:lvlText w:val="•"/>
      <w:lvlJc w:val="left"/>
      <w:pPr>
        <w:ind w:left="2635" w:hanging="360"/>
      </w:pPr>
      <w:rPr>
        <w:rFonts w:ascii="OpenSymbol" w:eastAsia="OpenSymbol" w:hAnsi="OpenSymbol" w:cs="OpenSymbol"/>
      </w:rPr>
    </w:lvl>
    <w:lvl w:ilvl="4">
      <w:numFmt w:val="bullet"/>
      <w:lvlText w:val="◦"/>
      <w:lvlJc w:val="left"/>
      <w:pPr>
        <w:ind w:left="2995" w:hanging="360"/>
      </w:pPr>
      <w:rPr>
        <w:rFonts w:ascii="OpenSymbol" w:eastAsia="OpenSymbol" w:hAnsi="OpenSymbol" w:cs="OpenSymbol"/>
      </w:rPr>
    </w:lvl>
    <w:lvl w:ilvl="5">
      <w:numFmt w:val="bullet"/>
      <w:lvlText w:val="▪"/>
      <w:lvlJc w:val="left"/>
      <w:pPr>
        <w:ind w:left="3355" w:hanging="360"/>
      </w:pPr>
      <w:rPr>
        <w:rFonts w:ascii="OpenSymbol" w:eastAsia="OpenSymbol" w:hAnsi="OpenSymbol" w:cs="OpenSymbol"/>
      </w:rPr>
    </w:lvl>
    <w:lvl w:ilvl="6">
      <w:numFmt w:val="bullet"/>
      <w:lvlText w:val="•"/>
      <w:lvlJc w:val="left"/>
      <w:pPr>
        <w:ind w:left="3715" w:hanging="360"/>
      </w:pPr>
      <w:rPr>
        <w:rFonts w:ascii="OpenSymbol" w:eastAsia="OpenSymbol" w:hAnsi="OpenSymbol" w:cs="OpenSymbol"/>
      </w:rPr>
    </w:lvl>
    <w:lvl w:ilvl="7">
      <w:numFmt w:val="bullet"/>
      <w:lvlText w:val="◦"/>
      <w:lvlJc w:val="left"/>
      <w:pPr>
        <w:ind w:left="4075" w:hanging="360"/>
      </w:pPr>
      <w:rPr>
        <w:rFonts w:ascii="OpenSymbol" w:eastAsia="OpenSymbol" w:hAnsi="OpenSymbol" w:cs="OpenSymbol"/>
      </w:rPr>
    </w:lvl>
    <w:lvl w:ilvl="8">
      <w:numFmt w:val="bullet"/>
      <w:lvlText w:val="▪"/>
      <w:lvlJc w:val="left"/>
      <w:pPr>
        <w:ind w:left="4435" w:hanging="360"/>
      </w:pPr>
      <w:rPr>
        <w:rFonts w:ascii="OpenSymbol" w:eastAsia="OpenSymbol" w:hAnsi="OpenSymbol" w:cs="OpenSymbol"/>
      </w:rPr>
    </w:lvl>
  </w:abstractNum>
  <w:abstractNum w:abstractNumId="1" w15:restartNumberingAfterBreak="0">
    <w:nsid w:val="5E524173"/>
    <w:multiLevelType w:val="multilevel"/>
    <w:tmpl w:val="511ADB1C"/>
    <w:styleLink w:val="WWNum5"/>
    <w:lvl w:ilvl="0">
      <w:start w:val="1"/>
      <w:numFmt w:val="decimal"/>
      <w:lvlText w:val="%1."/>
      <w:lvlJc w:val="left"/>
      <w:pPr>
        <w:ind w:left="720" w:hanging="360"/>
      </w:pPr>
    </w:lvl>
    <w:lvl w:ilvl="1">
      <w:start w:val="1"/>
      <w:numFmt w:val="lowerLetter"/>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B5"/>
    <w:rsid w:val="00235EB8"/>
    <w:rsid w:val="00351D1E"/>
    <w:rsid w:val="00467F1D"/>
    <w:rsid w:val="00616BCF"/>
    <w:rsid w:val="00661983"/>
    <w:rsid w:val="00813D84"/>
    <w:rsid w:val="00B03C4E"/>
    <w:rsid w:val="00BA209B"/>
    <w:rsid w:val="00D600B5"/>
    <w:rsid w:val="00E90374"/>
    <w:rsid w:val="00EC79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4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body"/>
    <w:uiPriority w:val="9"/>
    <w:qFormat/>
    <w:pP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el">
    <w:name w:val="Title"/>
    <w:basedOn w:val="Heading"/>
    <w:next w:val="Textbody"/>
    <w:uiPriority w:val="10"/>
    <w:qFormat/>
    <w:pPr>
      <w:jc w:val="center"/>
    </w:pPr>
    <w:rPr>
      <w:b/>
      <w:bCs/>
      <w:sz w:val="56"/>
      <w:szCs w:val="56"/>
    </w:r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HeaderandFooter"/>
  </w:style>
  <w:style w:type="paragraph" w:styleId="Fuzeile">
    <w:name w:val="footer"/>
    <w:basedOn w:val="HeaderandFooter"/>
  </w:style>
  <w:style w:type="paragraph" w:customStyle="1" w:styleId="Footnote">
    <w:name w:val="Footnote"/>
    <w:basedOn w:val="Standard"/>
    <w:pPr>
      <w:suppressLineNumbers/>
      <w:ind w:left="339" w:hanging="339"/>
    </w:pPr>
    <w:rPr>
      <w:sz w:val="20"/>
      <w:szCs w:val="20"/>
    </w:rPr>
  </w:style>
  <w:style w:type="paragraph" w:customStyle="1" w:styleId="HorizontalLine">
    <w:name w:val="Horizontal Line"/>
    <w:basedOn w:val="Standard"/>
    <w:next w:val="Textbody"/>
    <w:pPr>
      <w:suppressLineNumbers/>
      <w:spacing w:after="283"/>
    </w:pPr>
    <w:rPr>
      <w:sz w:val="12"/>
      <w:szCs w:val="12"/>
    </w:rPr>
  </w:style>
  <w:style w:type="paragraph" w:customStyle="1" w:styleId="TableContents">
    <w:name w:val="Table Contents"/>
    <w:basedOn w:val="Standard"/>
    <w:pPr>
      <w:widowControl w:val="0"/>
      <w:suppressLineNumbers/>
    </w:pPr>
  </w:style>
  <w:style w:type="character" w:styleId="Hyperlink">
    <w:name w:val="Hyperlink"/>
    <w:basedOn w:val="Absatz-Standardschriftart"/>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Hervorhebung">
    <w:name w:val="Emphasis"/>
    <w:rPr>
      <w:i/>
      <w:iCs/>
    </w:rPr>
  </w:style>
  <w:style w:type="character" w:customStyle="1" w:styleId="BulletSymbols">
    <w:name w:val="Bullet Symbols"/>
    <w:rPr>
      <w:rFonts w:ascii="OpenSymbol" w:eastAsia="OpenSymbol" w:hAnsi="OpenSymbol" w:cs="OpenSymbol"/>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StrongEmphasis">
    <w:name w:val="Strong Emphasis"/>
    <w:rPr>
      <w:b/>
      <w:bCs/>
    </w:rPr>
  </w:style>
  <w:style w:type="numbering" w:customStyle="1" w:styleId="WWNum5">
    <w:name w:val="WWNum5"/>
    <w:basedOn w:val="KeineListe"/>
    <w:pPr>
      <w:numPr>
        <w:numId w:val="1"/>
      </w:numPr>
    </w:p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resolveuid/b6f95e49915b4480b2332c94d801229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hule-bw.de/resolveuid/4c378ce0bba7483999aff799ca5ab609" TargetMode="External"/><Relationship Id="rId12" Type="http://schemas.openxmlformats.org/officeDocument/2006/relationships/hyperlink" Target="https://www.schule-bw.de/faecher-und-schularten/sprachen-und-literatur/latein/texte-und-medien/sprueche-anekdoten/aulus-gellius/gellius-humanitas-bildung.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rmation-philosophie.de/?a=1&amp;t=9286&amp;n=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pektrum.de/lexikon/philosophie/humanitaet/9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hule-bw.de/resolveuid/0cb2fa57706144479a4d7daf5aea50ad"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rmation-philosophie.de/?a=1&amp;t=9286&amp;n=2" TargetMode="External"/><Relationship Id="rId1" Type="http://schemas.openxmlformats.org/officeDocument/2006/relationships/hyperlink" Target="https://www.spektrum.de/lexikon/philosophie/humanitaet/90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Aulus Gellius, Noctes Atticae 13, 17</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Aulus Gellius, Noctes Atticae 13, 17</dc:title>
  <dc:creator/>
  <cp:lastModifiedBy/>
  <cp:revision>1</cp:revision>
  <dcterms:created xsi:type="dcterms:W3CDTF">2022-02-21T12:01:00Z</dcterms:created>
  <dcterms:modified xsi:type="dcterms:W3CDTF">2022-03-31T20:31:00Z</dcterms:modified>
</cp:coreProperties>
</file>