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1A2F" w14:textId="77777777" w:rsidR="00486991" w:rsidRDefault="001917D5">
      <w:pPr>
        <w:pStyle w:val="Titel"/>
      </w:pPr>
      <w:r>
        <w:t>Sind die Menschen schlecht? Ein Dialog</w:t>
      </w:r>
    </w:p>
    <w:p w14:paraId="4C073F16" w14:textId="77777777" w:rsidR="00486991" w:rsidRDefault="001917D5">
      <w:pPr>
        <w:pStyle w:val="berschrift3"/>
      </w:pPr>
      <w:r>
        <w:t>Übungstext für das Kapitel Tugenden und Wertungen (Kap. 5.8) im Grundwortschatz</w:t>
      </w:r>
      <w:r>
        <w:rPr>
          <w:rStyle w:val="Funotenanker"/>
        </w:rPr>
        <w:footnoteReference w:id="1"/>
      </w:r>
    </w:p>
    <w:p w14:paraId="4D0C09CE" w14:textId="77777777" w:rsidR="00486991" w:rsidRDefault="001917D5">
      <w:pPr>
        <w:pStyle w:val="Textkrper"/>
        <w:jc w:val="both"/>
      </w:pPr>
      <w:r>
        <w:rPr>
          <w:i/>
          <w:iCs/>
        </w:rPr>
        <w:t>Ausgangssitutation</w:t>
      </w:r>
      <w:r>
        <w:t xml:space="preserve">: T. Claudius, ein Philosoph, besucht seine Schwester Claudia Secunda und ihren Mann T. Longinus auf deren </w:t>
      </w:r>
      <w:r>
        <w:t>Landgut bei Ariminum (heute Rimini). Er möchte über die philosophi</w:t>
      </w:r>
      <w:r>
        <w:softHyphen/>
        <w:t>schen Fragen sprechen, mit denen er sich befasst, aber seine Gastgeber haben auch andere Interessen.</w:t>
      </w:r>
    </w:p>
    <w:tbl>
      <w:tblPr>
        <w:tblW w:w="9628" w:type="dxa"/>
        <w:tblInd w:w="-10" w:type="dxa"/>
        <w:tblLayout w:type="fixed"/>
        <w:tblCellMar>
          <w:top w:w="113" w:type="dxa"/>
          <w:left w:w="170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891"/>
        <w:gridCol w:w="3737"/>
      </w:tblGrid>
      <w:tr w:rsidR="00486991" w14:paraId="7FACFA42" w14:textId="77777777">
        <w:trPr>
          <w:cantSplit/>
        </w:trPr>
        <w:tc>
          <w:tcPr>
            <w:tcW w:w="58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</w:tcPr>
          <w:p w14:paraId="61E1035E" w14:textId="77777777" w:rsidR="00486991" w:rsidRDefault="001917D5">
            <w:pPr>
              <w:pStyle w:val="Textkrper"/>
            </w:pPr>
            <w:r>
              <w:t>Claudius philosophus:</w:t>
            </w:r>
          </w:p>
          <w:p w14:paraId="104B1DB2" w14:textId="77777777" w:rsidR="00486991" w:rsidRDefault="001917D5">
            <w:pPr>
              <w:pStyle w:val="Textkrper"/>
              <w:ind w:left="709"/>
            </w:pPr>
            <w:r>
              <w:t>Quanta vitia in hominibus malis sunt! Nemo hodie vitam integram et</w:t>
            </w:r>
            <w:r>
              <w:t xml:space="preserve"> piam vivit, omnes turpitudine commoti luxuriae et avaritiae se dedunt.</w:t>
            </w:r>
          </w:p>
          <w:p w14:paraId="2CBEE266" w14:textId="77777777" w:rsidR="00486991" w:rsidRDefault="001917D5">
            <w:pPr>
              <w:pStyle w:val="Textkrper"/>
            </w:pPr>
            <w:r>
              <w:t>Claudia:</w:t>
            </w:r>
          </w:p>
          <w:p w14:paraId="32002764" w14:textId="77777777" w:rsidR="00486991" w:rsidRDefault="001917D5">
            <w:pPr>
              <w:pStyle w:val="Textkrper"/>
              <w:ind w:left="709"/>
            </w:pPr>
            <w:r>
              <w:t>Non intellego, cur tu alios semper improbos iudices. Ego autem homines e moribus iudico.</w:t>
            </w:r>
          </w:p>
          <w:p w14:paraId="4AF3F3FB" w14:textId="77777777" w:rsidR="00486991" w:rsidRDefault="001917D5">
            <w:pPr>
              <w:pStyle w:val="Textkrper"/>
              <w:ind w:left="709"/>
            </w:pPr>
            <w:r>
              <w:t>Si aliis consulimus, illi nos quoque adiuvant.</w:t>
            </w:r>
          </w:p>
        </w:tc>
        <w:tc>
          <w:tcPr>
            <w:tcW w:w="37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BE3B70F" w14:textId="77777777" w:rsidR="00486991" w:rsidRDefault="00486991">
            <w:pPr>
              <w:pStyle w:val="Vokabelangabe"/>
            </w:pPr>
          </w:p>
          <w:p w14:paraId="39F269E1" w14:textId="77777777" w:rsidR="00486991" w:rsidRDefault="00486991">
            <w:pPr>
              <w:pStyle w:val="Vokabelangabe"/>
            </w:pPr>
          </w:p>
          <w:p w14:paraId="23D4B5C1" w14:textId="77777777" w:rsidR="00486991" w:rsidRDefault="001917D5">
            <w:pPr>
              <w:pStyle w:val="Vokabelangabe"/>
            </w:pPr>
            <w:r>
              <w:t>sē dēdere, dēdō, dēdidī, dēditum: sic</w:t>
            </w:r>
            <w:r>
              <w:t>h einer Sache hingeben</w:t>
            </w:r>
          </w:p>
          <w:p w14:paraId="324D7EDC" w14:textId="77777777" w:rsidR="00486991" w:rsidRDefault="00486991">
            <w:pPr>
              <w:pStyle w:val="Vokabelangabe"/>
            </w:pPr>
          </w:p>
          <w:p w14:paraId="62089E47" w14:textId="77777777" w:rsidR="00486991" w:rsidRDefault="001917D5">
            <w:pPr>
              <w:pStyle w:val="Vokabelangabe"/>
            </w:pPr>
            <w:r>
              <w:t>e mōribus iūdicāre: nach dem Verhalten beurteilen</w:t>
            </w:r>
          </w:p>
        </w:tc>
      </w:tr>
      <w:tr w:rsidR="00486991" w14:paraId="4076D6EE" w14:textId="77777777">
        <w:trPr>
          <w:cantSplit/>
        </w:trPr>
        <w:tc>
          <w:tcPr>
            <w:tcW w:w="5891" w:type="dxa"/>
            <w:tcBorders>
              <w:left w:val="single" w:sz="8" w:space="0" w:color="666666"/>
              <w:bottom w:val="single" w:sz="8" w:space="0" w:color="666666"/>
            </w:tcBorders>
          </w:tcPr>
          <w:p w14:paraId="2A09A878" w14:textId="77777777" w:rsidR="00486991" w:rsidRDefault="001917D5">
            <w:pPr>
              <w:pStyle w:val="Textkrper"/>
            </w:pPr>
            <w:r>
              <w:t>Claudius philosophus:</w:t>
            </w:r>
          </w:p>
          <w:p w14:paraId="4F90CC0C" w14:textId="77777777" w:rsidR="00486991" w:rsidRDefault="001917D5">
            <w:pPr>
              <w:pStyle w:val="Textkrper"/>
              <w:ind w:left="709"/>
            </w:pPr>
            <w:r>
              <w:t>Multi autem ita superbi sunt, ut facta eorum probare non possim.</w:t>
            </w:r>
          </w:p>
          <w:p w14:paraId="00F0DB01" w14:textId="77777777" w:rsidR="00486991" w:rsidRDefault="001917D5">
            <w:pPr>
              <w:pStyle w:val="Textkrper"/>
              <w:ind w:left="709"/>
            </w:pPr>
            <w:r>
              <w:t>Officia sua et mores maiorum neglegunt, gratos et constantes se non praestant.</w:t>
            </w:r>
          </w:p>
          <w:p w14:paraId="330E6565" w14:textId="77777777" w:rsidR="00486991" w:rsidRDefault="001917D5">
            <w:pPr>
              <w:pStyle w:val="Textkrper"/>
            </w:pPr>
            <w:r>
              <w:t>Claudia:</w:t>
            </w:r>
          </w:p>
          <w:p w14:paraId="4A5497BA" w14:textId="77777777" w:rsidR="00486991" w:rsidRDefault="001917D5">
            <w:pPr>
              <w:pStyle w:val="Textkrper"/>
              <w:ind w:left="709"/>
            </w:pPr>
            <w:r>
              <w:t>Omnes, qui nobiscum hic habitant et vivunt, probi sunt et aequi.</w:t>
            </w:r>
          </w:p>
          <w:p w14:paraId="2A4D9D37" w14:textId="77777777" w:rsidR="00486991" w:rsidRDefault="001917D5">
            <w:pPr>
              <w:pStyle w:val="Textkrper"/>
              <w:ind w:left="709"/>
            </w:pPr>
            <w:r>
              <w:t>Etiam servos, quamquam libertate carent, fideles et diligentes puto.</w:t>
            </w:r>
          </w:p>
          <w:p w14:paraId="7E9512A8" w14:textId="77777777" w:rsidR="00486991" w:rsidRDefault="001917D5">
            <w:pPr>
              <w:pStyle w:val="Textkrper"/>
              <w:ind w:left="709"/>
            </w:pPr>
            <w:r>
              <w:t>Nos autem semper id studemus, ut beneficia eis demus.</w:t>
            </w:r>
          </w:p>
        </w:tc>
        <w:tc>
          <w:tcPr>
            <w:tcW w:w="37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7F9A268" w14:textId="77777777" w:rsidR="00486991" w:rsidRDefault="00486991">
            <w:pPr>
              <w:pStyle w:val="Vokabelangabe"/>
            </w:pPr>
          </w:p>
          <w:p w14:paraId="7ED82E7E" w14:textId="77777777" w:rsidR="00486991" w:rsidRDefault="00486991">
            <w:pPr>
              <w:pStyle w:val="Vokabelangabe"/>
            </w:pPr>
          </w:p>
          <w:p w14:paraId="467C9940" w14:textId="77777777" w:rsidR="00486991" w:rsidRDefault="001917D5">
            <w:pPr>
              <w:pStyle w:val="Vokabelangabe"/>
            </w:pPr>
            <w:r>
              <w:t>sē praestāre, praestō, praestitī: sich zeigen, sich erwei</w:t>
            </w:r>
            <w:r>
              <w:t xml:space="preserve">sen (als etwas). Mit Akkusativ. Beispiel: Me gratum praesto: Ich erweise mich als dankbar. </w:t>
            </w:r>
          </w:p>
          <w:p w14:paraId="3510014B" w14:textId="77777777" w:rsidR="00486991" w:rsidRDefault="00486991">
            <w:pPr>
              <w:pStyle w:val="Vokabelangabe"/>
            </w:pPr>
          </w:p>
          <w:p w14:paraId="420E7A4E" w14:textId="77777777" w:rsidR="00486991" w:rsidRDefault="001917D5">
            <w:pPr>
              <w:pStyle w:val="Vokabelangabe"/>
            </w:pPr>
            <w:r>
              <w:t>carēre (mit Ablativ): eine Sache nicht haben</w:t>
            </w:r>
          </w:p>
        </w:tc>
      </w:tr>
      <w:tr w:rsidR="00486991" w14:paraId="5F4BC06A" w14:textId="77777777">
        <w:trPr>
          <w:cantSplit/>
        </w:trPr>
        <w:tc>
          <w:tcPr>
            <w:tcW w:w="5891" w:type="dxa"/>
            <w:tcBorders>
              <w:left w:val="single" w:sz="8" w:space="0" w:color="666666"/>
              <w:bottom w:val="single" w:sz="8" w:space="0" w:color="666666"/>
            </w:tcBorders>
          </w:tcPr>
          <w:p w14:paraId="2A204513" w14:textId="77777777" w:rsidR="00486991" w:rsidRDefault="001917D5">
            <w:pPr>
              <w:pStyle w:val="Textkrper"/>
            </w:pPr>
            <w:r>
              <w:lastRenderedPageBreak/>
              <w:t>Longinus:</w:t>
            </w:r>
          </w:p>
          <w:p w14:paraId="3306B0DC" w14:textId="77777777" w:rsidR="00486991" w:rsidRDefault="001917D5">
            <w:pPr>
              <w:pStyle w:val="Textkrper"/>
              <w:ind w:left="709"/>
            </w:pPr>
            <w:r>
              <w:t xml:space="preserve">Omnia, quae Claudiae dixit, vera sunt. Cum in Gallia cum C. Caesare contra Gallos pugnavi, milites </w:t>
            </w:r>
            <w:r>
              <w:t>fortes firmosque esse intellexi.</w:t>
            </w:r>
          </w:p>
          <w:p w14:paraId="22BBC24A" w14:textId="77777777" w:rsidR="00486991" w:rsidRDefault="001917D5">
            <w:pPr>
              <w:pStyle w:val="Textkrper"/>
              <w:ind w:left="709"/>
            </w:pPr>
            <w:r>
              <w:t>Qui constanter labores ferebant, ut tandem victoriam pareremus.</w:t>
            </w:r>
          </w:p>
          <w:p w14:paraId="1819469C" w14:textId="77777777" w:rsidR="00486991" w:rsidRDefault="001917D5">
            <w:pPr>
              <w:pStyle w:val="Textkrper"/>
            </w:pPr>
            <w:r>
              <w:t>Claudius:</w:t>
            </w:r>
          </w:p>
          <w:p w14:paraId="1CB68B37" w14:textId="77777777" w:rsidR="00486991" w:rsidRDefault="001917D5">
            <w:pPr>
              <w:pStyle w:val="Textkrper"/>
              <w:ind w:left="709"/>
            </w:pPr>
            <w:r>
              <w:t>Bello humanitas pietasque pereunt. Bellum homines saevos facit ut beluas.</w:t>
            </w:r>
          </w:p>
          <w:p w14:paraId="22078DD5" w14:textId="77777777" w:rsidR="00486991" w:rsidRDefault="001917D5">
            <w:pPr>
              <w:pStyle w:val="Textkrper"/>
              <w:ind w:left="709"/>
            </w:pPr>
            <w:r>
              <w:t>C. Caesarem parvi aestimo, cum iustus non sit et rei publicae semper nocuer</w:t>
            </w:r>
            <w:r>
              <w:t>it.</w:t>
            </w:r>
          </w:p>
          <w:p w14:paraId="16D8D77C" w14:textId="77777777" w:rsidR="00486991" w:rsidRDefault="001917D5">
            <w:pPr>
              <w:pStyle w:val="Textkrper"/>
            </w:pPr>
            <w:r>
              <w:t>Longinus:</w:t>
            </w:r>
          </w:p>
          <w:p w14:paraId="17CF5EE1" w14:textId="77777777" w:rsidR="00486991" w:rsidRDefault="001917D5">
            <w:pPr>
              <w:pStyle w:val="Textkrper"/>
              <w:ind w:left="709"/>
            </w:pPr>
            <w:r>
              <w:t>Milites autem Caesarem diligunt, cum eis semper provideat. Qui alteri prodest, ipse ab illo beneficia recipiet.</w:t>
            </w:r>
          </w:p>
        </w:tc>
        <w:tc>
          <w:tcPr>
            <w:tcW w:w="37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977A560" w14:textId="77777777" w:rsidR="00486991" w:rsidRDefault="00486991">
            <w:pPr>
              <w:pStyle w:val="Vokabelangabe"/>
            </w:pPr>
          </w:p>
          <w:p w14:paraId="4E0FF9DD" w14:textId="77777777" w:rsidR="00486991" w:rsidRDefault="00486991">
            <w:pPr>
              <w:pStyle w:val="Vokabelangabe"/>
            </w:pPr>
          </w:p>
          <w:p w14:paraId="55F170A5" w14:textId="77777777" w:rsidR="00486991" w:rsidRDefault="001917D5">
            <w:pPr>
              <w:pStyle w:val="Vokabelangabe"/>
            </w:pPr>
            <w:r>
              <w:t>victōriam parere: einen Sieg erringen.</w:t>
            </w:r>
          </w:p>
          <w:p w14:paraId="2A7B5038" w14:textId="77777777" w:rsidR="00486991" w:rsidRDefault="00486991">
            <w:pPr>
              <w:pStyle w:val="Vokabelangabe"/>
            </w:pPr>
          </w:p>
          <w:p w14:paraId="57C14BDC" w14:textId="77777777" w:rsidR="00486991" w:rsidRDefault="001917D5">
            <w:pPr>
              <w:pStyle w:val="Vokabelangabe"/>
            </w:pPr>
            <w:r>
              <w:t>perīre: zugrunde gehen</w:t>
            </w:r>
          </w:p>
          <w:p w14:paraId="2D8816C2" w14:textId="77777777" w:rsidR="00486991" w:rsidRDefault="00486991">
            <w:pPr>
              <w:pStyle w:val="Vokabelangabe"/>
            </w:pPr>
          </w:p>
          <w:p w14:paraId="58DDD02A" w14:textId="77777777" w:rsidR="00486991" w:rsidRDefault="001917D5">
            <w:pPr>
              <w:pStyle w:val="Vokabelangabe"/>
            </w:pPr>
            <w:r>
              <w:t>bēlua: das (wilde) Tier</w:t>
            </w:r>
          </w:p>
          <w:p w14:paraId="5087C43B" w14:textId="77777777" w:rsidR="00486991" w:rsidRDefault="00486991">
            <w:pPr>
              <w:pStyle w:val="Vokabelangabe"/>
            </w:pPr>
          </w:p>
          <w:p w14:paraId="037FF7A2" w14:textId="77777777" w:rsidR="00486991" w:rsidRDefault="001917D5">
            <w:pPr>
              <w:pStyle w:val="Vokabelangabe"/>
            </w:pPr>
            <w:r>
              <w:t xml:space="preserve">recipere, recipiō, recēpī, </w:t>
            </w:r>
            <w:r>
              <w:t>receptum: empfangen</w:t>
            </w:r>
          </w:p>
        </w:tc>
      </w:tr>
    </w:tbl>
    <w:p w14:paraId="7821960B" w14:textId="77777777" w:rsidR="00486991" w:rsidRDefault="00486991"/>
    <w:p w14:paraId="3B8627A5" w14:textId="77777777" w:rsidR="00486991" w:rsidRDefault="00486991"/>
    <w:p w14:paraId="24ABC454" w14:textId="77777777" w:rsidR="00486991" w:rsidRDefault="001917D5">
      <w:pPr>
        <w:pStyle w:val="lbs-dokumente"/>
        <w:spacing w:after="160" w:line="312" w:lineRule="auto"/>
      </w:pPr>
      <w:r>
        <w:t xml:space="preserve">URL dieser Seite: </w:t>
      </w:r>
    </w:p>
    <w:p w14:paraId="6C9786C1" w14:textId="77777777" w:rsidR="00486991" w:rsidRDefault="001917D5">
      <w:pPr>
        <w:pStyle w:val="lbs-dokumente"/>
        <w:spacing w:after="160" w:line="312" w:lineRule="auto"/>
      </w:pPr>
      <w:hyperlink r:id="rId6">
        <w:r>
          <w:rPr>
            <w:rStyle w:val="Internetverknpfung"/>
          </w:rPr>
          <w:t>www.schule-bw.de</w:t>
        </w:r>
      </w:hyperlink>
      <w:hyperlink r:id="rId7">
        <w:r>
          <w:rPr>
            <w:rStyle w:val="Internetverknpfung"/>
          </w:rPr>
          <w:t>/faecher-und-schularten/sprachen-und-literatur/latein/texte-und-medien/uebun</w:t>
        </w:r>
        <w:r>
          <w:rPr>
            <w:rStyle w:val="Internetverknpfung"/>
          </w:rPr>
          <w:t>gstexte-aeneas/uebungstexte-vokabeln/interaktive-uebung-tugenden.html</w:t>
        </w:r>
      </w:hyperlink>
      <w:r>
        <w:t xml:space="preserve"> </w:t>
      </w:r>
    </w:p>
    <w:p w14:paraId="0C199BD1" w14:textId="77777777" w:rsidR="00486991" w:rsidRDefault="001917D5">
      <w:pPr>
        <w:rPr>
          <w:b/>
          <w:bCs/>
        </w:rPr>
      </w:pPr>
      <w:r>
        <w:rPr>
          <w:b/>
          <w:bCs/>
        </w:rPr>
        <w:t>Dort sind zwei interaktive Vokabelübungen enthalten, die in diesem Dokument nicht wiedergegeben werden können.</w:t>
      </w:r>
    </w:p>
    <w:sectPr w:rsidR="00486991">
      <w:headerReference w:type="default" r:id="rId8"/>
      <w:footerReference w:type="default" r:id="rId9"/>
      <w:pgSz w:w="11906" w:h="16838"/>
      <w:pgMar w:top="1579" w:right="1020" w:bottom="2412" w:left="1020" w:header="1020" w:footer="10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D58E" w14:textId="77777777" w:rsidR="001917D5" w:rsidRDefault="001917D5">
      <w:r>
        <w:separator/>
      </w:r>
    </w:p>
  </w:endnote>
  <w:endnote w:type="continuationSeparator" w:id="0">
    <w:p w14:paraId="03C9CAF9" w14:textId="77777777" w:rsidR="001917D5" w:rsidRDefault="0019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B66E" w14:textId="77777777" w:rsidR="00486991" w:rsidRDefault="001917D5">
    <w:pPr>
      <w:pStyle w:val="Fuzeile"/>
      <w:widowControl w:val="0"/>
      <w:pBdr>
        <w:top w:val="single" w:sz="12" w:space="1" w:color="000000"/>
      </w:pBdr>
    </w:pPr>
    <w:r>
      <w:rPr>
        <w:sz w:val="18"/>
        <w:szCs w:val="18"/>
      </w:rPr>
      <w:t xml:space="preserve">Diese Materialien sind unter der OER-konformen Lizenz </w:t>
    </w:r>
    <w:hyperlink r:id="rId1" w:tgtFrame="_top">
      <w:r>
        <w:rPr>
          <w:rStyle w:val="Internetverknpfung"/>
          <w:sz w:val="18"/>
          <w:szCs w:val="18"/>
        </w:rPr>
        <w:t>CC BY 4.0 International</w:t>
      </w:r>
    </w:hyperlink>
    <w:r>
      <w:rPr>
        <w:sz w:val="18"/>
        <w:szCs w:val="18"/>
      </w:rPr>
      <w:t xml:space="preserve"> verfügbar. Herausgeber: Landesbildungsserver Baden-Württemberg (</w:t>
    </w:r>
    <w:hyperlink r:id="rId2" w:tgtFrame="_top">
      <w:r>
        <w:rPr>
          <w:rStyle w:val="Internetverknpfung"/>
          <w:sz w:val="18"/>
          <w:szCs w:val="18"/>
        </w:rPr>
        <w:t>www.schule-bw.de</w:t>
      </w:r>
    </w:hyperlink>
    <w:r>
      <w:rPr>
        <w:sz w:val="18"/>
        <w:szCs w:val="18"/>
      </w:rPr>
      <w:t xml:space="preserve">), Fachredaktion Latein (auch unter </w:t>
    </w:r>
    <w:hyperlink r:id="rId3">
      <w:r>
        <w:rPr>
          <w:rStyle w:val="Internetverknpfung"/>
          <w:sz w:val="18"/>
          <w:szCs w:val="18"/>
        </w:rPr>
        <w:t>www.latein-bw.de</w:t>
      </w:r>
    </w:hyperlink>
    <w:r>
      <w:rPr>
        <w:sz w:val="18"/>
        <w:szCs w:val="18"/>
      </w:rPr>
      <w:t xml:space="preserve"> zu erreichen). Urheberrechtsangaben gemäß </w:t>
    </w:r>
    <w:hyperlink r:id="rId4" w:tgtFrame="_top">
      <w:r>
        <w:rPr>
          <w:rStyle w:val="Internetverknpfung"/>
          <w:sz w:val="18"/>
          <w:szCs w:val="18"/>
        </w:rPr>
        <w:t>www.schule</w:t>
      </w:r>
      <w:r>
        <w:rPr>
          <w:rStyle w:val="Internetverknpfung"/>
          <w:sz w:val="18"/>
          <w:szCs w:val="18"/>
        </w:rPr>
        <w:t>-bw.de/urheberrecht</w:t>
      </w:r>
    </w:hyperlink>
    <w:r>
      <w:rPr>
        <w:sz w:val="18"/>
        <w:szCs w:val="18"/>
      </w:rPr>
      <w:t xml:space="preserve"> sind zu beachten. Bitte beachten Sie eventuell abweichende Lizenzangaben bei den eingebundenen Bildern und anderen Materialien.</w:t>
    </w:r>
  </w:p>
  <w:p w14:paraId="2EFC8F3A" w14:textId="77777777" w:rsidR="00486991" w:rsidRDefault="001917D5">
    <w:pPr>
      <w:pStyle w:val="Fuzeile"/>
      <w:widowControl w:val="0"/>
      <w:pBdr>
        <w:top w:val="single" w:sz="12" w:space="1" w:color="000000"/>
      </w:pBdr>
      <w:jc w:val="center"/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>PAGE \* ARABIC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>NUMPAGES \* ARABIC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4D89" w14:textId="77777777" w:rsidR="001917D5" w:rsidRDefault="001917D5">
      <w:pPr>
        <w:rPr>
          <w:sz w:val="12"/>
        </w:rPr>
      </w:pPr>
      <w:r>
        <w:separator/>
      </w:r>
    </w:p>
  </w:footnote>
  <w:footnote w:type="continuationSeparator" w:id="0">
    <w:p w14:paraId="5D09DBE6" w14:textId="77777777" w:rsidR="001917D5" w:rsidRDefault="001917D5">
      <w:pPr>
        <w:rPr>
          <w:sz w:val="12"/>
        </w:rPr>
      </w:pPr>
      <w:r>
        <w:continuationSeparator/>
      </w:r>
    </w:p>
  </w:footnote>
  <w:footnote w:id="1">
    <w:p w14:paraId="594ED392" w14:textId="77777777" w:rsidR="00486991" w:rsidRDefault="001917D5">
      <w:pPr>
        <w:pStyle w:val="Funotentext"/>
      </w:pPr>
      <w:r>
        <w:rPr>
          <w:rStyle w:val="Funotenzeichen"/>
        </w:rPr>
        <w:footnoteRef/>
      </w:r>
      <w:r>
        <w:tab/>
        <w:t xml:space="preserve">URL: </w:t>
      </w:r>
      <w:hyperlink r:id="rId1">
        <w:r>
          <w:rPr>
            <w:rStyle w:val="Internetverknpfung"/>
          </w:rPr>
          <w:t>https://www.schule-bw.de/faecher-und-schularten/sprachen-und-literatur/latein/sprache/grundwortschatz/denken-fuehlen-und-reden/werten.html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71C0" w14:textId="77777777" w:rsidR="00486991" w:rsidRDefault="001917D5">
    <w:pPr>
      <w:pStyle w:val="Kopfzeile"/>
    </w:pPr>
    <w:r>
      <w:rPr>
        <w:noProof/>
      </w:rPr>
      <w:drawing>
        <wp:anchor distT="0" distB="0" distL="0" distR="0" simplePos="0" relativeHeight="3" behindDoc="1" locked="0" layoutInCell="0" allowOverlap="1" wp14:anchorId="2EEBBAB5" wp14:editId="24668D51">
          <wp:simplePos x="0" y="0"/>
          <wp:positionH relativeFrom="column">
            <wp:posOffset>2874010</wp:posOffset>
          </wp:positionH>
          <wp:positionV relativeFrom="paragraph">
            <wp:posOffset>-318135</wp:posOffset>
          </wp:positionV>
          <wp:extent cx="396240" cy="554355"/>
          <wp:effectExtent l="0" t="0" r="0" b="0"/>
          <wp:wrapNone/>
          <wp:docPr id="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0" locked="0" layoutInCell="0" allowOverlap="1" wp14:anchorId="0D4834EB" wp14:editId="2622E2B4">
          <wp:simplePos x="0" y="0"/>
          <wp:positionH relativeFrom="column">
            <wp:posOffset>4551680</wp:posOffset>
          </wp:positionH>
          <wp:positionV relativeFrom="paragraph">
            <wp:posOffset>-329565</wp:posOffset>
          </wp:positionV>
          <wp:extent cx="1634490" cy="570230"/>
          <wp:effectExtent l="0" t="0" r="0" b="0"/>
          <wp:wrapSquare wrapText="bothSides"/>
          <wp:docPr id="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218" t="13902" r="6410" b="13902"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0" locked="0" layoutInCell="0" allowOverlap="1" wp14:anchorId="235FEA3C" wp14:editId="31A9C748">
          <wp:simplePos x="0" y="0"/>
          <wp:positionH relativeFrom="column">
            <wp:posOffset>-50800</wp:posOffset>
          </wp:positionH>
          <wp:positionV relativeFrom="paragraph">
            <wp:posOffset>-360680</wp:posOffset>
          </wp:positionV>
          <wp:extent cx="1923415" cy="622300"/>
          <wp:effectExtent l="0" t="0" r="0" b="0"/>
          <wp:wrapSquare wrapText="largest"/>
          <wp:docPr id="3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91"/>
    <w:rsid w:val="001917D5"/>
    <w:rsid w:val="00486991"/>
    <w:rsid w:val="00F3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17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berschrift"/>
    <w:next w:val="Textkrper"/>
    <w:uiPriority w:val="9"/>
    <w:qFormat/>
    <w:pPr>
      <w:outlineLvl w:val="0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240" w:after="240"/>
      <w:outlineLvl w:val="2"/>
    </w:pPr>
    <w:rPr>
      <w:rFonts w:ascii="Arial" w:eastAsia="Segoe UI" w:hAnsi="Arial" w:cs="Tahoma"/>
      <w:color w:val="0D0D0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qFormat/>
    <w:rPr>
      <w:color w:val="0000FF"/>
      <w:u w:val="single"/>
    </w:rPr>
  </w:style>
  <w:style w:type="character" w:customStyle="1" w:styleId="Internetverknpfung">
    <w:name w:val="Internetverknüpfung"/>
    <w:rPr>
      <w:color w:val="000080"/>
      <w:u w:val="single"/>
      <w:lang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character" w:styleId="Funotenzeichen">
    <w:name w:val="footnote reference"/>
    <w:qFormat/>
  </w:style>
  <w:style w:type="character" w:customStyle="1" w:styleId="Funotenanker">
    <w:name w:val="Fußnotenanker"/>
    <w:rPr>
      <w:vertAlign w:val="superscript"/>
    </w:rPr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Titel">
    <w:name w:val="Title"/>
    <w:basedOn w:val="berschrift"/>
    <w:next w:val="Textkrper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Kopf-undFuzeile"/>
  </w:style>
  <w:style w:type="paragraph" w:styleId="Fuzeile">
    <w:name w:val="footer"/>
    <w:basedOn w:val="Kopf-undFuzeile"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NormaleTabelle1">
    <w:name w:val="Normale Tabelle1"/>
    <w:qFormat/>
    <w:pPr>
      <w:spacing w:line="360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ellenraster1">
    <w:name w:val="Tabellenraster1"/>
    <w:basedOn w:val="NormaleTabelle1"/>
    <w:qFormat/>
    <w:pPr>
      <w:spacing w:line="240" w:lineRule="auto"/>
    </w:pPr>
  </w:style>
  <w:style w:type="paragraph" w:customStyle="1" w:styleId="TextErlaeuterung">
    <w:name w:val="Text Erlaeuterung"/>
    <w:basedOn w:val="Textkrper"/>
    <w:qFormat/>
    <w:pPr>
      <w:spacing w:line="340" w:lineRule="atLeast"/>
    </w:pPr>
    <w:rPr>
      <w:rFonts w:ascii="Arial" w:hAnsi="Arial"/>
      <w:sz w:val="22"/>
      <w:szCs w:val="22"/>
    </w:rPr>
  </w:style>
  <w:style w:type="paragraph" w:customStyle="1" w:styleId="Vokabelangabe">
    <w:name w:val="Vokabelangabe"/>
    <w:basedOn w:val="Standard"/>
    <w:autoRedefine/>
    <w:qFormat/>
    <w:pPr>
      <w:ind w:left="284" w:hanging="284"/>
    </w:pPr>
    <w:rPr>
      <w:sz w:val="20"/>
      <w:szCs w:val="20"/>
    </w:rPr>
  </w:style>
  <w:style w:type="paragraph" w:styleId="Funotentext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lbs-dokumente">
    <w:name w:val="lbs-dokumente"/>
    <w:qFormat/>
    <w:pPr>
      <w:spacing w:after="198" w:line="360" w:lineRule="auto"/>
    </w:pPr>
    <w:rPr>
      <w:rFonts w:ascii="Arial" w:hAnsi="Arial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chule-bw.de/faecher-und-schularten/sprachen-und-literatur/latein/texte-und-medien/uebungstexte-aeneas/uebungstexte-vokabeln/interaktive-uebung-tugende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hule-bw.de/faecher-und-schularten/sprachen-und-literatur/latein/texte-und-medien/uebungstexte-aeneas/uebungstexte-vokabeln/interaktive-uebung-tugenden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tein-bw.de/" TargetMode="External"/><Relationship Id="rId2" Type="http://schemas.openxmlformats.org/officeDocument/2006/relationships/hyperlink" Target="https://www.schule-bw.de/" TargetMode="External"/><Relationship Id="rId1" Type="http://schemas.openxmlformats.org/officeDocument/2006/relationships/hyperlink" Target="https://creativecommons.org/licenses/by/4.0/legalcode" TargetMode="External"/><Relationship Id="rId4" Type="http://schemas.openxmlformats.org/officeDocument/2006/relationships/hyperlink" Target="https://www.schule-bw.de/urheberrech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e-bw.de/faecher-und-schularten/sprachen-und-literatur/latein/sprache/grundwortschatz/denken-fuehlen-und-reden/werten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Dialog über die Tugenden</dc:title>
  <dc:subject/>
  <dc:creator/>
  <dc:description/>
  <cp:lastModifiedBy/>
  <cp:revision>1</cp:revision>
  <dcterms:created xsi:type="dcterms:W3CDTF">2022-02-07T20:22:00Z</dcterms:created>
  <dcterms:modified xsi:type="dcterms:W3CDTF">2022-02-07T20:22:00Z</dcterms:modified>
  <dc:language/>
</cp:coreProperties>
</file>