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3AF58" w14:textId="77777777" w:rsidR="00593264" w:rsidRDefault="00555A45">
      <w:bookmarkStart w:id="0" w:name="__RefHeading___Toc172_2631765057"/>
      <w:bookmarkStart w:id="1" w:name="lbs-document-first-heading"/>
      <w:bookmarkEnd w:id="0"/>
      <w:bookmarkEnd w:id="1"/>
      <w:r>
        <w:rPr>
          <w:b/>
          <w:bCs/>
          <w:sz w:val="40"/>
          <w:szCs w:val="40"/>
        </w:rPr>
        <w:t>Die Entstehung der römischen Republik und die Frage der Demokratie</w:t>
      </w:r>
      <w:r>
        <w:t xml:space="preserve"> </w:t>
      </w:r>
      <w:bookmarkStart w:id="2" w:name="lbs-document-actions"/>
      <w:bookmarkEnd w:id="2"/>
    </w:p>
    <w:p w14:paraId="6DFA9BD5" w14:textId="77777777" w:rsidR="00593264" w:rsidRDefault="00555A45">
      <w:pPr>
        <w:pStyle w:val="Textkrper"/>
        <w:spacing w:after="0"/>
      </w:pPr>
      <w:r>
        <w:t>Ein kurzer Abriss der Entstehung der römischen Republik und ihrer wesentlichen Machtverhältnisse</w:t>
      </w:r>
    </w:p>
    <w:p w14:paraId="42393004" w14:textId="77777777" w:rsidR="00593264" w:rsidRDefault="00593264">
      <w:pPr>
        <w:sectPr w:rsidR="00593264">
          <w:headerReference w:type="default" r:id="rId7"/>
          <w:footerReference w:type="default" r:id="rId8"/>
          <w:pgSz w:w="11906" w:h="16838"/>
          <w:pgMar w:top="2361" w:right="1134" w:bottom="1717" w:left="1134" w:header="1134" w:footer="1134" w:gutter="0"/>
          <w:cols w:space="720"/>
          <w:formProt w:val="0"/>
          <w:docGrid w:linePitch="312" w:charSpace="-2049"/>
        </w:sectPr>
      </w:pPr>
    </w:p>
    <w:p w14:paraId="26F3EA30" w14:textId="77777777" w:rsidR="00593264" w:rsidRDefault="00555A45" w:rsidP="0078467A">
      <w:pPr>
        <w:spacing w:before="240"/>
        <w:rPr>
          <w:b/>
          <w:bCs/>
          <w:sz w:val="28"/>
          <w:szCs w:val="28"/>
        </w:rPr>
      </w:pPr>
      <w:bookmarkStart w:id="3" w:name="__RefHeading___Toc174_2631765057"/>
      <w:bookmarkEnd w:id="3"/>
      <w:r>
        <w:rPr>
          <w:b/>
          <w:bCs/>
          <w:sz w:val="28"/>
          <w:szCs w:val="28"/>
        </w:rPr>
        <w:t>Hintergrund und Absicht dieser Seite</w:t>
      </w:r>
    </w:p>
    <w:p w14:paraId="766BFA04" w14:textId="77777777" w:rsidR="00593264" w:rsidRDefault="00555A45">
      <w:pPr>
        <w:pStyle w:val="Textkrper"/>
        <w:jc w:val="both"/>
      </w:pPr>
      <w:r>
        <w:t>In diesem Arbeitsblatt w</w:t>
      </w:r>
      <w:r>
        <w:t>erden unterschiedliche Sichtweisen auf die römische Geschichte vorgestellt, wie sie in der Forschung der Altertumswissenschaften international in den letzten 25 Jahren diskutiert wurden.</w:t>
      </w:r>
    </w:p>
    <w:p w14:paraId="27636FB4" w14:textId="77777777" w:rsidR="00593264" w:rsidRDefault="00555A45">
      <w:pPr>
        <w:pStyle w:val="Textkrper"/>
        <w:jc w:val="both"/>
      </w:pPr>
      <w:r>
        <w:t xml:space="preserve"> Der Text dient also auch dazu, auf die Arbeit mit wissenschaftlichen</w:t>
      </w:r>
      <w:r>
        <w:t xml:space="preserve"> Erkenntnissen vorzubereiten. Er richtet sich daher in erster Linie an Schülerinnen und Schüler der Klasse 10 und der Kursstufe.</w:t>
      </w:r>
    </w:p>
    <w:p w14:paraId="2CC116CC" w14:textId="77777777" w:rsidR="00593264" w:rsidRDefault="00555A45">
      <w:pPr>
        <w:pStyle w:val="Textkrper"/>
        <w:jc w:val="both"/>
      </w:pPr>
      <w:r>
        <w:t>Angaben zur</w:t>
      </w:r>
      <w:r>
        <w:t xml:space="preserve"> URL dieser Seite steht und zur Lizenz stehen auf der letzten Seite des Dokuments.</w:t>
      </w:r>
    </w:p>
    <w:p w14:paraId="069451C0" w14:textId="77777777" w:rsidR="00593264" w:rsidRDefault="00555A45">
      <w:pPr>
        <w:pStyle w:val="Textkrper"/>
      </w:pPr>
      <w:r>
        <w:t>Zum historischen Zusammenhang gib</w:t>
      </w:r>
      <w:r>
        <w:t xml:space="preserve">t es eine </w:t>
      </w:r>
      <w:r>
        <w:rPr>
          <w:i/>
          <w:iCs/>
        </w:rPr>
        <w:t>Zeitleiste zur römischen Geschichte</w:t>
      </w:r>
      <w:r>
        <w:t>.</w:t>
      </w:r>
      <w:r>
        <w:rPr>
          <w:rStyle w:val="Funotenanker"/>
        </w:rPr>
        <w:footnoteReference w:id="1"/>
      </w:r>
    </w:p>
    <w:sdt>
      <w:sdtPr>
        <w:rPr>
          <w:rFonts w:eastAsia="NSimSun"/>
          <w:b w:val="0"/>
          <w:bCs w:val="0"/>
          <w:sz w:val="22"/>
          <w:szCs w:val="24"/>
        </w:rPr>
        <w:id w:val="1874958531"/>
        <w:docPartObj>
          <w:docPartGallery w:val="Table of Contents"/>
          <w:docPartUnique/>
        </w:docPartObj>
      </w:sdtPr>
      <w:sdtEndPr/>
      <w:sdtContent>
        <w:p w14:paraId="0310EABA" w14:textId="77777777" w:rsidR="00593264" w:rsidRDefault="00555A45">
          <w:pPr>
            <w:pStyle w:val="RGV-berschrift"/>
          </w:pPr>
          <w:r>
            <w:t>Gliederung des Artikels</w:t>
          </w:r>
        </w:p>
        <w:p w14:paraId="3EB98256" w14:textId="3C556022" w:rsidR="0078467A" w:rsidRDefault="00555A45">
          <w:pPr>
            <w:pStyle w:val="Verzeichnis3"/>
            <w:rPr>
              <w:rFonts w:asciiTheme="minorHAnsi" w:eastAsiaTheme="minorEastAsia" w:hAnsiTheme="minorHAnsi" w:cstheme="minorBidi"/>
              <w:noProof/>
              <w:kern w:val="0"/>
              <w:szCs w:val="22"/>
              <w:lang w:eastAsia="de-DE" w:bidi="ar-SA"/>
            </w:rPr>
          </w:pPr>
          <w:r>
            <w:fldChar w:fldCharType="begin"/>
          </w:r>
          <w:r>
            <w:rPr>
              <w:rStyle w:val="Verzeichnissprung"/>
            </w:rPr>
            <w:instrText>TOC \f \o "1-9" \h</w:instrText>
          </w:r>
          <w:r>
            <w:rPr>
              <w:rStyle w:val="Verzeichnissprung"/>
            </w:rPr>
            <w:fldChar w:fldCharType="separate"/>
          </w:r>
          <w:hyperlink w:anchor="_Toc41156340" w:history="1">
            <w:r w:rsidR="0078467A" w:rsidRPr="00FF507A">
              <w:rPr>
                <w:rStyle w:val="Hyperlink"/>
                <w:noProof/>
              </w:rPr>
              <w:t>1. Der Beginn eines römischen Staatswesens</w:t>
            </w:r>
            <w:r w:rsidR="0078467A">
              <w:rPr>
                <w:noProof/>
              </w:rPr>
              <w:tab/>
            </w:r>
            <w:r w:rsidR="0078467A">
              <w:rPr>
                <w:noProof/>
              </w:rPr>
              <w:fldChar w:fldCharType="begin"/>
            </w:r>
            <w:r w:rsidR="0078467A">
              <w:rPr>
                <w:noProof/>
              </w:rPr>
              <w:instrText xml:space="preserve"> PAGEREF _Toc41156340 \h </w:instrText>
            </w:r>
            <w:r w:rsidR="0078467A">
              <w:rPr>
                <w:noProof/>
              </w:rPr>
            </w:r>
            <w:r w:rsidR="0078467A">
              <w:rPr>
                <w:noProof/>
              </w:rPr>
              <w:fldChar w:fldCharType="separate"/>
            </w:r>
            <w:r w:rsidR="0078467A">
              <w:rPr>
                <w:noProof/>
              </w:rPr>
              <w:t>2</w:t>
            </w:r>
            <w:r w:rsidR="0078467A">
              <w:rPr>
                <w:noProof/>
              </w:rPr>
              <w:fldChar w:fldCharType="end"/>
            </w:r>
          </w:hyperlink>
        </w:p>
        <w:p w14:paraId="6DC9EEFD" w14:textId="5AF945B8" w:rsidR="0078467A" w:rsidRDefault="0078467A">
          <w:pPr>
            <w:pStyle w:val="Verzeichnis3"/>
            <w:rPr>
              <w:rFonts w:asciiTheme="minorHAnsi" w:eastAsiaTheme="minorEastAsia" w:hAnsiTheme="minorHAnsi" w:cstheme="minorBidi"/>
              <w:noProof/>
              <w:kern w:val="0"/>
              <w:szCs w:val="22"/>
              <w:lang w:eastAsia="de-DE" w:bidi="ar-SA"/>
            </w:rPr>
          </w:pPr>
          <w:hyperlink w:anchor="_Toc41156341" w:history="1">
            <w:r w:rsidRPr="00FF507A">
              <w:rPr>
                <w:rStyle w:val="Hyperlink"/>
                <w:noProof/>
              </w:rPr>
              <w:t>2. Der Übergang von der Königsherrschaft zur Republik</w:t>
            </w:r>
            <w:r>
              <w:rPr>
                <w:noProof/>
              </w:rPr>
              <w:tab/>
            </w:r>
            <w:r>
              <w:rPr>
                <w:noProof/>
              </w:rPr>
              <w:fldChar w:fldCharType="begin"/>
            </w:r>
            <w:r>
              <w:rPr>
                <w:noProof/>
              </w:rPr>
              <w:instrText xml:space="preserve"> PAGEREF _Toc41156341 \h </w:instrText>
            </w:r>
            <w:r>
              <w:rPr>
                <w:noProof/>
              </w:rPr>
            </w:r>
            <w:r>
              <w:rPr>
                <w:noProof/>
              </w:rPr>
              <w:fldChar w:fldCharType="separate"/>
            </w:r>
            <w:r>
              <w:rPr>
                <w:noProof/>
              </w:rPr>
              <w:t>2</w:t>
            </w:r>
            <w:r>
              <w:rPr>
                <w:noProof/>
              </w:rPr>
              <w:fldChar w:fldCharType="end"/>
            </w:r>
          </w:hyperlink>
        </w:p>
        <w:p w14:paraId="76E24044" w14:textId="7B049A5F" w:rsidR="0078467A" w:rsidRDefault="0078467A">
          <w:pPr>
            <w:pStyle w:val="Verzeichnis4"/>
            <w:rPr>
              <w:rFonts w:asciiTheme="minorHAnsi" w:eastAsiaTheme="minorEastAsia" w:hAnsiTheme="minorHAnsi" w:cstheme="minorBidi"/>
              <w:noProof/>
              <w:kern w:val="0"/>
              <w:szCs w:val="22"/>
              <w:lang w:eastAsia="de-DE" w:bidi="ar-SA"/>
            </w:rPr>
          </w:pPr>
          <w:hyperlink w:anchor="_Toc41156342" w:history="1">
            <w:r w:rsidRPr="00FF507A">
              <w:rPr>
                <w:rStyle w:val="Hyperlink"/>
                <w:noProof/>
              </w:rPr>
              <w:t>Ein Forschungsstreit über das leitende Amt der frühen Republik</w:t>
            </w:r>
            <w:r>
              <w:rPr>
                <w:noProof/>
              </w:rPr>
              <w:tab/>
            </w:r>
            <w:r>
              <w:rPr>
                <w:noProof/>
              </w:rPr>
              <w:fldChar w:fldCharType="begin"/>
            </w:r>
            <w:r>
              <w:rPr>
                <w:noProof/>
              </w:rPr>
              <w:instrText xml:space="preserve"> PAGEREF _Toc41156342 \h </w:instrText>
            </w:r>
            <w:r>
              <w:rPr>
                <w:noProof/>
              </w:rPr>
            </w:r>
            <w:r>
              <w:rPr>
                <w:noProof/>
              </w:rPr>
              <w:fldChar w:fldCharType="separate"/>
            </w:r>
            <w:r>
              <w:rPr>
                <w:noProof/>
              </w:rPr>
              <w:t>2</w:t>
            </w:r>
            <w:r>
              <w:rPr>
                <w:noProof/>
              </w:rPr>
              <w:fldChar w:fldCharType="end"/>
            </w:r>
          </w:hyperlink>
        </w:p>
        <w:p w14:paraId="60C86152" w14:textId="17E6D8EB" w:rsidR="0078467A" w:rsidRDefault="0078467A">
          <w:pPr>
            <w:pStyle w:val="Verzeichnis3"/>
            <w:rPr>
              <w:rFonts w:asciiTheme="minorHAnsi" w:eastAsiaTheme="minorEastAsia" w:hAnsiTheme="minorHAnsi" w:cstheme="minorBidi"/>
              <w:noProof/>
              <w:kern w:val="0"/>
              <w:szCs w:val="22"/>
              <w:lang w:eastAsia="de-DE" w:bidi="ar-SA"/>
            </w:rPr>
          </w:pPr>
          <w:hyperlink w:anchor="_Toc41156343" w:history="1">
            <w:r w:rsidRPr="00FF507A">
              <w:rPr>
                <w:rStyle w:val="Hyperlink"/>
                <w:noProof/>
              </w:rPr>
              <w:t>3. Die Schichten der römischen Gesellschaft</w:t>
            </w:r>
            <w:r>
              <w:rPr>
                <w:noProof/>
              </w:rPr>
              <w:tab/>
            </w:r>
            <w:r>
              <w:rPr>
                <w:noProof/>
              </w:rPr>
              <w:fldChar w:fldCharType="begin"/>
            </w:r>
            <w:r>
              <w:rPr>
                <w:noProof/>
              </w:rPr>
              <w:instrText xml:space="preserve"> PAGEREF _Toc41156343 \h </w:instrText>
            </w:r>
            <w:r>
              <w:rPr>
                <w:noProof/>
              </w:rPr>
            </w:r>
            <w:r>
              <w:rPr>
                <w:noProof/>
              </w:rPr>
              <w:fldChar w:fldCharType="separate"/>
            </w:r>
            <w:r>
              <w:rPr>
                <w:noProof/>
              </w:rPr>
              <w:t>3</w:t>
            </w:r>
            <w:r>
              <w:rPr>
                <w:noProof/>
              </w:rPr>
              <w:fldChar w:fldCharType="end"/>
            </w:r>
          </w:hyperlink>
        </w:p>
        <w:p w14:paraId="024A60EF" w14:textId="52104572" w:rsidR="0078467A" w:rsidRDefault="0078467A">
          <w:pPr>
            <w:pStyle w:val="Verzeichnis3"/>
            <w:rPr>
              <w:rFonts w:asciiTheme="minorHAnsi" w:eastAsiaTheme="minorEastAsia" w:hAnsiTheme="minorHAnsi" w:cstheme="minorBidi"/>
              <w:noProof/>
              <w:kern w:val="0"/>
              <w:szCs w:val="22"/>
              <w:lang w:eastAsia="de-DE" w:bidi="ar-SA"/>
            </w:rPr>
          </w:pPr>
          <w:hyperlink w:anchor="_Toc41156344" w:history="1">
            <w:r w:rsidRPr="00FF507A">
              <w:rPr>
                <w:rStyle w:val="Hyperlink"/>
                <w:noProof/>
              </w:rPr>
              <w:t>4. Die Ämter und die Versammlungen</w:t>
            </w:r>
            <w:r>
              <w:rPr>
                <w:noProof/>
              </w:rPr>
              <w:tab/>
            </w:r>
            <w:r>
              <w:rPr>
                <w:noProof/>
              </w:rPr>
              <w:fldChar w:fldCharType="begin"/>
            </w:r>
            <w:r>
              <w:rPr>
                <w:noProof/>
              </w:rPr>
              <w:instrText xml:space="preserve"> PAGEREF _Toc41156344 \h </w:instrText>
            </w:r>
            <w:r>
              <w:rPr>
                <w:noProof/>
              </w:rPr>
            </w:r>
            <w:r>
              <w:rPr>
                <w:noProof/>
              </w:rPr>
              <w:fldChar w:fldCharType="separate"/>
            </w:r>
            <w:r>
              <w:rPr>
                <w:noProof/>
              </w:rPr>
              <w:t>4</w:t>
            </w:r>
            <w:r>
              <w:rPr>
                <w:noProof/>
              </w:rPr>
              <w:fldChar w:fldCharType="end"/>
            </w:r>
          </w:hyperlink>
        </w:p>
        <w:p w14:paraId="7A7551A4" w14:textId="56749E0E" w:rsidR="0078467A" w:rsidRDefault="0078467A">
          <w:pPr>
            <w:pStyle w:val="Verzeichnis4"/>
            <w:rPr>
              <w:rFonts w:asciiTheme="minorHAnsi" w:eastAsiaTheme="minorEastAsia" w:hAnsiTheme="minorHAnsi" w:cstheme="minorBidi"/>
              <w:noProof/>
              <w:kern w:val="0"/>
              <w:szCs w:val="22"/>
              <w:lang w:eastAsia="de-DE" w:bidi="ar-SA"/>
            </w:rPr>
          </w:pPr>
          <w:hyperlink w:anchor="_Toc41156345" w:history="1">
            <w:r w:rsidRPr="00FF507A">
              <w:rPr>
                <w:rStyle w:val="Hyperlink"/>
                <w:noProof/>
              </w:rPr>
              <w:t>Die Wahlen</w:t>
            </w:r>
            <w:r>
              <w:rPr>
                <w:noProof/>
              </w:rPr>
              <w:tab/>
            </w:r>
            <w:r>
              <w:rPr>
                <w:noProof/>
              </w:rPr>
              <w:fldChar w:fldCharType="begin"/>
            </w:r>
            <w:r>
              <w:rPr>
                <w:noProof/>
              </w:rPr>
              <w:instrText xml:space="preserve"> PAGEREF _Toc41156345 \h </w:instrText>
            </w:r>
            <w:r>
              <w:rPr>
                <w:noProof/>
              </w:rPr>
            </w:r>
            <w:r>
              <w:rPr>
                <w:noProof/>
              </w:rPr>
              <w:fldChar w:fldCharType="separate"/>
            </w:r>
            <w:r>
              <w:rPr>
                <w:noProof/>
              </w:rPr>
              <w:t>5</w:t>
            </w:r>
            <w:r>
              <w:rPr>
                <w:noProof/>
              </w:rPr>
              <w:fldChar w:fldCharType="end"/>
            </w:r>
          </w:hyperlink>
        </w:p>
        <w:p w14:paraId="01C9EFDA" w14:textId="7ECC7507" w:rsidR="0078467A" w:rsidRDefault="0078467A">
          <w:pPr>
            <w:pStyle w:val="Verzeichnis4"/>
            <w:rPr>
              <w:rFonts w:asciiTheme="minorHAnsi" w:eastAsiaTheme="minorEastAsia" w:hAnsiTheme="minorHAnsi" w:cstheme="minorBidi"/>
              <w:noProof/>
              <w:kern w:val="0"/>
              <w:szCs w:val="22"/>
              <w:lang w:eastAsia="de-DE" w:bidi="ar-SA"/>
            </w:rPr>
          </w:pPr>
          <w:hyperlink w:anchor="_Toc41156346" w:history="1">
            <w:r w:rsidRPr="00FF507A">
              <w:rPr>
                <w:rStyle w:val="Hyperlink"/>
                <w:noProof/>
              </w:rPr>
              <w:t>Der Senat</w:t>
            </w:r>
            <w:r>
              <w:rPr>
                <w:noProof/>
              </w:rPr>
              <w:tab/>
            </w:r>
            <w:r>
              <w:rPr>
                <w:noProof/>
              </w:rPr>
              <w:fldChar w:fldCharType="begin"/>
            </w:r>
            <w:r>
              <w:rPr>
                <w:noProof/>
              </w:rPr>
              <w:instrText xml:space="preserve"> PAGEREF _Toc41156346 \h </w:instrText>
            </w:r>
            <w:r>
              <w:rPr>
                <w:noProof/>
              </w:rPr>
            </w:r>
            <w:r>
              <w:rPr>
                <w:noProof/>
              </w:rPr>
              <w:fldChar w:fldCharType="separate"/>
            </w:r>
            <w:r>
              <w:rPr>
                <w:noProof/>
              </w:rPr>
              <w:t>5</w:t>
            </w:r>
            <w:r>
              <w:rPr>
                <w:noProof/>
              </w:rPr>
              <w:fldChar w:fldCharType="end"/>
            </w:r>
          </w:hyperlink>
        </w:p>
        <w:p w14:paraId="3B033E8F" w14:textId="52F68C04" w:rsidR="0078467A" w:rsidRDefault="0078467A">
          <w:pPr>
            <w:pStyle w:val="Verzeichnis3"/>
            <w:rPr>
              <w:rFonts w:asciiTheme="minorHAnsi" w:eastAsiaTheme="minorEastAsia" w:hAnsiTheme="minorHAnsi" w:cstheme="minorBidi"/>
              <w:noProof/>
              <w:kern w:val="0"/>
              <w:szCs w:val="22"/>
              <w:lang w:eastAsia="de-DE" w:bidi="ar-SA"/>
            </w:rPr>
          </w:pPr>
          <w:hyperlink w:anchor="_Toc41156347" w:history="1">
            <w:r w:rsidRPr="00FF507A">
              <w:rPr>
                <w:rStyle w:val="Hyperlink"/>
                <w:noProof/>
              </w:rPr>
              <w:t>5. Zweierlei Adel – die Herausbildung eines neuen Amtsadels und das Ende der Ständekämpfe</w:t>
            </w:r>
            <w:r>
              <w:rPr>
                <w:noProof/>
              </w:rPr>
              <w:tab/>
            </w:r>
            <w:r>
              <w:rPr>
                <w:noProof/>
              </w:rPr>
              <w:fldChar w:fldCharType="begin"/>
            </w:r>
            <w:r>
              <w:rPr>
                <w:noProof/>
              </w:rPr>
              <w:instrText xml:space="preserve"> PAGEREF _Toc41156347 \h </w:instrText>
            </w:r>
            <w:r>
              <w:rPr>
                <w:noProof/>
              </w:rPr>
            </w:r>
            <w:r>
              <w:rPr>
                <w:noProof/>
              </w:rPr>
              <w:fldChar w:fldCharType="separate"/>
            </w:r>
            <w:r>
              <w:rPr>
                <w:noProof/>
              </w:rPr>
              <w:t>6</w:t>
            </w:r>
            <w:r>
              <w:rPr>
                <w:noProof/>
              </w:rPr>
              <w:fldChar w:fldCharType="end"/>
            </w:r>
          </w:hyperlink>
        </w:p>
        <w:p w14:paraId="0683CEEB" w14:textId="5357EFA1" w:rsidR="0078467A" w:rsidRDefault="0078467A">
          <w:pPr>
            <w:pStyle w:val="Verzeichnis3"/>
            <w:rPr>
              <w:rFonts w:asciiTheme="minorHAnsi" w:eastAsiaTheme="minorEastAsia" w:hAnsiTheme="minorHAnsi" w:cstheme="minorBidi"/>
              <w:noProof/>
              <w:kern w:val="0"/>
              <w:szCs w:val="22"/>
              <w:lang w:eastAsia="de-DE" w:bidi="ar-SA"/>
            </w:rPr>
          </w:pPr>
          <w:hyperlink w:anchor="_Toc41156348" w:history="1">
            <w:r w:rsidRPr="00FF507A">
              <w:rPr>
                <w:rStyle w:val="Hyperlink"/>
                <w:noProof/>
              </w:rPr>
              <w:t>6. Zusammenfassung: Demokratie in der römischen Republik?</w:t>
            </w:r>
            <w:r>
              <w:rPr>
                <w:noProof/>
              </w:rPr>
              <w:tab/>
            </w:r>
            <w:r>
              <w:rPr>
                <w:noProof/>
              </w:rPr>
              <w:fldChar w:fldCharType="begin"/>
            </w:r>
            <w:r>
              <w:rPr>
                <w:noProof/>
              </w:rPr>
              <w:instrText xml:space="preserve"> PAGEREF _Toc41156348 \h </w:instrText>
            </w:r>
            <w:r>
              <w:rPr>
                <w:noProof/>
              </w:rPr>
            </w:r>
            <w:r>
              <w:rPr>
                <w:noProof/>
              </w:rPr>
              <w:fldChar w:fldCharType="separate"/>
            </w:r>
            <w:r>
              <w:rPr>
                <w:noProof/>
              </w:rPr>
              <w:t>6</w:t>
            </w:r>
            <w:r>
              <w:rPr>
                <w:noProof/>
              </w:rPr>
              <w:fldChar w:fldCharType="end"/>
            </w:r>
          </w:hyperlink>
        </w:p>
        <w:p w14:paraId="09A5C51F" w14:textId="5D5B84E0" w:rsidR="0078467A" w:rsidRDefault="0078467A">
          <w:pPr>
            <w:pStyle w:val="Verzeichnis4"/>
            <w:rPr>
              <w:rFonts w:asciiTheme="minorHAnsi" w:eastAsiaTheme="minorEastAsia" w:hAnsiTheme="minorHAnsi" w:cstheme="minorBidi"/>
              <w:noProof/>
              <w:kern w:val="0"/>
              <w:szCs w:val="22"/>
              <w:lang w:eastAsia="de-DE" w:bidi="ar-SA"/>
            </w:rPr>
          </w:pPr>
          <w:hyperlink w:anchor="_Toc41156349" w:history="1">
            <w:r w:rsidRPr="00FF507A">
              <w:rPr>
                <w:rStyle w:val="Hyperlink"/>
                <w:noProof/>
              </w:rPr>
              <w:t>Quellen</w:t>
            </w:r>
            <w:r>
              <w:rPr>
                <w:noProof/>
              </w:rPr>
              <w:tab/>
            </w:r>
            <w:r>
              <w:rPr>
                <w:noProof/>
              </w:rPr>
              <w:fldChar w:fldCharType="begin"/>
            </w:r>
            <w:r>
              <w:rPr>
                <w:noProof/>
              </w:rPr>
              <w:instrText xml:space="preserve"> PAGEREF _Toc41156349 \h </w:instrText>
            </w:r>
            <w:r>
              <w:rPr>
                <w:noProof/>
              </w:rPr>
            </w:r>
            <w:r>
              <w:rPr>
                <w:noProof/>
              </w:rPr>
              <w:fldChar w:fldCharType="separate"/>
            </w:r>
            <w:r>
              <w:rPr>
                <w:noProof/>
              </w:rPr>
              <w:t>7</w:t>
            </w:r>
            <w:r>
              <w:rPr>
                <w:noProof/>
              </w:rPr>
              <w:fldChar w:fldCharType="end"/>
            </w:r>
          </w:hyperlink>
        </w:p>
        <w:p w14:paraId="0074C28C" w14:textId="3787EF22" w:rsidR="00593264" w:rsidRDefault="00555A45">
          <w:pPr>
            <w:pStyle w:val="Verzeichnis4"/>
          </w:pPr>
          <w:r>
            <w:rPr>
              <w:rStyle w:val="Verzeichnissprung"/>
            </w:rPr>
            <w:fldChar w:fldCharType="end"/>
          </w:r>
        </w:p>
      </w:sdtContent>
    </w:sdt>
    <w:p w14:paraId="1A5817B4" w14:textId="77777777" w:rsidR="00593264" w:rsidRDefault="00593264">
      <w:pPr>
        <w:pStyle w:val="Textkrper"/>
        <w:spacing w:after="0"/>
        <w:ind w:left="707"/>
      </w:pPr>
    </w:p>
    <w:p w14:paraId="409219A0" w14:textId="77777777" w:rsidR="00593264" w:rsidRDefault="00555A45">
      <w:pPr>
        <w:pStyle w:val="berschrift3"/>
      </w:pPr>
      <w:r>
        <w:br w:type="page"/>
      </w:r>
    </w:p>
    <w:p w14:paraId="3FEDEE2C" w14:textId="77777777" w:rsidR="00593264" w:rsidRDefault="00555A45">
      <w:pPr>
        <w:pStyle w:val="berschrift3"/>
      </w:pPr>
      <w:bookmarkStart w:id="4" w:name="rom-stadt"/>
      <w:bookmarkStart w:id="5" w:name="_Toc41156340"/>
      <w:bookmarkEnd w:id="4"/>
      <w:r>
        <w:lastRenderedPageBreak/>
        <w:t>1. Der Beginn eines römischen Staatswesens</w:t>
      </w:r>
      <w:bookmarkEnd w:id="5"/>
    </w:p>
    <w:p w14:paraId="25D6E474" w14:textId="77777777" w:rsidR="00593264" w:rsidRDefault="00555A45">
      <w:pPr>
        <w:pStyle w:val="Textkrper"/>
        <w:jc w:val="both"/>
      </w:pPr>
      <w:r>
        <w:t>Die frühe Geschichte Roms i</w:t>
      </w:r>
      <w:r>
        <w:t xml:space="preserve">st schwer zu erfassen, da es aus dieser Zeit nur wenige schriftlichen Zeugnisse gibt, z. B. Inschriften. Die früheste Inschrift in lateinischer Sprache hat man unter dem so genannten </w:t>
      </w:r>
      <w:proofErr w:type="spellStart"/>
      <w:r>
        <w:rPr>
          <w:rStyle w:val="Betont"/>
        </w:rPr>
        <w:t>lapis</w:t>
      </w:r>
      <w:proofErr w:type="spellEnd"/>
      <w:r>
        <w:rPr>
          <w:rStyle w:val="Betont"/>
        </w:rPr>
        <w:t xml:space="preserve"> </w:t>
      </w:r>
      <w:proofErr w:type="spellStart"/>
      <w:r>
        <w:rPr>
          <w:rStyle w:val="Betont"/>
        </w:rPr>
        <w:t>niger</w:t>
      </w:r>
      <w:proofErr w:type="spellEnd"/>
      <w:r>
        <w:t>, dem Schwarzen Stein, auf dem Forum Romanum gefunden. Sie sta</w:t>
      </w:r>
      <w:r>
        <w:t>mmt aus dem 6. Jh. v. Chr.</w:t>
      </w:r>
    </w:p>
    <w:p w14:paraId="40070125" w14:textId="77777777" w:rsidR="00593264" w:rsidRDefault="00555A45">
      <w:pPr>
        <w:pStyle w:val="Textkrper"/>
        <w:jc w:val="both"/>
      </w:pPr>
      <w:r>
        <w:t>Vermutlich war es eher so – archäologische Befunde legen das nahe: Mehrere kleine, dörfli</w:t>
      </w:r>
      <w:r>
        <w:softHyphen/>
        <w:t>che Siedlungen wuchsen in der genannten Zeit zu einer größeren Siedlung zusammen. Es ent</w:t>
      </w:r>
      <w:r>
        <w:softHyphen/>
        <w:t>stand eine reiche Adelsschicht; die Bewohner trieb</w:t>
      </w:r>
      <w:r>
        <w:t xml:space="preserve">en Handel auch mit der griechischen Welt. Etruskische </w:t>
      </w:r>
      <w:r>
        <w:rPr>
          <w:rStyle w:val="Betont"/>
        </w:rPr>
        <w:t xml:space="preserve">war </w:t>
      </w:r>
      <w:proofErr w:type="spellStart"/>
      <w:r>
        <w:rPr>
          <w:rStyle w:val="Betont"/>
        </w:rPr>
        <w:t>lords</w:t>
      </w:r>
      <w:proofErr w:type="spellEnd"/>
      <w:r>
        <w:t xml:space="preserve"> hatten vermutlich großen Einfluss, aber ob es etruskische Könige gab, weiß man nicht. Vom 7. bis ins 6. Jh. dehnte sich das Siedlungsgebiet von den Hügeln des späteren Rom, z. B. dem Palatin, </w:t>
      </w:r>
      <w:r>
        <w:t xml:space="preserve">immer weiter in Richtung auf den Bereich aus, wo später das Forum Romanum lag. </w:t>
      </w:r>
    </w:p>
    <w:p w14:paraId="67C3BB76" w14:textId="77777777" w:rsidR="00593264" w:rsidRDefault="00555A45">
      <w:pPr>
        <w:pStyle w:val="Textkrper"/>
        <w:jc w:val="both"/>
      </w:pPr>
      <w:r>
        <w:t xml:space="preserve">Es ist umstritten, </w:t>
      </w:r>
      <w:r>
        <w:t>wodurch</w:t>
      </w:r>
      <w:r>
        <w:t xml:space="preserve"> die Herrschaft der Könige abgelöst wurde; dass die Forschung keine einheitliche Meinung erreicht, liegt auch daran, dass es aus dieser Zeit kaum schr</w:t>
      </w:r>
      <w:r>
        <w:t>iftlichen Quellen gibt und dass die archäologischen Quellen keine hinreichenden Hinweise geben.</w:t>
      </w:r>
    </w:p>
    <w:p w14:paraId="5AFB8198" w14:textId="77777777" w:rsidR="00593264" w:rsidRDefault="00555A45">
      <w:pPr>
        <w:pStyle w:val="berschrift3"/>
        <w:jc w:val="both"/>
      </w:pPr>
      <w:bookmarkStart w:id="6" w:name="entstehung-republik"/>
      <w:bookmarkStart w:id="7" w:name="_Toc41156341"/>
      <w:bookmarkEnd w:id="6"/>
      <w:r>
        <w:t>2. Der Übergang von der Königsherrschaft zur Republik</w:t>
      </w:r>
      <w:bookmarkEnd w:id="7"/>
    </w:p>
    <w:p w14:paraId="7DA79B5A" w14:textId="77777777" w:rsidR="00593264" w:rsidRDefault="00555A45">
      <w:pPr>
        <w:pStyle w:val="Textkrper"/>
        <w:jc w:val="both"/>
      </w:pPr>
      <w:r>
        <w:t>Vor allem auf den Historiker T. Livius stützt sich die Überlieferung, dass Rom nach der Vertreibung der et</w:t>
      </w:r>
      <w:r>
        <w:t>ruskischen Könige von zwei Konsuln regiert wurde, d. h. dass das Konsulat um das Jahr 500 v. Chr. eingerichtet wurde und dass es bei seiner Gründung schon auf den Prinzipien der Kollegialität und der Annuität beruhte: Kollegialität bedeutet, dass zwei Amts</w:t>
      </w:r>
      <w:r>
        <w:t>träger tätig waren, die sich gegenseitig nicht nur vertreten, sondern auch in die Schranken weisen konnten, und Annuität bedeutet, dass das Konsulat nur jeweils ein Jahr dauerte (anfangs mit einem Amtsbeginn im März, später am 1. Januar).</w:t>
      </w:r>
    </w:p>
    <w:p w14:paraId="21FFC48F" w14:textId="77777777" w:rsidR="00593264" w:rsidRDefault="00555A45">
      <w:pPr>
        <w:pStyle w:val="berschrift4"/>
        <w:jc w:val="both"/>
      </w:pPr>
      <w:bookmarkStart w:id="8" w:name="forschung"/>
      <w:bookmarkStart w:id="9" w:name="_Toc41156342"/>
      <w:bookmarkEnd w:id="8"/>
      <w:r>
        <w:t>Ein Forschungsstr</w:t>
      </w:r>
      <w:r>
        <w:t>eit über das leitende Amt der frühen Republik</w:t>
      </w:r>
      <w:bookmarkEnd w:id="9"/>
    </w:p>
    <w:p w14:paraId="6C2454F9" w14:textId="77777777" w:rsidR="00593264" w:rsidRDefault="00555A45">
      <w:pPr>
        <w:pStyle w:val="Textkrper"/>
        <w:jc w:val="both"/>
      </w:pPr>
      <w:r>
        <w:t xml:space="preserve">Diese auch in den meisten Schulbüchern vertretene Sichtweise wird aber etwa seit dem Jahr 2000 von vielen Forschern bestritten. Die Gegenmeinung lautet, dass eine Gruppe von Kriegsherren, die sich </w:t>
      </w:r>
      <w:proofErr w:type="spellStart"/>
      <w:r>
        <w:rPr>
          <w:rStyle w:val="Betont"/>
        </w:rPr>
        <w:t>patres</w:t>
      </w:r>
      <w:proofErr w:type="spellEnd"/>
      <w:r>
        <w:rPr>
          <w:rStyle w:val="Betont"/>
        </w:rPr>
        <w:t xml:space="preserve"> </w:t>
      </w:r>
      <w:r>
        <w:t>oder</w:t>
      </w:r>
      <w:r>
        <w:rPr>
          <w:rStyle w:val="Betont"/>
        </w:rPr>
        <w:t xml:space="preserve"> </w:t>
      </w:r>
      <w:proofErr w:type="spellStart"/>
      <w:r>
        <w:rPr>
          <w:rStyle w:val="Betont"/>
        </w:rPr>
        <w:t>p</w:t>
      </w:r>
      <w:r>
        <w:rPr>
          <w:rStyle w:val="Betont"/>
        </w:rPr>
        <w:t>atricii</w:t>
      </w:r>
      <w:proofErr w:type="spellEnd"/>
      <w:r>
        <w:t xml:space="preserve"> nannten, zuerst ein einziges Führungsamt einsetzten, den </w:t>
      </w:r>
      <w:proofErr w:type="spellStart"/>
      <w:r>
        <w:rPr>
          <w:rStyle w:val="Betont"/>
        </w:rPr>
        <w:t>praetor</w:t>
      </w:r>
      <w:proofErr w:type="spellEnd"/>
      <w:r>
        <w:rPr>
          <w:rStyle w:val="Betont"/>
        </w:rPr>
        <w:t xml:space="preserve"> maximus</w:t>
      </w:r>
      <w:r>
        <w:t>. Dieser hatte wie der König die Aufgabe des obersten Kriegsherren. Erst Ende des 5. oder im Laufe des 4. Jh. v. Chr. wurde nach dieser Sichtweise das Konsulat so eingerichtet,</w:t>
      </w:r>
      <w:r>
        <w:t xml:space="preserve"> wie es im 2. und 1. Jh. v. Chr. üblich war, also mit zwei Konsuln, die ein Jahr lang regierten. Die Annah</w:t>
      </w:r>
      <w:r>
        <w:softHyphen/>
        <w:t>me, das Konsulat sei um das Jahr 500 v. Chr. oder kurz danach eingerichtet worden, sei demnach eine Rückdatierung späterer Zeiten, die einfach annahm</w:t>
      </w:r>
      <w:r>
        <w:t>en, so wie es bei ihnen (v. a. im 1. Jh. n. Chr.) war, sei es immer schon gewesen.</w:t>
      </w:r>
    </w:p>
    <w:p w14:paraId="48DCC90C" w14:textId="77777777" w:rsidR="00593264" w:rsidRDefault="00555A45">
      <w:pPr>
        <w:pStyle w:val="Textkrper"/>
        <w:jc w:val="both"/>
      </w:pPr>
      <w:r>
        <w:t xml:space="preserve">Ein zentrales Argument für diese Sichtweise ist die Erwähnung eines </w:t>
      </w:r>
      <w:proofErr w:type="spellStart"/>
      <w:r>
        <w:rPr>
          <w:rStyle w:val="Betont"/>
        </w:rPr>
        <w:t>praetor</w:t>
      </w:r>
      <w:proofErr w:type="spellEnd"/>
      <w:r>
        <w:rPr>
          <w:rStyle w:val="Betont"/>
        </w:rPr>
        <w:t xml:space="preserve"> maximus</w:t>
      </w:r>
      <w:r>
        <w:t xml:space="preserve"> in der römi</w:t>
      </w:r>
      <w:r>
        <w:softHyphen/>
        <w:t>schen Geschichte des T. Livius.</w:t>
      </w:r>
      <w:r>
        <w:rPr>
          <w:rStyle w:val="Funotenanker"/>
        </w:rPr>
        <w:footnoteReference w:id="2"/>
      </w:r>
      <w:r>
        <w:t xml:space="preserve"> . Livius spricht hier davon, dass ein „altes Gesetz“ (</w:t>
      </w:r>
      <w:proofErr w:type="spellStart"/>
      <w:r>
        <w:rPr>
          <w:rStyle w:val="Betont"/>
        </w:rPr>
        <w:t>lex</w:t>
      </w:r>
      <w:proofErr w:type="spellEnd"/>
      <w:r>
        <w:rPr>
          <w:rStyle w:val="Betont"/>
        </w:rPr>
        <w:t xml:space="preserve"> </w:t>
      </w:r>
      <w:proofErr w:type="spellStart"/>
      <w:r>
        <w:rPr>
          <w:rStyle w:val="Betont"/>
        </w:rPr>
        <w:t>vetusta</w:t>
      </w:r>
      <w:proofErr w:type="spellEnd"/>
      <w:r>
        <w:t xml:space="preserve">) diesen </w:t>
      </w:r>
      <w:proofErr w:type="spellStart"/>
      <w:r>
        <w:rPr>
          <w:rStyle w:val="Betont"/>
        </w:rPr>
        <w:t>praetor</w:t>
      </w:r>
      <w:proofErr w:type="spellEnd"/>
      <w:r>
        <w:rPr>
          <w:rStyle w:val="Betont"/>
        </w:rPr>
        <w:t xml:space="preserve"> maximus</w:t>
      </w:r>
      <w:r>
        <w:t xml:space="preserve"> erwähnt habe. Das Argument für einen einzelnen Prätor als Leiter des </w:t>
      </w:r>
      <w:r>
        <w:lastRenderedPageBreak/>
        <w:t xml:space="preserve">Staates und des Heeres verweist darauf, dass es in einem Zweierkollegium keinen </w:t>
      </w:r>
      <w:r>
        <w:rPr>
          <w:rStyle w:val="Betont"/>
        </w:rPr>
        <w:t>maximus</w:t>
      </w:r>
      <w:r>
        <w:t>, also „o</w:t>
      </w:r>
      <w:r>
        <w:t>bersten“ geben könne. Es sei auch unwahrscheinlich, dass die Adligen gleich nach der Vertrei</w:t>
      </w:r>
      <w:r>
        <w:softHyphen/>
        <w:t xml:space="preserve">bung der Könige ein völlig neues System eingerichtet hätten. Diese Argumente kann man auch im Wikipedia-Artikel über die </w:t>
      </w:r>
      <w:proofErr w:type="spellStart"/>
      <w:r>
        <w:t>Praetur</w:t>
      </w:r>
      <w:proofErr w:type="spellEnd"/>
      <w:r>
        <w:t xml:space="preserve"> nachlesen, ferner in Abhandlungen </w:t>
      </w:r>
      <w:r>
        <w:t xml:space="preserve">über die römische Republik der Historiker Martin </w:t>
      </w:r>
      <w:proofErr w:type="spellStart"/>
      <w:r>
        <w:t>Jehne</w:t>
      </w:r>
      <w:proofErr w:type="spellEnd"/>
      <w:r>
        <w:t xml:space="preserve"> und Walter </w:t>
      </w:r>
      <w:proofErr w:type="spellStart"/>
      <w:r>
        <w:t>Blösel</w:t>
      </w:r>
      <w:proofErr w:type="spellEnd"/>
      <w:r>
        <w:t>.</w:t>
      </w:r>
      <w:r>
        <w:rPr>
          <w:rStyle w:val="Funotenanker"/>
        </w:rPr>
        <w:footnoteReference w:id="3"/>
      </w:r>
      <w:r>
        <w:t xml:space="preserve"> </w:t>
      </w:r>
    </w:p>
    <w:p w14:paraId="59199D1C" w14:textId="77777777" w:rsidR="00593264" w:rsidRDefault="00555A45">
      <w:pPr>
        <w:pStyle w:val="Textkrper"/>
        <w:jc w:val="both"/>
      </w:pPr>
      <w:r>
        <w:t xml:space="preserve">Andere Forscher verweisen auf die offiziellen Kalender der römischen Ämter, die </w:t>
      </w:r>
      <w:proofErr w:type="spellStart"/>
      <w:r>
        <w:rPr>
          <w:rStyle w:val="Betont"/>
        </w:rPr>
        <w:t>fasti</w:t>
      </w:r>
      <w:proofErr w:type="spellEnd"/>
      <w:r>
        <w:t xml:space="preserve">, welche Listen der römischen Konsuln enthielten. Dazu gehören die </w:t>
      </w:r>
      <w:proofErr w:type="spellStart"/>
      <w:r>
        <w:rPr>
          <w:rStyle w:val="Betont"/>
        </w:rPr>
        <w:t>fasti</w:t>
      </w:r>
      <w:proofErr w:type="spellEnd"/>
      <w:r>
        <w:rPr>
          <w:rStyle w:val="Betont"/>
        </w:rPr>
        <w:t xml:space="preserve"> </w:t>
      </w:r>
      <w:proofErr w:type="spellStart"/>
      <w:r>
        <w:rPr>
          <w:rStyle w:val="Betont"/>
        </w:rPr>
        <w:t>consulares</w:t>
      </w:r>
      <w:proofErr w:type="spellEnd"/>
      <w:r>
        <w:rPr>
          <w:rStyle w:val="Betont"/>
        </w:rPr>
        <w:t>.</w:t>
      </w:r>
      <w:r>
        <w:rPr>
          <w:rStyle w:val="Funotenanker"/>
        </w:rPr>
        <w:footnoteReference w:id="4"/>
      </w:r>
      <w:r>
        <w:t xml:space="preserve"> Diese </w:t>
      </w:r>
      <w:proofErr w:type="spellStart"/>
      <w:r>
        <w:t>K</w:t>
      </w:r>
      <w:r>
        <w:t>onsullisten</w:t>
      </w:r>
      <w:proofErr w:type="spellEnd"/>
      <w:r>
        <w:t xml:space="preserve"> reichen tatsächlich bis in die frühe Zeit der Republik zurück. Von den zuvor genannten Forschern werden diese Listen abgewertet: Sie seien nicht zuverlässig.</w:t>
      </w:r>
    </w:p>
    <w:p w14:paraId="46AD2D83" w14:textId="77777777" w:rsidR="00593264" w:rsidRDefault="00555A45">
      <w:pPr>
        <w:pStyle w:val="Textkrper"/>
        <w:jc w:val="both"/>
      </w:pPr>
      <w:r>
        <w:t>Die Vertreter eines sehr frühen Konsulats meinen, die herkömmliche Sichtweise sei korr</w:t>
      </w:r>
      <w:r>
        <w:t xml:space="preserve">ekt, wonach es schon im frühen 5. Jh. v. Chr. das Konsulat mit zwei Konsuln gab. Sie wenden nämlich ein, es gebe keine ausreichenden Argumente, die genannten </w:t>
      </w:r>
      <w:proofErr w:type="spellStart"/>
      <w:r>
        <w:t>Konsullisten</w:t>
      </w:r>
      <w:proofErr w:type="spellEnd"/>
      <w:r>
        <w:t xml:space="preserve"> als Erfindung abzutun. Der Ausdruck </w:t>
      </w:r>
      <w:proofErr w:type="spellStart"/>
      <w:r>
        <w:rPr>
          <w:rStyle w:val="Betont"/>
        </w:rPr>
        <w:t>praetor</w:t>
      </w:r>
      <w:proofErr w:type="spellEnd"/>
      <w:r>
        <w:rPr>
          <w:rStyle w:val="Betont"/>
        </w:rPr>
        <w:t xml:space="preserve"> maximus</w:t>
      </w:r>
      <w:r>
        <w:t xml:space="preserve"> im zuvor genannten Livius-Zitat k</w:t>
      </w:r>
      <w:r>
        <w:t xml:space="preserve">önne auch nur den älteren der beiden </w:t>
      </w:r>
      <w:proofErr w:type="spellStart"/>
      <w:r>
        <w:t>Praetoren</w:t>
      </w:r>
      <w:proofErr w:type="spellEnd"/>
      <w:r>
        <w:t xml:space="preserve"> gemeint haben.</w:t>
      </w:r>
      <w:r>
        <w:rPr>
          <w:rStyle w:val="Funotenanker"/>
        </w:rPr>
        <w:footnoteReference w:id="5"/>
      </w:r>
      <w:r>
        <w:t xml:space="preserve"> Die Frage nach dem Alter des Konsulats lässt sich also nicht sicher beantworten; umstritten bleibt daher auch, ob nach der Absetzung der Könige ein einzelner Prätor als Oberhaupt eingesetzt wu</w:t>
      </w:r>
      <w:r>
        <w:t>rde oder ein Kollegium aus zwei Lenkern, also den Konsuln.</w:t>
      </w:r>
    </w:p>
    <w:p w14:paraId="7CB7DB78" w14:textId="77777777" w:rsidR="00593264" w:rsidRDefault="00555A45">
      <w:pPr>
        <w:pStyle w:val="berschrift3"/>
        <w:jc w:val="both"/>
      </w:pPr>
      <w:bookmarkStart w:id="10" w:name="schichten"/>
      <w:bookmarkStart w:id="11" w:name="_Toc41156343"/>
      <w:bookmarkEnd w:id="10"/>
      <w:r>
        <w:t>3. Die Schichten der römischen Gesellschaft</w:t>
      </w:r>
      <w:bookmarkEnd w:id="11"/>
    </w:p>
    <w:p w14:paraId="346B857A" w14:textId="77777777" w:rsidR="00593264" w:rsidRDefault="00555A45">
      <w:pPr>
        <w:pStyle w:val="Textkrper"/>
        <w:jc w:val="both"/>
      </w:pPr>
      <w:r>
        <w:t>Die römische Gesellschaft war in mehrere Schichten unterteilt, zwischen denen die einzelnen Men</w:t>
      </w:r>
      <w:r>
        <w:softHyphen/>
        <w:t>schen nur unter sehr seltenen Umständen wechseln konnten.</w:t>
      </w:r>
      <w:r>
        <w:t xml:space="preserve"> Ein gesellschaftlicher Aufstieg war also kaum möglich.</w:t>
      </w:r>
    </w:p>
    <w:p w14:paraId="1BEC6EF7" w14:textId="77777777" w:rsidR="00593264" w:rsidRDefault="00555A45">
      <w:pPr>
        <w:pStyle w:val="Textkrper"/>
        <w:jc w:val="both"/>
      </w:pPr>
      <w:r>
        <w:t xml:space="preserve">Die mächtigste Schicht waren die Patrizier. Sie nannten sich </w:t>
      </w:r>
      <w:proofErr w:type="spellStart"/>
      <w:r>
        <w:rPr>
          <w:rStyle w:val="Betont"/>
        </w:rPr>
        <w:t>patres</w:t>
      </w:r>
      <w:proofErr w:type="spellEnd"/>
      <w:r>
        <w:t xml:space="preserve"> (die Väter), ihre Nachkommen wurden als </w:t>
      </w:r>
      <w:proofErr w:type="spellStart"/>
      <w:r>
        <w:rPr>
          <w:rStyle w:val="Betont"/>
        </w:rPr>
        <w:t>patricii</w:t>
      </w:r>
      <w:proofErr w:type="spellEnd"/>
      <w:r>
        <w:t xml:space="preserve"> bezeichnet.</w:t>
      </w:r>
    </w:p>
    <w:p w14:paraId="5869C4CF" w14:textId="77777777" w:rsidR="00593264" w:rsidRDefault="00555A45">
      <w:pPr>
        <w:pStyle w:val="Textkrper"/>
        <w:jc w:val="both"/>
      </w:pPr>
      <w:r>
        <w:t xml:space="preserve">Die </w:t>
      </w:r>
      <w:r>
        <w:rPr>
          <w:rStyle w:val="Starkbetont"/>
        </w:rPr>
        <w:t>Patrizier</w:t>
      </w:r>
      <w:r>
        <w:t xml:space="preserve"> waren in erster Linie Großgrundbesitzer; sie prägten v. a</w:t>
      </w:r>
      <w:r>
        <w:t>. die Anfangsjahre der römi</w:t>
      </w:r>
      <w:r>
        <w:softHyphen/>
        <w:t>schen Gesellschaft entscheidend. Die römische Republik hatte daher einen stark oligarchischen Charakter: Das bedeutet, dass Reichtum mit Macht verbunden war.</w:t>
      </w:r>
    </w:p>
    <w:p w14:paraId="6CB01330" w14:textId="77777777" w:rsidR="00593264" w:rsidRDefault="00555A45">
      <w:pPr>
        <w:pStyle w:val="Textkrper"/>
        <w:jc w:val="both"/>
      </w:pPr>
      <w:r>
        <w:t xml:space="preserve">Eine Art Mittelschicht bildeten die </w:t>
      </w:r>
      <w:r>
        <w:rPr>
          <w:rStyle w:val="Starkbetont"/>
        </w:rPr>
        <w:t>Ritter</w:t>
      </w:r>
      <w:r>
        <w:t xml:space="preserve"> (</w:t>
      </w:r>
      <w:proofErr w:type="spellStart"/>
      <w:r>
        <w:rPr>
          <w:rStyle w:val="Betont"/>
        </w:rPr>
        <w:t>equites</w:t>
      </w:r>
      <w:proofErr w:type="spellEnd"/>
      <w:r>
        <w:t>). Nach der Sage wu</w:t>
      </w:r>
      <w:r>
        <w:t xml:space="preserve">rde der Ritterstand von dem König </w:t>
      </w:r>
      <w:proofErr w:type="spellStart"/>
      <w:r>
        <w:t>Servius</w:t>
      </w:r>
      <w:proofErr w:type="spellEnd"/>
      <w:r>
        <w:t xml:space="preserve"> Tullius eingerichtet; es handelte sich also um die Kavallerie. </w:t>
      </w:r>
      <w:proofErr w:type="spellStart"/>
      <w:r>
        <w:rPr>
          <w:rStyle w:val="Betont"/>
        </w:rPr>
        <w:t>Equites</w:t>
      </w:r>
      <w:proofErr w:type="spellEnd"/>
      <w:r>
        <w:t xml:space="preserve"> bekamen an</w:t>
      </w:r>
      <w:r>
        <w:softHyphen/>
        <w:t>fangs ihr Pferd vom Staat gestellt, später mussten sie ihr eigenes Pferd stellen. Ein Pferd war ein kostbarer Besitz. Die Zugehörigk</w:t>
      </w:r>
      <w:r>
        <w:t>eit zum Ritterstand wurde von den Zensoren festgelegt. Ein Ritter musste 400.000 Sesterzen besitzen.</w:t>
      </w:r>
    </w:p>
    <w:tbl>
      <w:tblPr>
        <w:tblW w:w="4215" w:type="dxa"/>
        <w:jc w:val="center"/>
        <w:tblCellMar>
          <w:top w:w="28" w:type="dxa"/>
          <w:left w:w="28" w:type="dxa"/>
          <w:bottom w:w="28" w:type="dxa"/>
          <w:right w:w="28" w:type="dxa"/>
        </w:tblCellMar>
        <w:tblLook w:val="04A0" w:firstRow="1" w:lastRow="0" w:firstColumn="1" w:lastColumn="0" w:noHBand="0" w:noVBand="1"/>
      </w:tblPr>
      <w:tblGrid>
        <w:gridCol w:w="1870"/>
        <w:gridCol w:w="2345"/>
      </w:tblGrid>
      <w:tr w:rsidR="00593264" w14:paraId="6D24B581" w14:textId="77777777">
        <w:trPr>
          <w:jc w:val="center"/>
        </w:trPr>
        <w:tc>
          <w:tcPr>
            <w:tcW w:w="42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9DCF80C" w14:textId="77777777" w:rsidR="00593264" w:rsidRDefault="00555A45">
            <w:pPr>
              <w:pStyle w:val="Tabelleninhalt"/>
              <w:jc w:val="center"/>
            </w:pPr>
            <w:r>
              <w:lastRenderedPageBreak/>
              <w:t>Die Schichten der römischen Gesellschaft</w:t>
            </w:r>
          </w:p>
        </w:tc>
      </w:tr>
      <w:tr w:rsidR="00593264" w14:paraId="55F732D1" w14:textId="77777777">
        <w:trPr>
          <w:jc w:val="center"/>
        </w:trPr>
        <w:tc>
          <w:tcPr>
            <w:tcW w:w="1870" w:type="dxa"/>
            <w:tcBorders>
              <w:left w:val="single" w:sz="6" w:space="0" w:color="000000"/>
              <w:bottom w:val="single" w:sz="6" w:space="0" w:color="000000"/>
            </w:tcBorders>
            <w:shd w:val="clear" w:color="auto" w:fill="auto"/>
            <w:vAlign w:val="center"/>
          </w:tcPr>
          <w:p w14:paraId="34540B34" w14:textId="77777777" w:rsidR="00593264" w:rsidRDefault="00555A45">
            <w:pPr>
              <w:pStyle w:val="Tabelleninhalt"/>
              <w:jc w:val="center"/>
            </w:pPr>
            <w:proofErr w:type="spellStart"/>
            <w:r>
              <w:t>patres</w:t>
            </w:r>
            <w:proofErr w:type="spellEnd"/>
            <w:r>
              <w:t xml:space="preserve">, </w:t>
            </w:r>
            <w:proofErr w:type="spellStart"/>
            <w:r>
              <w:t>patricii</w:t>
            </w:r>
            <w:proofErr w:type="spellEnd"/>
          </w:p>
        </w:tc>
        <w:tc>
          <w:tcPr>
            <w:tcW w:w="2345" w:type="dxa"/>
            <w:tcBorders>
              <w:left w:val="single" w:sz="6" w:space="0" w:color="000000"/>
              <w:bottom w:val="single" w:sz="6" w:space="0" w:color="000000"/>
              <w:right w:val="single" w:sz="6" w:space="0" w:color="000000"/>
            </w:tcBorders>
            <w:shd w:val="clear" w:color="auto" w:fill="auto"/>
            <w:vAlign w:val="center"/>
          </w:tcPr>
          <w:p w14:paraId="173E8EC1" w14:textId="77777777" w:rsidR="00593264" w:rsidRDefault="00555A45">
            <w:pPr>
              <w:pStyle w:val="Tabelleninhalt"/>
              <w:jc w:val="center"/>
            </w:pPr>
            <w:r>
              <w:t>Patrizier</w:t>
            </w:r>
          </w:p>
        </w:tc>
      </w:tr>
      <w:tr w:rsidR="00593264" w14:paraId="6B4CA80B" w14:textId="77777777">
        <w:trPr>
          <w:jc w:val="center"/>
        </w:trPr>
        <w:tc>
          <w:tcPr>
            <w:tcW w:w="1870" w:type="dxa"/>
            <w:tcBorders>
              <w:left w:val="single" w:sz="6" w:space="0" w:color="000000"/>
              <w:bottom w:val="single" w:sz="6" w:space="0" w:color="000000"/>
            </w:tcBorders>
            <w:shd w:val="clear" w:color="auto" w:fill="auto"/>
            <w:vAlign w:val="center"/>
          </w:tcPr>
          <w:p w14:paraId="07655851" w14:textId="77777777" w:rsidR="00593264" w:rsidRDefault="00555A45">
            <w:pPr>
              <w:pStyle w:val="Tabelleninhalt"/>
              <w:jc w:val="center"/>
            </w:pPr>
            <w:proofErr w:type="spellStart"/>
            <w:r>
              <w:t>equites</w:t>
            </w:r>
            <w:proofErr w:type="spellEnd"/>
          </w:p>
        </w:tc>
        <w:tc>
          <w:tcPr>
            <w:tcW w:w="2345" w:type="dxa"/>
            <w:tcBorders>
              <w:left w:val="single" w:sz="6" w:space="0" w:color="000000"/>
              <w:bottom w:val="single" w:sz="6" w:space="0" w:color="000000"/>
              <w:right w:val="single" w:sz="6" w:space="0" w:color="000000"/>
            </w:tcBorders>
            <w:shd w:val="clear" w:color="auto" w:fill="auto"/>
            <w:vAlign w:val="center"/>
          </w:tcPr>
          <w:p w14:paraId="55F9CD7A" w14:textId="77777777" w:rsidR="00593264" w:rsidRDefault="00555A45">
            <w:pPr>
              <w:pStyle w:val="Tabelleninhalt"/>
              <w:jc w:val="center"/>
            </w:pPr>
            <w:r>
              <w:t>Ritter</w:t>
            </w:r>
          </w:p>
        </w:tc>
      </w:tr>
      <w:tr w:rsidR="00593264" w14:paraId="4DFAEE18" w14:textId="77777777">
        <w:trPr>
          <w:jc w:val="center"/>
        </w:trPr>
        <w:tc>
          <w:tcPr>
            <w:tcW w:w="1870" w:type="dxa"/>
            <w:tcBorders>
              <w:left w:val="single" w:sz="6" w:space="0" w:color="000000"/>
              <w:bottom w:val="single" w:sz="6" w:space="0" w:color="000000"/>
            </w:tcBorders>
            <w:shd w:val="clear" w:color="auto" w:fill="auto"/>
            <w:vAlign w:val="center"/>
          </w:tcPr>
          <w:p w14:paraId="76D7AF52" w14:textId="77777777" w:rsidR="00593264" w:rsidRDefault="00555A45">
            <w:pPr>
              <w:pStyle w:val="Tabelleninhalt"/>
              <w:jc w:val="center"/>
            </w:pPr>
            <w:proofErr w:type="spellStart"/>
            <w:r>
              <w:t>plebs</w:t>
            </w:r>
            <w:proofErr w:type="spellEnd"/>
            <w:r>
              <w:t xml:space="preserve">, </w:t>
            </w:r>
            <w:proofErr w:type="spellStart"/>
            <w:r>
              <w:t>plebeii</w:t>
            </w:r>
            <w:proofErr w:type="spellEnd"/>
            <w:r>
              <w:t>,</w:t>
            </w:r>
            <w:r>
              <w:br/>
            </w:r>
            <w:proofErr w:type="spellStart"/>
            <w:r>
              <w:t>proletarii</w:t>
            </w:r>
            <w:proofErr w:type="spellEnd"/>
          </w:p>
        </w:tc>
        <w:tc>
          <w:tcPr>
            <w:tcW w:w="2345" w:type="dxa"/>
            <w:tcBorders>
              <w:left w:val="single" w:sz="6" w:space="0" w:color="000000"/>
              <w:bottom w:val="single" w:sz="6" w:space="0" w:color="000000"/>
              <w:right w:val="single" w:sz="6" w:space="0" w:color="000000"/>
            </w:tcBorders>
            <w:shd w:val="clear" w:color="auto" w:fill="auto"/>
            <w:vAlign w:val="center"/>
          </w:tcPr>
          <w:p w14:paraId="4B6DCA69" w14:textId="77777777" w:rsidR="00593264" w:rsidRDefault="00555A45">
            <w:pPr>
              <w:pStyle w:val="Tabelleninhalt"/>
              <w:jc w:val="center"/>
            </w:pPr>
            <w:r>
              <w:t>das einfache Volk</w:t>
            </w:r>
          </w:p>
        </w:tc>
      </w:tr>
      <w:tr w:rsidR="00593264" w14:paraId="6F2B98C1" w14:textId="77777777">
        <w:trPr>
          <w:jc w:val="center"/>
        </w:trPr>
        <w:tc>
          <w:tcPr>
            <w:tcW w:w="1870" w:type="dxa"/>
            <w:tcBorders>
              <w:left w:val="single" w:sz="6" w:space="0" w:color="000000"/>
              <w:bottom w:val="single" w:sz="6" w:space="0" w:color="000000"/>
            </w:tcBorders>
            <w:shd w:val="clear" w:color="auto" w:fill="auto"/>
            <w:vAlign w:val="center"/>
          </w:tcPr>
          <w:p w14:paraId="2E8CE14B" w14:textId="77777777" w:rsidR="00593264" w:rsidRDefault="00555A45">
            <w:pPr>
              <w:pStyle w:val="Tabelleninhalt"/>
              <w:jc w:val="center"/>
            </w:pPr>
            <w:proofErr w:type="spellStart"/>
            <w:r>
              <w:t>servi</w:t>
            </w:r>
            <w:proofErr w:type="spellEnd"/>
          </w:p>
        </w:tc>
        <w:tc>
          <w:tcPr>
            <w:tcW w:w="2345" w:type="dxa"/>
            <w:tcBorders>
              <w:left w:val="single" w:sz="6" w:space="0" w:color="000000"/>
              <w:bottom w:val="single" w:sz="6" w:space="0" w:color="000000"/>
              <w:right w:val="single" w:sz="6" w:space="0" w:color="000000"/>
            </w:tcBorders>
            <w:shd w:val="clear" w:color="auto" w:fill="auto"/>
            <w:vAlign w:val="center"/>
          </w:tcPr>
          <w:p w14:paraId="6DABB42A" w14:textId="77777777" w:rsidR="00593264" w:rsidRDefault="00555A45">
            <w:pPr>
              <w:pStyle w:val="Tabelleninhalt"/>
              <w:jc w:val="center"/>
            </w:pPr>
            <w:r>
              <w:t>Sklaven</w:t>
            </w:r>
          </w:p>
        </w:tc>
      </w:tr>
    </w:tbl>
    <w:p w14:paraId="76901AB9" w14:textId="77777777" w:rsidR="00593264" w:rsidRDefault="00593264">
      <w:pPr>
        <w:pStyle w:val="Textkrper"/>
      </w:pPr>
    </w:p>
    <w:p w14:paraId="115E19BB" w14:textId="77777777" w:rsidR="00593264" w:rsidRDefault="00555A45">
      <w:pPr>
        <w:pStyle w:val="Textkrper"/>
        <w:jc w:val="both"/>
      </w:pPr>
      <w:r>
        <w:rPr>
          <w:rStyle w:val="Starkbetont"/>
        </w:rPr>
        <w:t xml:space="preserve">Das </w:t>
      </w:r>
      <w:r>
        <w:rPr>
          <w:rStyle w:val="Starkbetont"/>
        </w:rPr>
        <w:t>einfache Volk</w:t>
      </w:r>
      <w:r>
        <w:t xml:space="preserve">, die </w:t>
      </w:r>
      <w:proofErr w:type="spellStart"/>
      <w:r>
        <w:rPr>
          <w:rStyle w:val="Betont"/>
        </w:rPr>
        <w:t>plebs</w:t>
      </w:r>
      <w:proofErr w:type="spellEnd"/>
      <w:r>
        <w:t xml:space="preserve">, hatte keinen Besitz. Am Anfang der Republik waren diese Menschen aus der Lenkung des Staates völlig ausgeschlossen. Die materielle Lage der </w:t>
      </w:r>
      <w:proofErr w:type="spellStart"/>
      <w:r>
        <w:rPr>
          <w:rStyle w:val="Betont"/>
        </w:rPr>
        <w:t>plebeii</w:t>
      </w:r>
      <w:proofErr w:type="spellEnd"/>
      <w:r>
        <w:t xml:space="preserve"> oder </w:t>
      </w:r>
      <w:proofErr w:type="spellStart"/>
      <w:r>
        <w:rPr>
          <w:rStyle w:val="Betont"/>
        </w:rPr>
        <w:t>proletarii</w:t>
      </w:r>
      <w:proofErr w:type="spellEnd"/>
      <w:r>
        <w:t xml:space="preserve"> war oftmals sehr schlecht; in schlechten Zeiten drohte die Schuldk</w:t>
      </w:r>
      <w:r>
        <w:t>nechtschaft: Wer seine Schulden nicht mehr bezahlen konnte, konnte versklavt werden.</w:t>
      </w:r>
    </w:p>
    <w:p w14:paraId="620DCB69" w14:textId="77777777" w:rsidR="00593264" w:rsidRDefault="00555A45">
      <w:pPr>
        <w:pStyle w:val="Textkrper"/>
        <w:jc w:val="both"/>
      </w:pPr>
      <w:r>
        <w:t xml:space="preserve">Die unterste Schicht, die gar keine Mitspracherechte hatte, bildeten die </w:t>
      </w:r>
      <w:r>
        <w:rPr>
          <w:rStyle w:val="Starkbetont"/>
        </w:rPr>
        <w:t>Sklaven</w:t>
      </w:r>
      <w:r>
        <w:t xml:space="preserve"> (</w:t>
      </w:r>
      <w:proofErr w:type="spellStart"/>
      <w:r>
        <w:rPr>
          <w:rStyle w:val="Betont"/>
        </w:rPr>
        <w:t>servi</w:t>
      </w:r>
      <w:proofErr w:type="spellEnd"/>
      <w:r>
        <w:t>). Sklave wurde ein Mensch anfangs durch Schuldknechtschaft; später waren die meiste</w:t>
      </w:r>
      <w:r>
        <w:t>n Sklaven die Kriegsgefangenen. Kinder von Sklavinnen und Sklaven waren automatisch auch Sklaven. Im Prinzip war es möglich, den Sklavenstand zu verlassen, entweder indem man sich selbst freikaufte oder weil man vom Besitzer in die Freiheit entlassen wurde</w:t>
      </w:r>
      <w:r>
        <w:t xml:space="preserve">. Einen freigelassenen Sklaven nannte man </w:t>
      </w:r>
      <w:proofErr w:type="spellStart"/>
      <w:r>
        <w:rPr>
          <w:rStyle w:val="Betont"/>
        </w:rPr>
        <w:t>libertus</w:t>
      </w:r>
      <w:proofErr w:type="spellEnd"/>
      <w:r>
        <w:t xml:space="preserve">. </w:t>
      </w:r>
    </w:p>
    <w:p w14:paraId="464168FD" w14:textId="77777777" w:rsidR="00593264" w:rsidRDefault="00555A45">
      <w:pPr>
        <w:pStyle w:val="berschrift3"/>
      </w:pPr>
      <w:bookmarkStart w:id="12" w:name="aemter"/>
      <w:bookmarkStart w:id="13" w:name="_Toc41156344"/>
      <w:bookmarkEnd w:id="12"/>
      <w:r>
        <w:t>4. Die Ämter und die Versammlungen</w:t>
      </w:r>
      <w:bookmarkEnd w:id="13"/>
    </w:p>
    <w:p w14:paraId="566596B0" w14:textId="77777777" w:rsidR="00593264" w:rsidRDefault="00555A45">
      <w:pPr>
        <w:pStyle w:val="Textkrper"/>
        <w:jc w:val="both"/>
      </w:pPr>
      <w:r>
        <w:t>Es gab vier römische Ämter (</w:t>
      </w:r>
      <w:proofErr w:type="spellStart"/>
      <w:r>
        <w:t>magistratus</w:t>
      </w:r>
      <w:proofErr w:type="spellEnd"/>
      <w:r>
        <w:t xml:space="preserve">), </w:t>
      </w:r>
      <w:r>
        <w:t>für die</w:t>
      </w:r>
      <w:r>
        <w:t xml:space="preserve"> </w:t>
      </w:r>
      <w:r>
        <w:t>am</w:t>
      </w:r>
      <w:r>
        <w:t xml:space="preserve"> Anfang des 1. Jh. v. Chr. eine relativ genau definierte Ämterlaufbahn (</w:t>
      </w:r>
      <w:r>
        <w:rPr>
          <w:rStyle w:val="Betont"/>
        </w:rPr>
        <w:t xml:space="preserve">cursus </w:t>
      </w:r>
      <w:proofErr w:type="spellStart"/>
      <w:r>
        <w:rPr>
          <w:rStyle w:val="Betont"/>
        </w:rPr>
        <w:t>honorum</w:t>
      </w:r>
      <w:proofErr w:type="spellEnd"/>
      <w:r>
        <w:t>) fest</w:t>
      </w:r>
      <w:r>
        <w:t>gelegt</w:t>
      </w:r>
      <w:r>
        <w:t xml:space="preserve"> war:</w:t>
      </w:r>
    </w:p>
    <w:p w14:paraId="1252C38B" w14:textId="77777777" w:rsidR="00593264" w:rsidRDefault="00555A45">
      <w:pPr>
        <w:pStyle w:val="Textkrper"/>
        <w:numPr>
          <w:ilvl w:val="0"/>
          <w:numId w:val="3"/>
        </w:numPr>
        <w:tabs>
          <w:tab w:val="clear" w:pos="707"/>
          <w:tab w:val="left" w:pos="0"/>
        </w:tabs>
        <w:spacing w:after="0"/>
      </w:pPr>
      <w:proofErr w:type="spellStart"/>
      <w:r>
        <w:t>consules</w:t>
      </w:r>
      <w:proofErr w:type="spellEnd"/>
      <w:r>
        <w:t>: Konsuln, Lenker des Staats, oberste Kriegsherren, also auch die Anführer des Heeres im Krieg;</w:t>
      </w:r>
    </w:p>
    <w:p w14:paraId="0C246AAA" w14:textId="77777777" w:rsidR="00593264" w:rsidRDefault="00555A45">
      <w:pPr>
        <w:pStyle w:val="Textkrper"/>
        <w:numPr>
          <w:ilvl w:val="0"/>
          <w:numId w:val="3"/>
        </w:numPr>
        <w:tabs>
          <w:tab w:val="clear" w:pos="707"/>
          <w:tab w:val="left" w:pos="0"/>
        </w:tabs>
        <w:spacing w:after="0"/>
      </w:pPr>
      <w:proofErr w:type="spellStart"/>
      <w:r>
        <w:t>praetores</w:t>
      </w:r>
      <w:proofErr w:type="spellEnd"/>
      <w:r>
        <w:t>: Prätoren, oft als Oberrichter eingesetzt, auch Stadtpräfekten wie heute die Bürgermeister;</w:t>
      </w:r>
    </w:p>
    <w:p w14:paraId="6C1CB3F4" w14:textId="77777777" w:rsidR="00593264" w:rsidRDefault="00555A45">
      <w:pPr>
        <w:pStyle w:val="Textkrper"/>
        <w:numPr>
          <w:ilvl w:val="0"/>
          <w:numId w:val="3"/>
        </w:numPr>
        <w:tabs>
          <w:tab w:val="clear" w:pos="707"/>
          <w:tab w:val="left" w:pos="0"/>
        </w:tabs>
        <w:spacing w:after="0"/>
      </w:pPr>
      <w:proofErr w:type="spellStart"/>
      <w:r>
        <w:t>aediles</w:t>
      </w:r>
      <w:proofErr w:type="spellEnd"/>
      <w:r>
        <w:t>: Ädilen, die für das Bauwesen und die Temp</w:t>
      </w:r>
      <w:r>
        <w:t xml:space="preserve">el, aber auch für die Spiele zuständig waren; </w:t>
      </w:r>
    </w:p>
    <w:p w14:paraId="24307A53" w14:textId="77777777" w:rsidR="00593264" w:rsidRDefault="00555A45">
      <w:pPr>
        <w:pStyle w:val="Textkrper"/>
        <w:numPr>
          <w:ilvl w:val="0"/>
          <w:numId w:val="3"/>
        </w:numPr>
        <w:tabs>
          <w:tab w:val="clear" w:pos="707"/>
          <w:tab w:val="left" w:pos="0"/>
        </w:tabs>
      </w:pPr>
      <w:proofErr w:type="spellStart"/>
      <w:r>
        <w:t>quaestores</w:t>
      </w:r>
      <w:proofErr w:type="spellEnd"/>
      <w:r>
        <w:t xml:space="preserve">: </w:t>
      </w:r>
      <w:proofErr w:type="spellStart"/>
      <w:r>
        <w:t>Quaestoren</w:t>
      </w:r>
      <w:proofErr w:type="spellEnd"/>
      <w:r>
        <w:t>, die das Finanzwesen regelten.</w:t>
      </w:r>
    </w:p>
    <w:p w14:paraId="72D17E2B" w14:textId="77777777" w:rsidR="00593264" w:rsidRDefault="00555A45">
      <w:pPr>
        <w:pStyle w:val="Textkrper"/>
        <w:jc w:val="both"/>
      </w:pPr>
      <w:bookmarkStart w:id="14" w:name="comitia"/>
      <w:bookmarkEnd w:id="14"/>
      <w:r>
        <w:t xml:space="preserve">Daneben gab es einzelne besondere Ämter: Der </w:t>
      </w:r>
      <w:proofErr w:type="spellStart"/>
      <w:r>
        <w:rPr>
          <w:rStyle w:val="Betont"/>
        </w:rPr>
        <w:t>dictator</w:t>
      </w:r>
      <w:proofErr w:type="spellEnd"/>
      <w:r>
        <w:t xml:space="preserve"> wurde in Notzeiten für ein halbes Jahr bestimmt, wenn die Konsuln die Leitung nicht mehr übernehmen k</w:t>
      </w:r>
      <w:r>
        <w:t xml:space="preserve">onnten (beispielsweise weil beide im Kampf gefallen waren), und der </w:t>
      </w:r>
      <w:proofErr w:type="spellStart"/>
      <w:r>
        <w:rPr>
          <w:rStyle w:val="Betont"/>
        </w:rPr>
        <w:t>censor</w:t>
      </w:r>
      <w:proofErr w:type="spellEnd"/>
      <w:r>
        <w:t xml:space="preserve"> war dafür zuständig, die Bürger in Vermögensklassen einzuteilen und zu bestimmen, wer Senator sein durfte.</w:t>
      </w:r>
    </w:p>
    <w:p w14:paraId="69E2246A" w14:textId="77777777" w:rsidR="00593264" w:rsidRDefault="00555A45">
      <w:pPr>
        <w:pStyle w:val="berschrift4"/>
        <w:jc w:val="both"/>
      </w:pPr>
      <w:bookmarkStart w:id="15" w:name="_Toc41156345"/>
      <w:r>
        <w:lastRenderedPageBreak/>
        <w:t>Die Wahlen</w:t>
      </w:r>
      <w:bookmarkEnd w:id="15"/>
    </w:p>
    <w:p w14:paraId="239BECD2" w14:textId="77777777" w:rsidR="00593264" w:rsidRDefault="00555A45">
      <w:pPr>
        <w:pStyle w:val="Textkrper"/>
        <w:jc w:val="both"/>
      </w:pPr>
      <w:r>
        <w:rPr>
          <w:rStyle w:val="Betont"/>
          <w:i w:val="0"/>
          <w:iCs w:val="0"/>
        </w:rPr>
        <w:t>Die genannten Amtsträger der vier Ämter des</w:t>
      </w:r>
      <w:r>
        <w:rPr>
          <w:rStyle w:val="Betont"/>
        </w:rPr>
        <w:t xml:space="preserve"> cursus </w:t>
      </w:r>
      <w:proofErr w:type="spellStart"/>
      <w:r>
        <w:rPr>
          <w:rStyle w:val="Betont"/>
        </w:rPr>
        <w:t>honorum</w:t>
      </w:r>
      <w:proofErr w:type="spellEnd"/>
      <w:r>
        <w:rPr>
          <w:rStyle w:val="Betont"/>
        </w:rPr>
        <w:t xml:space="preserve"> </w:t>
      </w:r>
      <w:r>
        <w:t xml:space="preserve"> wurden jährlich in bestimmten Ver</w:t>
      </w:r>
      <w:r>
        <w:softHyphen/>
        <w:t xml:space="preserve">sammlungen gewählt, den </w:t>
      </w:r>
      <w:proofErr w:type="spellStart"/>
      <w:r>
        <w:rPr>
          <w:rStyle w:val="Starkbetont"/>
        </w:rPr>
        <w:t>Zenturiatskomitien</w:t>
      </w:r>
      <w:proofErr w:type="spellEnd"/>
      <w:r>
        <w:t xml:space="preserve"> (</w:t>
      </w:r>
      <w:proofErr w:type="spellStart"/>
      <w:r>
        <w:rPr>
          <w:rStyle w:val="Betont"/>
        </w:rPr>
        <w:t>comitia</w:t>
      </w:r>
      <w:proofErr w:type="spellEnd"/>
      <w:r>
        <w:rPr>
          <w:rStyle w:val="Betont"/>
        </w:rPr>
        <w:t xml:space="preserve"> </w:t>
      </w:r>
      <w:proofErr w:type="spellStart"/>
      <w:r>
        <w:rPr>
          <w:rStyle w:val="Betont"/>
        </w:rPr>
        <w:t>centuriata</w:t>
      </w:r>
      <w:proofErr w:type="spellEnd"/>
      <w:r>
        <w:rPr>
          <w:rStyle w:val="Betont"/>
        </w:rPr>
        <w:t>)</w:t>
      </w:r>
      <w:r>
        <w:t>;</w:t>
      </w:r>
      <w:r>
        <w:rPr>
          <w:rStyle w:val="Funotenanker"/>
        </w:rPr>
        <w:footnoteReference w:id="6"/>
      </w:r>
      <w:r>
        <w:t xml:space="preserve"> . Die Wahlverfahren dieser Versammlungen entsprachen weder den Verfahren, welche die athenische Demokratie entwickelt hatte, noch den heut</w:t>
      </w:r>
      <w:r>
        <w:t>igen Vorstellungen von demokratischer Wahl, denn das Stimmrecht war dort nach dem Besitz vergeben. Je nach Besitz wurden die Bürger in Klassen (</w:t>
      </w:r>
      <w:proofErr w:type="spellStart"/>
      <w:r>
        <w:rPr>
          <w:i/>
          <w:iCs/>
        </w:rPr>
        <w:t>classes</w:t>
      </w:r>
      <w:proofErr w:type="spellEnd"/>
      <w:r>
        <w:t xml:space="preserve">) eingeteilt, und diese </w:t>
      </w:r>
      <w:proofErr w:type="spellStart"/>
      <w:r>
        <w:t>classes</w:t>
      </w:r>
      <w:proofErr w:type="spellEnd"/>
      <w:r>
        <w:t xml:space="preserve"> stellten, unabhängig von der Zahl ihrer Mitglieder, unterschiedlich viele</w:t>
      </w:r>
      <w:r>
        <w:t xml:space="preserve"> Zenturien (</w:t>
      </w:r>
      <w:proofErr w:type="spellStart"/>
      <w:r>
        <w:rPr>
          <w:rStyle w:val="Betont"/>
        </w:rPr>
        <w:t>centuriae</w:t>
      </w:r>
      <w:proofErr w:type="spellEnd"/>
      <w:r>
        <w:t>). Die reichsten Bürger stellten 80 Zenturien. Die Besitzlosen, also das einfache Volk (</w:t>
      </w:r>
      <w:proofErr w:type="spellStart"/>
      <w:r>
        <w:rPr>
          <w:rStyle w:val="Betont"/>
        </w:rPr>
        <w:t>plebs</w:t>
      </w:r>
      <w:proofErr w:type="spellEnd"/>
      <w:r>
        <w:t xml:space="preserve">), war in einer einzigen Zenturie zusammengefasst, obwohl diese Gruppe viel mehr Bürger umfasste. Das Wahlverfahren sah vor, dass die reichen </w:t>
      </w:r>
      <w:proofErr w:type="spellStart"/>
      <w:r>
        <w:rPr>
          <w:i/>
          <w:iCs/>
        </w:rPr>
        <w:t>classes</w:t>
      </w:r>
      <w:proofErr w:type="spellEnd"/>
      <w:r>
        <w:t xml:space="preserve"> zuerst abstimmten; deren Stimme zählte am meisten. Bei den meisten Wahlen war es so, dass die Entscheidung bereits gefallen war, </w:t>
      </w:r>
      <w:r>
        <w:t>nachdem</w:t>
      </w:r>
      <w:r>
        <w:t xml:space="preserve"> die Reichen ihre Stimme abgegeben hatten.</w:t>
      </w:r>
    </w:p>
    <w:p w14:paraId="2FD906DD" w14:textId="77777777" w:rsidR="00593264" w:rsidRDefault="00555A45">
      <w:pPr>
        <w:pStyle w:val="Textkrper"/>
        <w:jc w:val="both"/>
      </w:pPr>
      <w:r>
        <w:t>Zwischen 500 und 450 v. Chr. erreichte das einfache Volk (</w:t>
      </w:r>
      <w:proofErr w:type="spellStart"/>
      <w:r>
        <w:rPr>
          <w:rStyle w:val="Betont"/>
        </w:rPr>
        <w:t>plebs</w:t>
      </w:r>
      <w:proofErr w:type="spellEnd"/>
      <w:r>
        <w:t>), das</w:t>
      </w:r>
      <w:r>
        <w:t xml:space="preserve">s es von den Volkstribunen </w:t>
      </w:r>
      <w:r>
        <w:rPr>
          <w:rStyle w:val="Betont"/>
        </w:rPr>
        <w:t>(</w:t>
      </w:r>
      <w:proofErr w:type="spellStart"/>
      <w:r>
        <w:rPr>
          <w:rStyle w:val="Betont"/>
        </w:rPr>
        <w:t>tribuni</w:t>
      </w:r>
      <w:proofErr w:type="spellEnd"/>
      <w:r>
        <w:rPr>
          <w:rStyle w:val="Betont"/>
        </w:rPr>
        <w:t xml:space="preserve"> </w:t>
      </w:r>
      <w:proofErr w:type="spellStart"/>
      <w:r>
        <w:rPr>
          <w:rStyle w:val="Betont"/>
        </w:rPr>
        <w:t>plebis</w:t>
      </w:r>
      <w:proofErr w:type="spellEnd"/>
      <w:r>
        <w:t>) vertreten wurde. Diese waren sakrosankt (unangreifbar) und sie konnten gegen Beschlüsse und Aktionen der Magistrate (der Konsuln, Prätoren etc.) einschreiten (</w:t>
      </w:r>
      <w:r>
        <w:rPr>
          <w:rStyle w:val="Betont"/>
        </w:rPr>
        <w:t xml:space="preserve">ius </w:t>
      </w:r>
      <w:proofErr w:type="spellStart"/>
      <w:r>
        <w:rPr>
          <w:rStyle w:val="Betont"/>
        </w:rPr>
        <w:t>intercessionis</w:t>
      </w:r>
      <w:proofErr w:type="spellEnd"/>
      <w:r>
        <w:t xml:space="preserve">). Augustus, der nach dem Ende der </w:t>
      </w:r>
      <w:r>
        <w:t xml:space="preserve">freien Republik die Herrschaftsform des </w:t>
      </w:r>
      <w:proofErr w:type="spellStart"/>
      <w:r>
        <w:t>Principats</w:t>
      </w:r>
      <w:proofErr w:type="spellEnd"/>
      <w:r>
        <w:t xml:space="preserve"> begründete, sicherte sich das lebenslange Amt des Volkstribuns, um auf diese Weise unangreifbar zu werden.</w:t>
      </w:r>
    </w:p>
    <w:p w14:paraId="33E90635" w14:textId="77777777" w:rsidR="00593264" w:rsidRDefault="00555A45">
      <w:pPr>
        <w:pStyle w:val="Textkrper"/>
        <w:jc w:val="both"/>
      </w:pPr>
      <w:r>
        <w:t xml:space="preserve">Die </w:t>
      </w:r>
      <w:proofErr w:type="spellStart"/>
      <w:r>
        <w:rPr>
          <w:rStyle w:val="Betont"/>
        </w:rPr>
        <w:t>plebs</w:t>
      </w:r>
      <w:proofErr w:type="spellEnd"/>
      <w:r>
        <w:t xml:space="preserve"> hatte aber ihre eigenen Versammlungen, die </w:t>
      </w:r>
      <w:proofErr w:type="spellStart"/>
      <w:r>
        <w:rPr>
          <w:rStyle w:val="Betont"/>
        </w:rPr>
        <w:t>concilia</w:t>
      </w:r>
      <w:proofErr w:type="spellEnd"/>
      <w:r>
        <w:rPr>
          <w:rStyle w:val="Betont"/>
        </w:rPr>
        <w:t xml:space="preserve"> </w:t>
      </w:r>
      <w:proofErr w:type="spellStart"/>
      <w:r>
        <w:rPr>
          <w:rStyle w:val="Betont"/>
        </w:rPr>
        <w:t>plebis</w:t>
      </w:r>
      <w:proofErr w:type="spellEnd"/>
      <w:r>
        <w:rPr>
          <w:rStyle w:val="Betont"/>
        </w:rPr>
        <w:t xml:space="preserve"> </w:t>
      </w:r>
      <w:r>
        <w:rPr>
          <w:rStyle w:val="Starkbetont"/>
        </w:rPr>
        <w:t>(Versammlungen des Vol</w:t>
      </w:r>
      <w:r>
        <w:rPr>
          <w:rStyle w:val="Starkbetont"/>
        </w:rPr>
        <w:softHyphen/>
        <w:t>kes)</w:t>
      </w:r>
      <w:r>
        <w:t xml:space="preserve">, </w:t>
      </w:r>
      <w:r>
        <w:t>welche das Recht hatte, Volksentscheide (</w:t>
      </w:r>
      <w:proofErr w:type="spellStart"/>
      <w:r>
        <w:rPr>
          <w:rStyle w:val="Betont"/>
        </w:rPr>
        <w:t>plebiscita</w:t>
      </w:r>
      <w:proofErr w:type="spellEnd"/>
      <w:r>
        <w:t>) zu erlassen. Das Wort Plebiszit wird heute noch für Volksentscheide verwendet. Geleitet wurden diese Versammlungen des Volkes von den Volkstribunen (</w:t>
      </w:r>
      <w:proofErr w:type="spellStart"/>
      <w:r>
        <w:rPr>
          <w:rStyle w:val="Betont"/>
        </w:rPr>
        <w:t>tribuni</w:t>
      </w:r>
      <w:proofErr w:type="spellEnd"/>
      <w:r>
        <w:rPr>
          <w:rStyle w:val="Betont"/>
        </w:rPr>
        <w:t xml:space="preserve"> </w:t>
      </w:r>
      <w:proofErr w:type="spellStart"/>
      <w:r>
        <w:rPr>
          <w:rStyle w:val="Betont"/>
        </w:rPr>
        <w:t>plebis</w:t>
      </w:r>
      <w:proofErr w:type="spellEnd"/>
      <w:r>
        <w:t>).</w:t>
      </w:r>
    </w:p>
    <w:p w14:paraId="0D9FE265" w14:textId="77777777" w:rsidR="00593264" w:rsidRDefault="00555A45">
      <w:pPr>
        <w:pStyle w:val="berschrift4"/>
        <w:jc w:val="both"/>
      </w:pPr>
      <w:bookmarkStart w:id="16" w:name="_Toc41156346"/>
      <w:r>
        <w:t>Der Senat</w:t>
      </w:r>
      <w:bookmarkEnd w:id="16"/>
    </w:p>
    <w:p w14:paraId="49BCE693" w14:textId="77777777" w:rsidR="00593264" w:rsidRDefault="00555A45">
      <w:pPr>
        <w:pStyle w:val="Textkrper"/>
        <w:jc w:val="both"/>
      </w:pPr>
      <w:r>
        <w:t xml:space="preserve">Kein Gremium der römischen </w:t>
      </w:r>
      <w:r>
        <w:t>Politik hatte längeren Bestand als der Senat (</w:t>
      </w:r>
      <w:proofErr w:type="spellStart"/>
      <w:r>
        <w:rPr>
          <w:i/>
          <w:iCs/>
        </w:rPr>
        <w:t>senatus</w:t>
      </w:r>
      <w:proofErr w:type="spellEnd"/>
      <w:r>
        <w:t>). Wenn man den römischen Geschichtsschreibern Glauben schenken darf, dann gab es den Senat schon in der Königszeit. Auch das Ende der Republik und den Übergang zum Prinzipat überstand er bis zum Ende de</w:t>
      </w:r>
      <w:r>
        <w:t>r Antike bzw. des römischen Imperiums.</w:t>
      </w:r>
    </w:p>
    <w:p w14:paraId="6EE683D8" w14:textId="77777777" w:rsidR="00593264" w:rsidRDefault="00555A45">
      <w:pPr>
        <w:pStyle w:val="Textkrper"/>
        <w:jc w:val="both"/>
      </w:pPr>
      <w:r>
        <w:t>Der Senat (</w:t>
      </w:r>
      <w:proofErr w:type="spellStart"/>
      <w:r>
        <w:t>senatus</w:t>
      </w:r>
      <w:proofErr w:type="spellEnd"/>
      <w:r>
        <w:t>) war von Anfang an eine Adelsversammlung. Er war ein Beratungsgremium, das die Politik Roms weitgehend bestimmte. Da es in Rom keine geschriebene Verfassung gab, wurden die Befugnisse des Senats dur</w:t>
      </w:r>
      <w:r>
        <w:t>ch Gewohnheitsrecht geregelt.</w:t>
      </w:r>
      <w:r>
        <w:rPr>
          <w:rStyle w:val="Funotenanker"/>
        </w:rPr>
        <w:footnoteReference w:id="7"/>
      </w:r>
    </w:p>
    <w:p w14:paraId="1C5CEBA2" w14:textId="77777777" w:rsidR="00593264" w:rsidRDefault="00555A45">
      <w:pPr>
        <w:pStyle w:val="berschrift3"/>
        <w:jc w:val="both"/>
      </w:pPr>
      <w:bookmarkStart w:id="17" w:name="amtsadel"/>
      <w:bookmarkStart w:id="18" w:name="_Toc41156347"/>
      <w:bookmarkEnd w:id="17"/>
      <w:r>
        <w:lastRenderedPageBreak/>
        <w:t>5. Zweierlei Adel – die Herausbildung eines neuen Amtsadels und das Ende der Ständekämpfe</w:t>
      </w:r>
      <w:bookmarkEnd w:id="18"/>
    </w:p>
    <w:p w14:paraId="33C86A90" w14:textId="77777777" w:rsidR="00593264" w:rsidRDefault="00555A45">
      <w:pPr>
        <w:pStyle w:val="Textkrper"/>
        <w:jc w:val="both"/>
      </w:pPr>
      <w:r>
        <w:t>Wenn auch nicht feststeht, ob es gleich nach dem Ende der Königsherrschaft zwei Konsuln oder eher einen einzelnen Prätor als Lenker ga</w:t>
      </w:r>
      <w:r>
        <w:t xml:space="preserve">b, so ist hingegen sicher, dass im Jahr 376 v. Chr. eine lange Auseinandersetzung zwischen den Patriziern und den </w:t>
      </w:r>
      <w:proofErr w:type="spellStart"/>
      <w:r>
        <w:t>Plebeiern</w:t>
      </w:r>
      <w:proofErr w:type="spellEnd"/>
      <w:r>
        <w:t xml:space="preserve"> zu einer vorläufigen Lösung kam. Diese wurde dadurch erreicht, dass auch den </w:t>
      </w:r>
      <w:proofErr w:type="spellStart"/>
      <w:r>
        <w:t>Plebeiern</w:t>
      </w:r>
      <w:proofErr w:type="spellEnd"/>
      <w:r>
        <w:t xml:space="preserve"> der Zugang zum Amt des Konsuls gesichert wurd</w:t>
      </w:r>
      <w:r>
        <w:t xml:space="preserve">e, und zwar mit den so genannten </w:t>
      </w:r>
      <w:proofErr w:type="spellStart"/>
      <w:r>
        <w:rPr>
          <w:rStyle w:val="Betont"/>
        </w:rPr>
        <w:t>leges</w:t>
      </w:r>
      <w:proofErr w:type="spellEnd"/>
      <w:r>
        <w:rPr>
          <w:rStyle w:val="Betont"/>
        </w:rPr>
        <w:t xml:space="preserve"> </w:t>
      </w:r>
      <w:proofErr w:type="spellStart"/>
      <w:r>
        <w:rPr>
          <w:rStyle w:val="Betont"/>
        </w:rPr>
        <w:t>Liciniae</w:t>
      </w:r>
      <w:proofErr w:type="spellEnd"/>
      <w:r>
        <w:rPr>
          <w:rStyle w:val="Betont"/>
        </w:rPr>
        <w:t xml:space="preserve"> </w:t>
      </w:r>
      <w:proofErr w:type="spellStart"/>
      <w:r>
        <w:rPr>
          <w:rStyle w:val="Betont"/>
        </w:rPr>
        <w:t>Sextiae</w:t>
      </w:r>
      <w:proofErr w:type="spellEnd"/>
      <w:r>
        <w:t xml:space="preserve"> (die Gesetze des Licinius und des </w:t>
      </w:r>
      <w:proofErr w:type="spellStart"/>
      <w:r>
        <w:t>Sextius</w:t>
      </w:r>
      <w:proofErr w:type="spellEnd"/>
      <w:r>
        <w:t xml:space="preserve">.. Die lange Reihe von Konflikten zwischen </w:t>
      </w:r>
      <w:proofErr w:type="spellStart"/>
      <w:r>
        <w:t>Plebeiern</w:t>
      </w:r>
      <w:proofErr w:type="spellEnd"/>
      <w:r>
        <w:t xml:space="preserve"> und Patriziern wird auch als </w:t>
      </w:r>
      <w:r>
        <w:rPr>
          <w:rStyle w:val="Starkbetont"/>
        </w:rPr>
        <w:t>Ständekämpfe</w:t>
      </w:r>
      <w:r>
        <w:t xml:space="preserve"> bezeichnet.</w:t>
      </w:r>
    </w:p>
    <w:p w14:paraId="2AACDF72" w14:textId="77777777" w:rsidR="00593264" w:rsidRDefault="00555A45">
      <w:pPr>
        <w:pStyle w:val="Textkrper"/>
        <w:jc w:val="both"/>
      </w:pPr>
      <w:r>
        <w:t xml:space="preserve">Da nun auch </w:t>
      </w:r>
      <w:proofErr w:type="spellStart"/>
      <w:r>
        <w:t>Plebeier</w:t>
      </w:r>
      <w:proofErr w:type="spellEnd"/>
      <w:r>
        <w:t xml:space="preserve"> zu Konsuln gewählt wurden, bild</w:t>
      </w:r>
      <w:r>
        <w:t>ete sich ein neuer Adelsstand heraus, der aus allen Familien bestand, in denen es irgendwann einmal einen Konsul gab. Während seit der Königszeit nur die Patrizier als Adlige angesehen wurden, so galten im Laufe des 5. und 4. Jh. v. Chr. nämlich auch dieje</w:t>
      </w:r>
      <w:r>
        <w:t xml:space="preserve">nigen </w:t>
      </w:r>
      <w:proofErr w:type="spellStart"/>
      <w:r>
        <w:t>Plebeier</w:t>
      </w:r>
      <w:proofErr w:type="spellEnd"/>
      <w:r>
        <w:t xml:space="preserve"> als adlig (</w:t>
      </w:r>
      <w:proofErr w:type="spellStart"/>
      <w:r>
        <w:rPr>
          <w:rStyle w:val="Betont"/>
        </w:rPr>
        <w:t>nobiles</w:t>
      </w:r>
      <w:proofErr w:type="spellEnd"/>
      <w:r>
        <w:t xml:space="preserve">), die das Amt des Konsul bekleidet hatten. </w:t>
      </w:r>
      <w:r>
        <w:rPr>
          <w:rStyle w:val="Betont"/>
        </w:rPr>
        <w:t>Nobilis</w:t>
      </w:r>
      <w:r>
        <w:t xml:space="preserve"> bedeutet ursprünglich „bekannt“. Adlig waren also diejenigen, die durch ein Ehrenamt posi</w:t>
      </w:r>
      <w:r>
        <w:softHyphen/>
        <w:t>tive Bekanntschaft erreicht hatten.</w:t>
      </w:r>
    </w:p>
    <w:p w14:paraId="4504D6AE" w14:textId="77777777" w:rsidR="00593264" w:rsidRDefault="00555A45">
      <w:pPr>
        <w:pStyle w:val="Textkrper"/>
        <w:jc w:val="both"/>
      </w:pPr>
      <w:r>
        <w:t>Dieser Adelsstand vererbte sich auf die Nachk</w:t>
      </w:r>
      <w:r>
        <w:t xml:space="preserve">ommen, d. h. auf die Söhne. Das bezeichnet man als </w:t>
      </w:r>
      <w:proofErr w:type="spellStart"/>
      <w:r>
        <w:rPr>
          <w:rStyle w:val="Betont"/>
        </w:rPr>
        <w:t>Amtsadel</w:t>
      </w:r>
      <w:proofErr w:type="spellEnd"/>
      <w:r>
        <w:t xml:space="preserve">. Um in den Adelsstand aufzurücken, d. h. als </w:t>
      </w:r>
      <w:r>
        <w:rPr>
          <w:rStyle w:val="Betont"/>
        </w:rPr>
        <w:t>nobilis</w:t>
      </w:r>
      <w:r>
        <w:t xml:space="preserve"> zu gelten, musste ein römischer Ritter oder </w:t>
      </w:r>
      <w:proofErr w:type="spellStart"/>
      <w:r>
        <w:t>Plebeier</w:t>
      </w:r>
      <w:proofErr w:type="spellEnd"/>
      <w:r>
        <w:t xml:space="preserve"> also als Konsul gewählt worden sein.</w:t>
      </w:r>
    </w:p>
    <w:p w14:paraId="65ACA8E0" w14:textId="77777777" w:rsidR="00593264" w:rsidRDefault="00555A45">
      <w:pPr>
        <w:pStyle w:val="Textkrper"/>
        <w:jc w:val="both"/>
      </w:pPr>
      <w:r>
        <w:t xml:space="preserve">Als Ende der Ständekämpfe wird die </w:t>
      </w:r>
      <w:proofErr w:type="spellStart"/>
      <w:r>
        <w:rPr>
          <w:rStyle w:val="Betont"/>
        </w:rPr>
        <w:t>lex</w:t>
      </w:r>
      <w:proofErr w:type="spellEnd"/>
      <w:r>
        <w:rPr>
          <w:rStyle w:val="Betont"/>
        </w:rPr>
        <w:t xml:space="preserve"> </w:t>
      </w:r>
      <w:r>
        <w:rPr>
          <w:rStyle w:val="Betont"/>
        </w:rPr>
        <w:t>Hortensia</w:t>
      </w:r>
      <w:r>
        <w:t xml:space="preserve"> aus dem Jahr 287 v. Chr. angesehen, das Ge</w:t>
      </w:r>
      <w:r>
        <w:softHyphen/>
        <w:t xml:space="preserve">setz des </w:t>
      </w:r>
      <w:proofErr w:type="spellStart"/>
      <w:r>
        <w:t>Hortensius</w:t>
      </w:r>
      <w:proofErr w:type="spellEnd"/>
      <w:r>
        <w:t xml:space="preserve">, durch das die Plebiszite, also die Beschlüsse der </w:t>
      </w:r>
      <w:proofErr w:type="spellStart"/>
      <w:r>
        <w:rPr>
          <w:rStyle w:val="Betont"/>
        </w:rPr>
        <w:t>concilia</w:t>
      </w:r>
      <w:proofErr w:type="spellEnd"/>
      <w:r>
        <w:rPr>
          <w:rStyle w:val="Betont"/>
        </w:rPr>
        <w:t xml:space="preserve"> </w:t>
      </w:r>
      <w:proofErr w:type="spellStart"/>
      <w:r>
        <w:rPr>
          <w:rStyle w:val="Betont"/>
        </w:rPr>
        <w:t>plebis</w:t>
      </w:r>
      <w:proofErr w:type="spellEnd"/>
      <w:r>
        <w:rPr>
          <w:rStyle w:val="Betont"/>
        </w:rPr>
        <w:t>,</w:t>
      </w:r>
      <w:r>
        <w:t xml:space="preserve"> der Ver</w:t>
      </w:r>
      <w:r>
        <w:softHyphen/>
        <w:t xml:space="preserve">sammlungen des einfachen Volkes, bindende Wirkung bekamen. Vorher galten sie nur für die </w:t>
      </w:r>
      <w:proofErr w:type="spellStart"/>
      <w:r>
        <w:rPr>
          <w:rStyle w:val="Betont"/>
        </w:rPr>
        <w:t>plebs</w:t>
      </w:r>
      <w:proofErr w:type="spellEnd"/>
      <w:r>
        <w:t xml:space="preserve"> selbst, mit </w:t>
      </w:r>
      <w:r>
        <w:t xml:space="preserve">der </w:t>
      </w:r>
      <w:proofErr w:type="spellStart"/>
      <w:r>
        <w:rPr>
          <w:rStyle w:val="Betont"/>
        </w:rPr>
        <w:t>lex</w:t>
      </w:r>
      <w:proofErr w:type="spellEnd"/>
      <w:r>
        <w:rPr>
          <w:rStyle w:val="Betont"/>
        </w:rPr>
        <w:t xml:space="preserve"> Hortensia</w:t>
      </w:r>
      <w:r>
        <w:t xml:space="preserve"> auch die anderen Stände; sie waren also echte Gesetze (</w:t>
      </w:r>
      <w:proofErr w:type="spellStart"/>
      <w:r>
        <w:rPr>
          <w:rStyle w:val="Betont"/>
        </w:rPr>
        <w:t>leges</w:t>
      </w:r>
      <w:proofErr w:type="spellEnd"/>
      <w:r>
        <w:t>).</w:t>
      </w:r>
    </w:p>
    <w:p w14:paraId="2BD78726" w14:textId="77777777" w:rsidR="00593264" w:rsidRDefault="00555A45">
      <w:pPr>
        <w:pStyle w:val="berschrift3"/>
        <w:jc w:val="both"/>
      </w:pPr>
      <w:bookmarkStart w:id="19" w:name="demokratie"/>
      <w:bookmarkStart w:id="20" w:name="_Toc41156348"/>
      <w:bookmarkEnd w:id="19"/>
      <w:r>
        <w:t>6. Zusammenfassung: Demokratie in der römischen Republik?</w:t>
      </w:r>
      <w:bookmarkEnd w:id="20"/>
    </w:p>
    <w:p w14:paraId="06687441" w14:textId="77777777" w:rsidR="00593264" w:rsidRDefault="00555A45">
      <w:pPr>
        <w:pStyle w:val="Textkrper"/>
        <w:jc w:val="both"/>
      </w:pPr>
      <w:r>
        <w:t>Sowohl das griechische als auch das römische Wahlsystem ist nur sehr eingeschränkt mit dem Wahlsystem moderner demokr</w:t>
      </w:r>
      <w:r>
        <w:t xml:space="preserve">atischer Staaten vergleichbar, denn es bestehen grundlegende Unterschiede: Sowohl </w:t>
      </w:r>
      <w:r>
        <w:rPr>
          <w:rStyle w:val="Starkbetont"/>
        </w:rPr>
        <w:t>Frauen</w:t>
      </w:r>
      <w:r>
        <w:t xml:space="preserve"> als auch </w:t>
      </w:r>
      <w:r>
        <w:rPr>
          <w:rStyle w:val="Starkbetont"/>
        </w:rPr>
        <w:t>Sklaven</w:t>
      </w:r>
      <w:r>
        <w:t xml:space="preserve"> waren von jeder Wahl – aktiv wie passiv – ausgeschlossen, d. h. sie durften weder wählen noch gewählt werden. </w:t>
      </w:r>
    </w:p>
    <w:p w14:paraId="7040A4F9" w14:textId="77777777" w:rsidR="00593264" w:rsidRDefault="00555A45">
      <w:pPr>
        <w:pStyle w:val="Textkrper"/>
        <w:jc w:val="both"/>
      </w:pPr>
      <w:r>
        <w:t xml:space="preserve">Manchmal wird erwähnt, dass auch die </w:t>
      </w:r>
      <w:r>
        <w:rPr>
          <w:rStyle w:val="Starkbetont"/>
        </w:rPr>
        <w:t>Fr</w:t>
      </w:r>
      <w:r>
        <w:rPr>
          <w:rStyle w:val="Starkbetont"/>
        </w:rPr>
        <w:t>emden</w:t>
      </w:r>
      <w:r>
        <w:t xml:space="preserve"> von der Wahl ausgeschlossen waren. </w:t>
      </w:r>
      <w:r>
        <w:t>Ob man daher die</w:t>
      </w:r>
      <w:r>
        <w:t xml:space="preserve"> Wahlbestimmungen Roms und Athens als undemokratisch </w:t>
      </w:r>
      <w:r>
        <w:t>bezeichnen kann, ist umstritten, denn ä</w:t>
      </w:r>
      <w:r>
        <w:t xml:space="preserve">hnliche Bestimmungen gibt es in den meisten Demokratien. Auch in Deutschland dürfen seit den 1990er-Jahren </w:t>
      </w:r>
      <w:r>
        <w:t>zwar Bürger der Europäischen Union an man</w:t>
      </w:r>
      <w:r>
        <w:softHyphen/>
        <w:t>chen Wahlen teilnehmen, nicht aber z. B. an den Bundestagswahlen, und Bürger aus anderen Ländern, die nicht zur EU gehören, dürfen an keinen Wahlen teilnehmen.</w:t>
      </w:r>
      <w:r>
        <w:rPr>
          <w:rStyle w:val="Funotenanker"/>
        </w:rPr>
        <w:footnoteReference w:id="8"/>
      </w:r>
    </w:p>
    <w:p w14:paraId="7B05C99B" w14:textId="77777777" w:rsidR="00593264" w:rsidRDefault="00555A45">
      <w:pPr>
        <w:pStyle w:val="Textkrper"/>
        <w:jc w:val="both"/>
      </w:pPr>
      <w:r>
        <w:lastRenderedPageBreak/>
        <w:t>Dass (mit dieser Einschränkung) im antiken Athen ein</w:t>
      </w:r>
      <w:r>
        <w:t>e erste Demokratie bestand, ist ebenfalls an</w:t>
      </w:r>
      <w:r>
        <w:softHyphen/>
        <w:t>erkannt. Jeder athenische Bürger hatte das freie Wahlrecht, und jede Stimme zählte gleich viel.</w:t>
      </w:r>
    </w:p>
    <w:p w14:paraId="281447E8" w14:textId="77777777" w:rsidR="00593264" w:rsidRDefault="00555A45">
      <w:pPr>
        <w:pStyle w:val="Textkrper"/>
        <w:jc w:val="both"/>
      </w:pPr>
      <w:r>
        <w:t>Was die Demokratie in Rom betrifft, da gehen die Ansichten der Forscher auseinander. Man kann auf die ungleiche Ver</w:t>
      </w:r>
      <w:r>
        <w:t xml:space="preserve">teilung der Stimmgewichte in den </w:t>
      </w:r>
      <w:proofErr w:type="spellStart"/>
      <w:r>
        <w:t>Zenturiatkomitien</w:t>
      </w:r>
      <w:proofErr w:type="spellEnd"/>
      <w:r>
        <w:t xml:space="preserve"> verweisen (siehe oben Abschnitt 5). Dann kommt man zu dem Ergebnis, dass es in Rom keine Demokratie gab, da die ärmeren Schichten keine Chance hatten, ihre Stimme bei der Wahl der Magistrate zur Geltung zu</w:t>
      </w:r>
      <w:r>
        <w:t xml:space="preserve"> bringen. Man kann andererseits auf die Volkstribunen (</w:t>
      </w:r>
      <w:proofErr w:type="spellStart"/>
      <w:r>
        <w:rPr>
          <w:rStyle w:val="Betont"/>
        </w:rPr>
        <w:t>tribuni</w:t>
      </w:r>
      <w:proofErr w:type="spellEnd"/>
      <w:r>
        <w:rPr>
          <w:rStyle w:val="Betont"/>
        </w:rPr>
        <w:t xml:space="preserve"> </w:t>
      </w:r>
      <w:proofErr w:type="spellStart"/>
      <w:r>
        <w:rPr>
          <w:rStyle w:val="Betont"/>
        </w:rPr>
        <w:t>plebis</w:t>
      </w:r>
      <w:proofErr w:type="spellEnd"/>
      <w:r>
        <w:t xml:space="preserve">) verweisen, die sich mit ihrem Interzessionsrecht für die Ärmeren einsetzen konnten. Sie konnten also eine Entscheidung eines Amtsträgers effektiv blockieren. </w:t>
      </w:r>
    </w:p>
    <w:p w14:paraId="2D1747DB" w14:textId="77777777" w:rsidR="00593264" w:rsidRDefault="00555A45">
      <w:pPr>
        <w:pStyle w:val="Textkrper"/>
        <w:jc w:val="both"/>
      </w:pPr>
      <w:r>
        <w:t xml:space="preserve">Auch die </w:t>
      </w:r>
      <w:proofErr w:type="spellStart"/>
      <w:r>
        <w:rPr>
          <w:rStyle w:val="Betont"/>
        </w:rPr>
        <w:t>concilia</w:t>
      </w:r>
      <w:proofErr w:type="spellEnd"/>
      <w:r>
        <w:rPr>
          <w:rStyle w:val="Betont"/>
        </w:rPr>
        <w:t xml:space="preserve"> </w:t>
      </w:r>
      <w:proofErr w:type="spellStart"/>
      <w:r>
        <w:rPr>
          <w:rStyle w:val="Betont"/>
        </w:rPr>
        <w:t>plebis</w:t>
      </w:r>
      <w:proofErr w:type="spellEnd"/>
      <w:r>
        <w:t xml:space="preserve">, </w:t>
      </w:r>
      <w:r>
        <w:t xml:space="preserve">die Versammlungen des einfachen Volkes, waren Gremien, die seit der </w:t>
      </w:r>
      <w:proofErr w:type="spellStart"/>
      <w:r>
        <w:rPr>
          <w:rStyle w:val="Betont"/>
        </w:rPr>
        <w:t>lex</w:t>
      </w:r>
      <w:proofErr w:type="spellEnd"/>
      <w:r>
        <w:rPr>
          <w:rStyle w:val="Betont"/>
        </w:rPr>
        <w:t xml:space="preserve"> Hortensia</w:t>
      </w:r>
      <w:r>
        <w:t xml:space="preserve"> Mitbestimmungsrechte hatten (siehe voriger Abschnitt 5.). Es kam zwar selten vor, dass die</w:t>
      </w:r>
      <w:r>
        <w:softHyphen/>
        <w:t xml:space="preserve">se </w:t>
      </w:r>
      <w:proofErr w:type="spellStart"/>
      <w:r>
        <w:t>concilia</w:t>
      </w:r>
      <w:proofErr w:type="spellEnd"/>
      <w:r>
        <w:t xml:space="preserve"> </w:t>
      </w:r>
      <w:proofErr w:type="spellStart"/>
      <w:r>
        <w:t>plebis</w:t>
      </w:r>
      <w:proofErr w:type="spellEnd"/>
      <w:r>
        <w:t xml:space="preserve"> etwas am Senat vorbei entschieden, aber das kam vor: So setzte s</w:t>
      </w:r>
      <w:r>
        <w:t xml:space="preserve">ich diese Volksversammlung z. B. bei der Entscheidung, C. Marius im Jahr 107 v. Chr. den Oberbefehl im Krieg gegen König </w:t>
      </w:r>
      <w:proofErr w:type="spellStart"/>
      <w:r>
        <w:t>Iugurtha</w:t>
      </w:r>
      <w:proofErr w:type="spellEnd"/>
      <w:r>
        <w:t xml:space="preserve"> von Numidien zu übertragen, gegen den Senat durch.</w:t>
      </w:r>
    </w:p>
    <w:p w14:paraId="712C555A" w14:textId="77777777" w:rsidR="00593264" w:rsidRDefault="00555A45">
      <w:pPr>
        <w:pStyle w:val="Textkrper"/>
        <w:jc w:val="both"/>
      </w:pPr>
      <w:r>
        <w:rPr>
          <w:rStyle w:val="Starkbetont"/>
        </w:rPr>
        <w:t>Weiterlesen</w:t>
      </w:r>
      <w:r>
        <w:t>: Hans Vorländer (2014): Prinzipien republikanischen Denkens, be</w:t>
      </w:r>
      <w:r>
        <w:t>i der Bundeszentra</w:t>
      </w:r>
      <w:r>
        <w:softHyphen/>
        <w:t>le für politische Bildung.</w:t>
      </w:r>
      <w:r>
        <w:rPr>
          <w:rStyle w:val="Funotenanker"/>
        </w:rPr>
        <w:footnoteReference w:id="9"/>
      </w:r>
      <w:r>
        <w:t xml:space="preserve"> </w:t>
      </w:r>
    </w:p>
    <w:p w14:paraId="4CD351C2" w14:textId="77777777" w:rsidR="00593264" w:rsidRDefault="00555A45">
      <w:pPr>
        <w:pStyle w:val="berschrift4"/>
      </w:pPr>
      <w:bookmarkStart w:id="21" w:name="_Toc41156349"/>
      <w:r>
        <w:t>Quellen</w:t>
      </w:r>
      <w:bookmarkEnd w:id="21"/>
    </w:p>
    <w:p w14:paraId="61F46740" w14:textId="77777777" w:rsidR="00593264" w:rsidRDefault="00555A45">
      <w:pPr>
        <w:pStyle w:val="Textkrper"/>
        <w:jc w:val="both"/>
      </w:pPr>
      <w:r>
        <w:t xml:space="preserve">Als Quellen wurden die Bücher und Lexika verwendet, die in der </w:t>
      </w:r>
      <w:r>
        <w:rPr>
          <w:i/>
          <w:iCs/>
        </w:rPr>
        <w:t>Auswahlbibliographie zur römischen Geschichte in</w:t>
      </w:r>
      <w:r>
        <w:t xml:space="preserve"> den Abschnitten </w:t>
      </w:r>
      <w:r>
        <w:rPr>
          <w:rStyle w:val="Betont"/>
        </w:rPr>
        <w:t>Allgemein</w:t>
      </w:r>
      <w:r>
        <w:t xml:space="preserve"> und </w:t>
      </w:r>
      <w:r>
        <w:rPr>
          <w:rStyle w:val="Betont"/>
        </w:rPr>
        <w:t>Römische Republik</w:t>
      </w:r>
      <w:r>
        <w:t xml:space="preserve"> verzeichnet sind.</w:t>
      </w:r>
      <w:r>
        <w:rPr>
          <w:rStyle w:val="Funotenanker"/>
        </w:rPr>
        <w:footnoteReference w:id="10"/>
      </w:r>
      <w:r>
        <w:t xml:space="preserve"> Für die Quellenanga</w:t>
      </w:r>
      <w:r>
        <w:t xml:space="preserve">ben zu einzelnen Thesen und Themen siehe die Tool-Tipps mit der Aufschrift </w:t>
      </w:r>
      <w:r>
        <w:rPr>
          <w:rStyle w:val="Starkbetont"/>
        </w:rPr>
        <w:t>Quellen</w:t>
      </w:r>
      <w:r>
        <w:t>.</w:t>
      </w:r>
    </w:p>
    <w:p w14:paraId="7829F20A" w14:textId="77777777" w:rsidR="00593264" w:rsidRDefault="00555A45">
      <w:pPr>
        <w:pStyle w:val="Textkrper"/>
      </w:pPr>
      <w:r>
        <w:t xml:space="preserve">Autor: Tilman Bechthold-Hengelhaupt. Stand: </w:t>
      </w:r>
      <w:r>
        <w:t>Mai</w:t>
      </w:r>
      <w:r>
        <w:t xml:space="preserve"> 2020.</w:t>
      </w:r>
    </w:p>
    <w:p w14:paraId="74EF87F8" w14:textId="77777777" w:rsidR="00593264" w:rsidRDefault="00593264"/>
    <w:p w14:paraId="24402B68" w14:textId="77777777" w:rsidR="00593264" w:rsidRDefault="00593264"/>
    <w:p w14:paraId="4CCE076D" w14:textId="77777777" w:rsidR="00593264" w:rsidRDefault="00555A45">
      <w:pPr>
        <w:pStyle w:val="lbs-dokumente"/>
        <w:spacing w:before="120" w:after="40" w:line="240" w:lineRule="auto"/>
      </w:pPr>
      <w:r>
        <w:rPr>
          <w:sz w:val="21"/>
          <w:szCs w:val="21"/>
        </w:rPr>
        <w:t xml:space="preserve">URL dieser Seite: </w:t>
      </w:r>
      <w:hyperlink r:id="rId9">
        <w:r>
          <w:rPr>
            <w:rStyle w:val="Internetverknpfung"/>
            <w:sz w:val="21"/>
            <w:szCs w:val="21"/>
          </w:rPr>
          <w:t>https://www.schule-bw.de//faecher-und-schularten/sprachen-und-literatur/latein/antike-</w:t>
        </w:r>
        <w:r>
          <w:rPr>
            <w:rStyle w:val="Internetverknpfung"/>
            <w:sz w:val="21"/>
            <w:szCs w:val="21"/>
          </w:rPr>
          <w:t>kultur/roemische-geschichte/roemische-republik-und-demokratie.html</w:t>
        </w:r>
      </w:hyperlink>
      <w:r>
        <w:rPr>
          <w:sz w:val="21"/>
          <w:szCs w:val="21"/>
        </w:rPr>
        <w:t xml:space="preserve"> </w:t>
      </w:r>
    </w:p>
    <w:p w14:paraId="16FFC7DA" w14:textId="77777777" w:rsidR="00593264" w:rsidRDefault="00555A45">
      <w:pPr>
        <w:pStyle w:val="lbs-dokumente"/>
        <w:spacing w:before="120" w:after="40" w:line="240" w:lineRule="auto"/>
      </w:pPr>
      <w:r>
        <w:rPr>
          <w:sz w:val="21"/>
          <w:szCs w:val="21"/>
        </w:rPr>
        <w:t xml:space="preserve">Lizenz: </w:t>
      </w:r>
      <w:hyperlink r:id="rId10">
        <w:r>
          <w:rPr>
            <w:rStyle w:val="Internetverknpfung"/>
            <w:sz w:val="21"/>
            <w:szCs w:val="21"/>
          </w:rPr>
          <w:t>www.schule-bw.de/ueber-uns/urheberrechtsinformationen/urheberrechtliche-h</w:t>
        </w:r>
        <w:r>
          <w:rPr>
            <w:rStyle w:val="Internetverknpfung"/>
            <w:sz w:val="21"/>
            <w:szCs w:val="21"/>
          </w:rPr>
          <w:t>inweise</w:t>
        </w:r>
      </w:hyperlink>
    </w:p>
    <w:sectPr w:rsidR="00593264">
      <w:headerReference w:type="default" r:id="rId11"/>
      <w:footerReference w:type="default" r:id="rId12"/>
      <w:type w:val="continuous"/>
      <w:pgSz w:w="11906" w:h="16838"/>
      <w:pgMar w:top="2361" w:right="1134" w:bottom="1717" w:left="1134" w:header="1134" w:footer="1134"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C23D6" w14:textId="77777777" w:rsidR="00555A45" w:rsidRDefault="00555A45">
      <w:pPr>
        <w:spacing w:before="0" w:after="0" w:line="240" w:lineRule="auto"/>
      </w:pPr>
      <w:r>
        <w:separator/>
      </w:r>
    </w:p>
  </w:endnote>
  <w:endnote w:type="continuationSeparator" w:id="0">
    <w:p w14:paraId="46AE2632" w14:textId="77777777" w:rsidR="00555A45" w:rsidRDefault="00555A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00"/>
    <w:family w:val="roman"/>
    <w:pitch w:val="variable"/>
    <w:sig w:usb0="E0000AFF" w:usb1="500078FF" w:usb2="00000021" w:usb3="00000000" w:csb0="000001B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7661E" w14:textId="77777777" w:rsidR="00593264" w:rsidRDefault="00555A45">
    <w:pPr>
      <w:pStyle w:val="Fuzeile"/>
    </w:pPr>
    <w:hyperlink r:id="rId1" w:tgtFrame="_blank">
      <w:r>
        <w:rPr>
          <w:rFonts w:ascii="Verdana" w:hAnsi="Verdana"/>
          <w:color w:val="0070C0"/>
          <w:sz w:val="20"/>
          <w:szCs w:val="20"/>
        </w:rPr>
        <w:t>www.latein-bw.de</w:t>
      </w:r>
    </w:hyperlink>
    <w:r>
      <w:rPr>
        <w:rFonts w:ascii="Verdana" w:hAnsi="Verdana"/>
        <w:color w:val="0070C0"/>
        <w:sz w:val="20"/>
        <w:szCs w:val="20"/>
      </w:rPr>
      <w:t xml:space="preserve"> </w:t>
    </w:r>
    <w:r>
      <w:rPr>
        <w:rFonts w:ascii="Verdana" w:hAnsi="Verdana"/>
        <w:sz w:val="20"/>
        <w:szCs w:val="20"/>
      </w:rPr>
      <w:tab/>
    </w:r>
    <w:r>
      <w:rPr>
        <w:rFonts w:ascii="Verdana" w:hAnsi="Verdana"/>
        <w:sz w:val="20"/>
        <w:szCs w:val="20"/>
      </w:rPr>
      <w:tab/>
      <w:t xml:space="preserve">Seite </w:t>
    </w:r>
    <w:r>
      <w:rPr>
        <w:rFonts w:ascii="Verdana" w:hAnsi="Verdana"/>
        <w:sz w:val="20"/>
        <w:szCs w:val="20"/>
      </w:rPr>
      <w:fldChar w:fldCharType="begin"/>
    </w:r>
    <w:r>
      <w:rPr>
        <w:rFonts w:ascii="Verdana" w:hAnsi="Verdana"/>
        <w:sz w:val="20"/>
        <w:szCs w:val="20"/>
      </w:rPr>
      <w:instrText>PAGE</w:instrText>
    </w:r>
    <w:r>
      <w:rPr>
        <w:rFonts w:ascii="Verdana" w:hAnsi="Verdana"/>
        <w:sz w:val="20"/>
        <w:szCs w:val="20"/>
      </w:rPr>
      <w:fldChar w:fldCharType="separate"/>
    </w:r>
    <w:r>
      <w:rPr>
        <w:rFonts w:ascii="Verdana" w:hAnsi="Verdana"/>
        <w:sz w:val="20"/>
        <w:szCs w:val="20"/>
      </w:rPr>
      <w:t>4</w:t>
    </w:r>
    <w:r>
      <w:rPr>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60F28" w14:textId="77777777" w:rsidR="00593264" w:rsidRDefault="00555A45">
    <w:pPr>
      <w:pStyle w:val="Fuzeile"/>
    </w:pPr>
    <w:hyperlink r:id="rId1" w:tgtFrame="_blank">
      <w:r>
        <w:rPr>
          <w:rFonts w:ascii="Verdana" w:hAnsi="Verdana"/>
          <w:color w:val="0070C0"/>
          <w:sz w:val="20"/>
          <w:szCs w:val="20"/>
        </w:rPr>
        <w:t>www.latein-bw.de</w:t>
      </w:r>
    </w:hyperlink>
    <w:r>
      <w:rPr>
        <w:rFonts w:ascii="Verdana" w:hAnsi="Verdana"/>
        <w:color w:val="0070C0"/>
        <w:sz w:val="20"/>
        <w:szCs w:val="20"/>
      </w:rPr>
      <w:t xml:space="preserve"> </w:t>
    </w:r>
    <w:r>
      <w:rPr>
        <w:rFonts w:ascii="Verdana" w:hAnsi="Verdana"/>
        <w:sz w:val="20"/>
        <w:szCs w:val="20"/>
      </w:rPr>
      <w:tab/>
    </w:r>
    <w:r>
      <w:rPr>
        <w:rFonts w:ascii="Verdana" w:hAnsi="Verdana"/>
        <w:sz w:val="20"/>
        <w:szCs w:val="20"/>
      </w:rPr>
      <w:tab/>
      <w:t xml:space="preserve">Seite </w:t>
    </w:r>
    <w:r>
      <w:rPr>
        <w:rFonts w:ascii="Verdana" w:hAnsi="Verdana"/>
        <w:sz w:val="20"/>
        <w:szCs w:val="20"/>
      </w:rPr>
      <w:fldChar w:fldCharType="begin"/>
    </w:r>
    <w:r>
      <w:rPr>
        <w:rFonts w:ascii="Verdana" w:hAnsi="Verdana"/>
        <w:sz w:val="20"/>
        <w:szCs w:val="20"/>
      </w:rPr>
      <w:instrText>PAGE</w:instrText>
    </w:r>
    <w:r>
      <w:rPr>
        <w:rFonts w:ascii="Verdana" w:hAnsi="Verdana"/>
        <w:sz w:val="20"/>
        <w:szCs w:val="20"/>
      </w:rPr>
      <w:fldChar w:fldCharType="separate"/>
    </w:r>
    <w:r>
      <w:rPr>
        <w:rFonts w:ascii="Verdana" w:hAnsi="Verdana"/>
        <w:sz w:val="20"/>
        <w:szCs w:val="20"/>
      </w:rPr>
      <w:t>4</w:t>
    </w:r>
    <w:r>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74C79" w14:textId="77777777" w:rsidR="00555A45" w:rsidRDefault="00555A45">
      <w:r>
        <w:separator/>
      </w:r>
    </w:p>
  </w:footnote>
  <w:footnote w:type="continuationSeparator" w:id="0">
    <w:p w14:paraId="2A733250" w14:textId="77777777" w:rsidR="00555A45" w:rsidRDefault="00555A45">
      <w:r>
        <w:continuationSeparator/>
      </w:r>
    </w:p>
  </w:footnote>
  <w:footnote w:id="1">
    <w:p w14:paraId="721200F7" w14:textId="77777777" w:rsidR="00593264" w:rsidRDefault="00555A45">
      <w:pPr>
        <w:pStyle w:val="Textkrper"/>
      </w:pPr>
      <w:r>
        <w:rPr>
          <w:rStyle w:val="Funotenzeichen"/>
        </w:rPr>
        <w:footnoteRef/>
      </w:r>
      <w:r>
        <w:rPr>
          <w:sz w:val="20"/>
          <w:szCs w:val="20"/>
        </w:rPr>
        <w:tab/>
        <w:t xml:space="preserve">Zeitleiste zur römischen Geschichte: </w:t>
      </w:r>
      <w:hyperlink r:id="rId1" w:tgtFrame="_blank">
        <w:r>
          <w:rPr>
            <w:rStyle w:val="Internetverknpfung"/>
            <w:sz w:val="20"/>
            <w:szCs w:val="20"/>
          </w:rPr>
          <w:t>www.schule-bw.de/faecher-und-schularten/sprachen-und-literatur/latein/an</w:t>
        </w:r>
        <w:r>
          <w:rPr>
            <w:rStyle w:val="Internetverknpfung"/>
            <w:sz w:val="20"/>
            <w:szCs w:val="20"/>
          </w:rPr>
          <w:t>tike-kultur/roemische-geschichte/roemische-geschichte-zeitleiste-ganz.html</w:t>
        </w:r>
      </w:hyperlink>
    </w:p>
  </w:footnote>
  <w:footnote w:id="2">
    <w:p w14:paraId="37BC09B4" w14:textId="77777777" w:rsidR="00593264" w:rsidRDefault="00555A45">
      <w:pPr>
        <w:pStyle w:val="Funotentext"/>
      </w:pPr>
      <w:r>
        <w:rPr>
          <w:rStyle w:val="Funotenzeichen"/>
        </w:rPr>
        <w:footnoteRef/>
      </w:r>
      <w:r>
        <w:tab/>
        <w:t xml:space="preserve">Livius 7, 3, 5; über den </w:t>
      </w:r>
      <w:proofErr w:type="spellStart"/>
      <w:r>
        <w:rPr>
          <w:i/>
          <w:iCs/>
        </w:rPr>
        <w:t>praetor</w:t>
      </w:r>
      <w:proofErr w:type="spellEnd"/>
      <w:r>
        <w:rPr>
          <w:i/>
          <w:iCs/>
        </w:rPr>
        <w:t xml:space="preserve"> maximus</w:t>
      </w:r>
      <w:r>
        <w:t xml:space="preserve">. T. Livius, Ab urbe condita 7, 3, 5, bei der Bibliothek des Packard </w:t>
      </w:r>
      <w:proofErr w:type="spellStart"/>
      <w:r>
        <w:t>Humanities</w:t>
      </w:r>
      <w:proofErr w:type="spellEnd"/>
      <w:r>
        <w:t xml:space="preserve"> Institute, </w:t>
      </w:r>
      <w:hyperlink r:id="rId2" w:anchor="358" w:history="1">
        <w:r>
          <w:rPr>
            <w:rStyle w:val="Internetverknpfung"/>
          </w:rPr>
          <w:t>https://latin.packhum.org/loc/914/1/0#358</w:t>
        </w:r>
      </w:hyperlink>
      <w:r>
        <w:t xml:space="preserve"> </w:t>
      </w:r>
    </w:p>
  </w:footnote>
  <w:footnote w:id="3">
    <w:p w14:paraId="43CD0F8A" w14:textId="77777777" w:rsidR="00593264" w:rsidRDefault="00555A45">
      <w:pPr>
        <w:pStyle w:val="Funotentext"/>
      </w:pPr>
      <w:r>
        <w:rPr>
          <w:rStyle w:val="Funotenzeichen"/>
        </w:rPr>
        <w:footnoteRef/>
      </w:r>
      <w:r>
        <w:tab/>
        <w:t xml:space="preserve">Quellen zum Amt des </w:t>
      </w:r>
      <w:proofErr w:type="spellStart"/>
      <w:r>
        <w:t>Praetors</w:t>
      </w:r>
      <w:proofErr w:type="spellEnd"/>
      <w:r>
        <w:t xml:space="preserve">: Wolfgang </w:t>
      </w:r>
      <w:proofErr w:type="spellStart"/>
      <w:r>
        <w:t>Blösel</w:t>
      </w:r>
      <w:proofErr w:type="spellEnd"/>
      <w:r>
        <w:t xml:space="preserve"> (2015): Die römische Republik. Forum und Expansion, München; Martin </w:t>
      </w:r>
      <w:proofErr w:type="spellStart"/>
      <w:r>
        <w:t>Jehne</w:t>
      </w:r>
      <w:proofErr w:type="spellEnd"/>
      <w:r>
        <w:t xml:space="preserve"> (2006): Die römische Republik. Von der Gründung bis Caesar (C. H. Beck Wissen)</w:t>
      </w:r>
      <w:r>
        <w:t xml:space="preserve">, München; Wikipedia über das Amt der </w:t>
      </w:r>
      <w:proofErr w:type="spellStart"/>
      <w:r>
        <w:t>Praetur</w:t>
      </w:r>
      <w:proofErr w:type="spellEnd"/>
      <w:r>
        <w:t xml:space="preserve">: </w:t>
      </w:r>
      <w:hyperlink r:id="rId3" w:tgtFrame="_blank">
        <w:r>
          <w:rPr>
            <w:rStyle w:val="Internetverknpfung"/>
          </w:rPr>
          <w:t>https://de.wikipedia.org/wiki/Praetur</w:t>
        </w:r>
      </w:hyperlink>
    </w:p>
  </w:footnote>
  <w:footnote w:id="4">
    <w:p w14:paraId="2CD9F01C" w14:textId="77777777" w:rsidR="00593264" w:rsidRDefault="00555A45">
      <w:pPr>
        <w:pStyle w:val="Funotentext"/>
      </w:pPr>
      <w:r>
        <w:rPr>
          <w:rStyle w:val="Funotenzeichen"/>
        </w:rPr>
        <w:footnoteRef/>
      </w:r>
      <w:r>
        <w:rPr>
          <w:i/>
          <w:iCs/>
        </w:rPr>
        <w:tab/>
        <w:t>Wikipedia</w:t>
      </w:r>
      <w:r>
        <w:t xml:space="preserve"> über die Fasti </w:t>
      </w:r>
      <w:proofErr w:type="spellStart"/>
      <w:r>
        <w:t>consulares</w:t>
      </w:r>
      <w:proofErr w:type="spellEnd"/>
      <w:r>
        <w:t xml:space="preserve">: </w:t>
      </w:r>
      <w:hyperlink r:id="rId4">
        <w:r>
          <w:rPr>
            <w:rStyle w:val="Internetverknpfung"/>
          </w:rPr>
          <w:t>https://de.wikipedia.org/wiki/Liste_der_römischen_Konsuln</w:t>
        </w:r>
      </w:hyperlink>
      <w:r>
        <w:t xml:space="preserve">  , </w:t>
      </w:r>
      <w:r>
        <w:rPr>
          <w:i/>
          <w:iCs/>
        </w:rPr>
        <w:t>Encyclopedia Britannica</w:t>
      </w:r>
      <w:r>
        <w:t xml:space="preserve"> über die Fasti </w:t>
      </w:r>
      <w:proofErr w:type="spellStart"/>
      <w:r>
        <w:t>consulares</w:t>
      </w:r>
      <w:proofErr w:type="spellEnd"/>
      <w:r>
        <w:t xml:space="preserve">: </w:t>
      </w:r>
      <w:hyperlink r:id="rId5">
        <w:r>
          <w:rPr>
            <w:rStyle w:val="Internetverknpfung"/>
          </w:rPr>
          <w:t>https://www.britannica.com/topic/fasti-Roman-calendar</w:t>
        </w:r>
      </w:hyperlink>
      <w:r>
        <w:t>.</w:t>
      </w:r>
    </w:p>
  </w:footnote>
  <w:footnote w:id="5">
    <w:p w14:paraId="3FDD26E2" w14:textId="77777777" w:rsidR="00593264" w:rsidRDefault="00555A45">
      <w:pPr>
        <w:pStyle w:val="Funotentext"/>
      </w:pPr>
      <w:r>
        <w:rPr>
          <w:rStyle w:val="Funotenzeichen"/>
        </w:rPr>
        <w:footnoteRef/>
      </w:r>
      <w:r>
        <w:tab/>
      </w:r>
      <w:r>
        <w:t xml:space="preserve">Quellen zur Frage der </w:t>
      </w:r>
      <w:proofErr w:type="spellStart"/>
      <w:r>
        <w:t>Praetur</w:t>
      </w:r>
      <w:proofErr w:type="spellEnd"/>
      <w:r>
        <w:t xml:space="preserve">: T. Corey Brennan / Andrew </w:t>
      </w:r>
      <w:proofErr w:type="spellStart"/>
      <w:r>
        <w:t>Lintott</w:t>
      </w:r>
      <w:proofErr w:type="spellEnd"/>
      <w:r>
        <w:t xml:space="preserve"> (2016): Artikel </w:t>
      </w:r>
      <w:proofErr w:type="spellStart"/>
      <w:r>
        <w:t>praetor</w:t>
      </w:r>
      <w:proofErr w:type="spellEnd"/>
      <w:r>
        <w:t xml:space="preserve">, in: Oxford </w:t>
      </w:r>
      <w:proofErr w:type="spellStart"/>
      <w:r>
        <w:t>Classical</w:t>
      </w:r>
      <w:proofErr w:type="spellEnd"/>
      <w:r>
        <w:t xml:space="preserve"> Dictionary; Peter Sidney </w:t>
      </w:r>
      <w:proofErr w:type="spellStart"/>
      <w:r>
        <w:t>Derow</w:t>
      </w:r>
      <w:proofErr w:type="spellEnd"/>
      <w:r>
        <w:t xml:space="preserve"> (2015): Artikel </w:t>
      </w:r>
      <w:proofErr w:type="spellStart"/>
      <w:r>
        <w:t>consul</w:t>
      </w:r>
      <w:proofErr w:type="spellEnd"/>
      <w:r>
        <w:t xml:space="preserve">, in: Oxford </w:t>
      </w:r>
      <w:proofErr w:type="spellStart"/>
      <w:r>
        <w:t>Classical</w:t>
      </w:r>
      <w:proofErr w:type="spellEnd"/>
      <w:r>
        <w:t xml:space="preserve"> Dictionary</w:t>
      </w:r>
    </w:p>
  </w:footnote>
  <w:footnote w:id="6">
    <w:p w14:paraId="2229753C" w14:textId="77777777" w:rsidR="00593264" w:rsidRDefault="00555A45">
      <w:pPr>
        <w:pStyle w:val="Textkrper"/>
      </w:pPr>
      <w:r>
        <w:rPr>
          <w:rStyle w:val="Funotenzeichen"/>
        </w:rPr>
        <w:footnoteRef/>
      </w:r>
      <w:r>
        <w:t xml:space="preserve"> </w:t>
      </w:r>
      <w:r>
        <w:rPr>
          <w:sz w:val="20"/>
          <w:szCs w:val="20"/>
        </w:rPr>
        <w:t xml:space="preserve">Quellen: Wikipedia über die </w:t>
      </w:r>
      <w:proofErr w:type="spellStart"/>
      <w:r>
        <w:rPr>
          <w:sz w:val="20"/>
          <w:szCs w:val="20"/>
        </w:rPr>
        <w:t>Comitia</w:t>
      </w:r>
      <w:proofErr w:type="spellEnd"/>
      <w:r>
        <w:rPr>
          <w:sz w:val="20"/>
          <w:szCs w:val="20"/>
        </w:rPr>
        <w:t xml:space="preserve"> </w:t>
      </w:r>
      <w:proofErr w:type="spellStart"/>
      <w:r>
        <w:rPr>
          <w:sz w:val="20"/>
          <w:szCs w:val="20"/>
        </w:rPr>
        <w:t>centuriata</w:t>
      </w:r>
      <w:proofErr w:type="spellEnd"/>
      <w:r>
        <w:rPr>
          <w:sz w:val="20"/>
          <w:szCs w:val="20"/>
        </w:rPr>
        <w:t xml:space="preserve">; </w:t>
      </w:r>
      <w:hyperlink r:id="rId6" w:tgtFrame="_blank">
        <w:r>
          <w:rPr>
            <w:rStyle w:val="Internetverknpfung"/>
            <w:sz w:val="20"/>
            <w:szCs w:val="20"/>
          </w:rPr>
          <w:t>https://de.wikipedia.org/wiki/Comitia_centuriata</w:t>
        </w:r>
      </w:hyperlink>
      <w:r>
        <w:rPr>
          <w:sz w:val="20"/>
          <w:szCs w:val="20"/>
        </w:rPr>
        <w:t xml:space="preserve">; Wolfgang </w:t>
      </w:r>
      <w:proofErr w:type="spellStart"/>
      <w:r>
        <w:rPr>
          <w:sz w:val="20"/>
          <w:szCs w:val="20"/>
        </w:rPr>
        <w:t>Blösel</w:t>
      </w:r>
      <w:proofErr w:type="spellEnd"/>
      <w:r>
        <w:rPr>
          <w:sz w:val="20"/>
          <w:szCs w:val="20"/>
        </w:rPr>
        <w:t>, Die römische Republik, S. 59 f.</w:t>
      </w:r>
    </w:p>
  </w:footnote>
  <w:footnote w:id="7">
    <w:p w14:paraId="2B833D10" w14:textId="77777777" w:rsidR="00593264" w:rsidRDefault="00555A45">
      <w:pPr>
        <w:pStyle w:val="Funotentext"/>
      </w:pPr>
      <w:r>
        <w:rPr>
          <w:rStyle w:val="Funotenzeichen"/>
        </w:rPr>
        <w:footnoteRef/>
      </w:r>
      <w:r>
        <w:tab/>
        <w:t>Informativ und auf der Basis des aktuellen Forschungsstandes ist der Artikel der Wi</w:t>
      </w:r>
      <w:r>
        <w:t>kipedia (</w:t>
      </w:r>
      <w:hyperlink r:id="rId7">
        <w:r>
          <w:rPr>
            <w:rStyle w:val="Internetverknpfung"/>
          </w:rPr>
          <w:t>https://de.wikipedia.org/wiki/Römischer_Senat</w:t>
        </w:r>
      </w:hyperlink>
      <w:r>
        <w:t xml:space="preserve"> </w:t>
      </w:r>
    </w:p>
  </w:footnote>
  <w:footnote w:id="8">
    <w:p w14:paraId="64CA667A" w14:textId="77777777" w:rsidR="00593264" w:rsidRDefault="00555A45">
      <w:pPr>
        <w:pStyle w:val="Textkrper"/>
      </w:pPr>
      <w:r>
        <w:rPr>
          <w:rStyle w:val="Funotenzeichen"/>
        </w:rPr>
        <w:footnoteRef/>
      </w:r>
      <w:r>
        <w:tab/>
      </w:r>
      <w:r>
        <w:rPr>
          <w:sz w:val="20"/>
          <w:szCs w:val="20"/>
        </w:rPr>
        <w:t xml:space="preserve">Siehe die Erläuterungen zum Ausländerwahlrecht beim Bundesinnenministerium:  </w:t>
      </w:r>
      <w:hyperlink r:id="rId8" w:tgtFrame="_blank">
        <w:r>
          <w:rPr>
            <w:rStyle w:val="Internetverknpfung"/>
            <w:sz w:val="20"/>
            <w:szCs w:val="20"/>
          </w:rPr>
          <w:t>https://www.bmi.bund.de/DE/themen/verfassung/wahlrecht/auslaenderwahlrecht/auslaenderwahlrecht-node.html</w:t>
        </w:r>
      </w:hyperlink>
    </w:p>
  </w:footnote>
  <w:footnote w:id="9">
    <w:p w14:paraId="43CA4417" w14:textId="77777777" w:rsidR="00593264" w:rsidRDefault="00555A45">
      <w:pPr>
        <w:pStyle w:val="Funotentext"/>
      </w:pPr>
      <w:r>
        <w:rPr>
          <w:rStyle w:val="Funotenzeichen"/>
        </w:rPr>
        <w:footnoteRef/>
      </w:r>
      <w:r>
        <w:tab/>
        <w:t xml:space="preserve">URL: </w:t>
      </w:r>
      <w:hyperlink r:id="rId9" w:tgtFrame="_blank">
        <w:r>
          <w:rPr>
            <w:rStyle w:val="Internetverknpfung"/>
          </w:rPr>
          <w:t>https://www.bpb.de/175898/prinzipien-republikanischen-denkens</w:t>
        </w:r>
      </w:hyperlink>
    </w:p>
  </w:footnote>
  <w:footnote w:id="10">
    <w:p w14:paraId="41A3042A" w14:textId="77777777" w:rsidR="00593264" w:rsidRDefault="00555A45">
      <w:pPr>
        <w:pStyle w:val="Funotentext"/>
      </w:pPr>
      <w:r>
        <w:rPr>
          <w:rStyle w:val="Funotenzeichen"/>
        </w:rPr>
        <w:footnoteRef/>
      </w:r>
      <w:r>
        <w:tab/>
        <w:t xml:space="preserve">URL der Auswahlbibliographie:  </w:t>
      </w:r>
      <w:hyperlink r:id="rId10" w:tgtFrame="_blank">
        <w:r>
          <w:rPr>
            <w:rStyle w:val="Internetverknpfung"/>
          </w:rPr>
          <w:t>https://www.schule-bw.de/faecher-und-schularten/sprachen-und-literatur/latein/informationen-zum-fach/bibliographien/bibliographie-roemische-geschichte.html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B26AB" w14:textId="77777777" w:rsidR="00593264" w:rsidRDefault="00593264">
    <w:pPr>
      <w:pStyle w:val="Kopfzeile"/>
      <w:spacing w:before="0" w:after="0" w:line="247" w:lineRule="auto"/>
      <w:rPr>
        <w:sz w:val="4"/>
        <w:szCs w:val="4"/>
      </w:rPr>
    </w:pPr>
  </w:p>
  <w:tbl>
    <w:tblPr>
      <w:tblW w:w="9638" w:type="dxa"/>
      <w:tblCellMar>
        <w:left w:w="0" w:type="dxa"/>
        <w:right w:w="0" w:type="dxa"/>
      </w:tblCellMar>
      <w:tblLook w:val="04A0" w:firstRow="1" w:lastRow="0" w:firstColumn="1" w:lastColumn="0" w:noHBand="0" w:noVBand="1"/>
    </w:tblPr>
    <w:tblGrid>
      <w:gridCol w:w="3212"/>
      <w:gridCol w:w="2236"/>
      <w:gridCol w:w="4190"/>
    </w:tblGrid>
    <w:tr w:rsidR="00593264" w14:paraId="7A17D497" w14:textId="77777777">
      <w:trPr>
        <w:trHeight w:val="794"/>
      </w:trPr>
      <w:tc>
        <w:tcPr>
          <w:tcW w:w="3212" w:type="dxa"/>
          <w:shd w:val="clear" w:color="auto" w:fill="auto"/>
          <w:vAlign w:val="center"/>
        </w:tcPr>
        <w:p w14:paraId="3B87263F" w14:textId="77777777" w:rsidR="00593264" w:rsidRDefault="00555A45">
          <w:pPr>
            <w:pStyle w:val="Tabelleninhalt"/>
            <w:spacing w:before="0" w:after="0" w:line="240" w:lineRule="auto"/>
          </w:pPr>
          <w:r>
            <w:rPr>
              <w:noProof/>
            </w:rPr>
            <w:drawing>
              <wp:anchor distT="0" distB="0" distL="0" distR="0" simplePos="0" relativeHeight="251657216" behindDoc="0" locked="0" layoutInCell="1" allowOverlap="1" wp14:anchorId="6EE0B5D1" wp14:editId="3DAC0EA2">
                <wp:simplePos x="0" y="0"/>
                <wp:positionH relativeFrom="column">
                  <wp:posOffset>3810</wp:posOffset>
                </wp:positionH>
                <wp:positionV relativeFrom="paragraph">
                  <wp:posOffset>22225</wp:posOffset>
                </wp:positionV>
                <wp:extent cx="1276985" cy="406400"/>
                <wp:effectExtent l="0" t="0" r="0" b="0"/>
                <wp:wrapSquare wrapText="larges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1"/>
                        <a:stretch>
                          <a:fillRect/>
                        </a:stretch>
                      </pic:blipFill>
                      <pic:spPr bwMode="auto">
                        <a:xfrm>
                          <a:off x="0" y="0"/>
                          <a:ext cx="1276985" cy="406400"/>
                        </a:xfrm>
                        <a:prstGeom prst="rect">
                          <a:avLst/>
                        </a:prstGeom>
                      </pic:spPr>
                    </pic:pic>
                  </a:graphicData>
                </a:graphic>
              </wp:anchor>
            </w:drawing>
          </w:r>
        </w:p>
      </w:tc>
      <w:tc>
        <w:tcPr>
          <w:tcW w:w="2236" w:type="dxa"/>
          <w:shd w:val="clear" w:color="auto" w:fill="auto"/>
          <w:vAlign w:val="center"/>
        </w:tcPr>
        <w:p w14:paraId="4AD30B3D" w14:textId="77777777" w:rsidR="00593264" w:rsidRDefault="00593264">
          <w:pPr>
            <w:pStyle w:val="Tabelleninhalt"/>
            <w:spacing w:before="0" w:after="0" w:line="240" w:lineRule="auto"/>
          </w:pPr>
        </w:p>
      </w:tc>
      <w:tc>
        <w:tcPr>
          <w:tcW w:w="4190" w:type="dxa"/>
          <w:shd w:val="clear" w:color="auto" w:fill="auto"/>
          <w:vAlign w:val="center"/>
        </w:tcPr>
        <w:p w14:paraId="1D630086" w14:textId="77777777" w:rsidR="00593264" w:rsidRDefault="00555A45">
          <w:pPr>
            <w:pStyle w:val="Tabelleninhalt"/>
            <w:spacing w:before="0" w:after="0" w:line="240" w:lineRule="auto"/>
            <w:jc w:val="right"/>
          </w:pPr>
          <w:r>
            <w:rPr>
              <w:rFonts w:ascii="Arial Rounded MT Bold" w:hAnsi="Arial Rounded MT Bold"/>
            </w:rPr>
            <w:t xml:space="preserve">Lateinportal </w:t>
          </w:r>
          <w:r>
            <w:rPr>
              <w:rFonts w:ascii="Arial Rounded MT Bold" w:hAnsi="Arial Rounded MT Bold"/>
            </w:rPr>
            <w:br/>
          </w:r>
          <w:r>
            <w:rPr>
              <w:rFonts w:ascii="Arial Rounded MT Bold" w:hAnsi="Arial Rounded MT Bold"/>
            </w:rPr>
            <w:t>Römische Geschichte</w:t>
          </w:r>
          <w:r>
            <w:rPr>
              <w:rFonts w:ascii="Arial Rounded MT Bold" w:hAnsi="Arial Rounded MT Bold"/>
            </w:rPr>
            <w:br/>
          </w:r>
        </w:p>
      </w:tc>
    </w:tr>
  </w:tbl>
  <w:p w14:paraId="7F43A2BB" w14:textId="77777777" w:rsidR="00593264" w:rsidRDefault="00593264">
    <w:pP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6E65" w14:textId="77777777" w:rsidR="00593264" w:rsidRDefault="00593264">
    <w:pPr>
      <w:pStyle w:val="Kopfzeile"/>
      <w:spacing w:before="0" w:after="0" w:line="247" w:lineRule="auto"/>
      <w:rPr>
        <w:sz w:val="4"/>
        <w:szCs w:val="4"/>
      </w:rPr>
    </w:pPr>
  </w:p>
  <w:tbl>
    <w:tblPr>
      <w:tblW w:w="9638" w:type="dxa"/>
      <w:tblCellMar>
        <w:left w:w="0" w:type="dxa"/>
        <w:right w:w="0" w:type="dxa"/>
      </w:tblCellMar>
      <w:tblLook w:val="04A0" w:firstRow="1" w:lastRow="0" w:firstColumn="1" w:lastColumn="0" w:noHBand="0" w:noVBand="1"/>
    </w:tblPr>
    <w:tblGrid>
      <w:gridCol w:w="3212"/>
      <w:gridCol w:w="2236"/>
      <w:gridCol w:w="4190"/>
    </w:tblGrid>
    <w:tr w:rsidR="00593264" w14:paraId="45E62748" w14:textId="77777777">
      <w:trPr>
        <w:trHeight w:val="794"/>
      </w:trPr>
      <w:tc>
        <w:tcPr>
          <w:tcW w:w="3212" w:type="dxa"/>
          <w:shd w:val="clear" w:color="auto" w:fill="auto"/>
          <w:vAlign w:val="center"/>
        </w:tcPr>
        <w:p w14:paraId="1A4EFDFF" w14:textId="77777777" w:rsidR="00593264" w:rsidRDefault="00555A45">
          <w:pPr>
            <w:pStyle w:val="Tabelleninhalt"/>
            <w:spacing w:before="0" w:after="0" w:line="240" w:lineRule="auto"/>
          </w:pPr>
          <w:r>
            <w:rPr>
              <w:noProof/>
            </w:rPr>
            <w:drawing>
              <wp:anchor distT="0" distB="0" distL="0" distR="0" simplePos="0" relativeHeight="251658240" behindDoc="0" locked="0" layoutInCell="1" allowOverlap="1" wp14:anchorId="0CBA3280" wp14:editId="5E2FFD37">
                <wp:simplePos x="0" y="0"/>
                <wp:positionH relativeFrom="column">
                  <wp:posOffset>3810</wp:posOffset>
                </wp:positionH>
                <wp:positionV relativeFrom="paragraph">
                  <wp:posOffset>22225</wp:posOffset>
                </wp:positionV>
                <wp:extent cx="1276985" cy="406400"/>
                <wp:effectExtent l="0" t="0" r="0" b="0"/>
                <wp:wrapSquare wrapText="largest"/>
                <wp:docPr id="2"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pic:cNvPicPr>
                          <a:picLocks noChangeAspect="1" noChangeArrowheads="1"/>
                        </pic:cNvPicPr>
                      </pic:nvPicPr>
                      <pic:blipFill>
                        <a:blip r:embed="rId1"/>
                        <a:stretch>
                          <a:fillRect/>
                        </a:stretch>
                      </pic:blipFill>
                      <pic:spPr bwMode="auto">
                        <a:xfrm>
                          <a:off x="0" y="0"/>
                          <a:ext cx="1276985" cy="406400"/>
                        </a:xfrm>
                        <a:prstGeom prst="rect">
                          <a:avLst/>
                        </a:prstGeom>
                      </pic:spPr>
                    </pic:pic>
                  </a:graphicData>
                </a:graphic>
              </wp:anchor>
            </w:drawing>
          </w:r>
        </w:p>
      </w:tc>
      <w:tc>
        <w:tcPr>
          <w:tcW w:w="2236" w:type="dxa"/>
          <w:shd w:val="clear" w:color="auto" w:fill="auto"/>
          <w:vAlign w:val="center"/>
        </w:tcPr>
        <w:p w14:paraId="6372E94A" w14:textId="77777777" w:rsidR="00593264" w:rsidRDefault="00593264">
          <w:pPr>
            <w:pStyle w:val="Tabelleninhalt"/>
            <w:spacing w:before="0" w:after="0" w:line="240" w:lineRule="auto"/>
          </w:pPr>
        </w:p>
      </w:tc>
      <w:tc>
        <w:tcPr>
          <w:tcW w:w="4190" w:type="dxa"/>
          <w:shd w:val="clear" w:color="auto" w:fill="auto"/>
          <w:vAlign w:val="center"/>
        </w:tcPr>
        <w:p w14:paraId="4A6CAAED" w14:textId="77777777" w:rsidR="00593264" w:rsidRDefault="00555A45">
          <w:pPr>
            <w:pStyle w:val="Tabelleninhalt"/>
            <w:spacing w:before="0" w:after="0" w:line="240" w:lineRule="auto"/>
            <w:jc w:val="right"/>
          </w:pPr>
          <w:r>
            <w:rPr>
              <w:rFonts w:ascii="Arial Rounded MT Bold" w:hAnsi="Arial Rounded MT Bold"/>
            </w:rPr>
            <w:t xml:space="preserve">Lateinportal </w:t>
          </w:r>
          <w:r>
            <w:rPr>
              <w:rFonts w:ascii="Arial Rounded MT Bold" w:hAnsi="Arial Rounded MT Bold"/>
            </w:rPr>
            <w:br/>
          </w:r>
          <w:r>
            <w:rPr>
              <w:rFonts w:ascii="Arial Rounded MT Bold" w:hAnsi="Arial Rounded MT Bold"/>
            </w:rPr>
            <w:t>Römische Geschichte</w:t>
          </w:r>
          <w:r>
            <w:rPr>
              <w:rFonts w:ascii="Arial Rounded MT Bold" w:hAnsi="Arial Rounded MT Bold"/>
            </w:rPr>
            <w:br/>
          </w:r>
        </w:p>
      </w:tc>
    </w:tr>
  </w:tbl>
  <w:p w14:paraId="297DBF30" w14:textId="77777777" w:rsidR="00593264" w:rsidRDefault="00593264">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E056CB"/>
    <w:multiLevelType w:val="multilevel"/>
    <w:tmpl w:val="F7F88E5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655B3188"/>
    <w:multiLevelType w:val="multilevel"/>
    <w:tmpl w:val="CB52C6A2"/>
    <w:lvl w:ilvl="0">
      <w:start w:val="1"/>
      <w:numFmt w:val="none"/>
      <w:pStyle w:val="berschrif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8867E7D"/>
    <w:multiLevelType w:val="multilevel"/>
    <w:tmpl w:val="C248DBB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3264"/>
    <w:rsid w:val="00555A45"/>
    <w:rsid w:val="00593264"/>
    <w:rsid w:val="007846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E753"/>
  <w15:docId w15:val="{CAFCC436-7057-4702-A9B3-FB4679DF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NSimSun" w:hAnsi="Arial" w:cs="Lucida Sans"/>
        <w:kern w:val="2"/>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57" w:after="57" w:line="288" w:lineRule="auto"/>
    </w:pPr>
    <w:rPr>
      <w:sz w:val="22"/>
    </w:rPr>
  </w:style>
  <w:style w:type="paragraph" w:styleId="berschrift1">
    <w:name w:val="heading 1"/>
    <w:basedOn w:val="berschrift"/>
    <w:next w:val="Textkrper"/>
    <w:uiPriority w:val="9"/>
    <w:qFormat/>
    <w:pPr>
      <w:numPr>
        <w:numId w:val="1"/>
      </w:numPr>
      <w:outlineLvl w:val="0"/>
    </w:pPr>
    <w:rPr>
      <w:b/>
      <w:bCs/>
      <w:sz w:val="42"/>
      <w:szCs w:val="36"/>
    </w:rPr>
  </w:style>
  <w:style w:type="paragraph" w:styleId="berschrift3">
    <w:name w:val="heading 3"/>
    <w:basedOn w:val="berschrift"/>
    <w:next w:val="Textkrper"/>
    <w:uiPriority w:val="9"/>
    <w:unhideWhenUsed/>
    <w:qFormat/>
    <w:pPr>
      <w:spacing w:before="140"/>
      <w:outlineLvl w:val="2"/>
    </w:pPr>
    <w:rPr>
      <w:rFonts w:ascii="Liberation Serif" w:eastAsia="NSimSun" w:hAnsi="Liberation Serif"/>
      <w:b/>
      <w:bCs/>
      <w:sz w:val="28"/>
    </w:rPr>
  </w:style>
  <w:style w:type="paragraph" w:styleId="berschrift4">
    <w:name w:val="heading 4"/>
    <w:basedOn w:val="berschrift"/>
    <w:next w:val="Textkrper"/>
    <w:uiPriority w:val="9"/>
    <w:unhideWhenUsed/>
    <w:qFormat/>
    <w:pPr>
      <w:spacing w:before="120"/>
      <w:outlineLvl w:val="3"/>
    </w:pPr>
    <w:rPr>
      <w:rFonts w:ascii="Liberation Serif" w:eastAsia="NSimSun" w:hAnsi="Liberation Serif"/>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000080"/>
      <w:u w:val="single"/>
      <w:lang/>
    </w:rPr>
  </w:style>
  <w:style w:type="character" w:customStyle="1" w:styleId="Starkbetont">
    <w:name w:val="Stark betont"/>
    <w:qFormat/>
    <w:rPr>
      <w:b/>
      <w:bCs/>
    </w:rPr>
  </w:style>
  <w:style w:type="character" w:customStyle="1" w:styleId="Aufzhlungszeichen1">
    <w:name w:val="Aufzählungszeichen1"/>
    <w:qFormat/>
    <w:rPr>
      <w:rFonts w:ascii="OpenSymbol" w:eastAsia="OpenSymbol" w:hAnsi="OpenSymbol" w:cs="OpenSymbol"/>
    </w:rPr>
  </w:style>
  <w:style w:type="character" w:customStyle="1" w:styleId="Nummerierungszeichen">
    <w:name w:val="Nummerierungszeichen"/>
    <w:qFormat/>
  </w:style>
  <w:style w:type="character" w:customStyle="1" w:styleId="Betont">
    <w:name w:val="Betont"/>
    <w:qFormat/>
    <w:rPr>
      <w:i/>
      <w:iCs/>
    </w:rPr>
  </w:style>
  <w:style w:type="character" w:styleId="Funotenzeichen">
    <w:name w:val="footnote reference"/>
    <w:qFormat/>
  </w:style>
  <w:style w:type="character" w:customStyle="1" w:styleId="Funotenanker">
    <w:name w:val="Fußnotenanker"/>
    <w:rPr>
      <w:vertAlign w:val="superscript"/>
    </w:rPr>
  </w:style>
  <w:style w:type="character" w:customStyle="1" w:styleId="Verzeichnissprung">
    <w:name w:val="Verzeichnissprung"/>
    <w:qFormat/>
  </w:style>
  <w:style w:type="character" w:customStyle="1" w:styleId="Endnotenanker">
    <w:name w:val="Endnotenanker"/>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eastAsia="Microsoft YaHei"/>
      <w:sz w:val="32"/>
      <w:szCs w:val="28"/>
    </w:rPr>
  </w:style>
  <w:style w:type="paragraph" w:styleId="Textkrper">
    <w:name w:val="Body Text"/>
    <w:basedOn w:val="Standard"/>
    <w:pPr>
      <w:spacing w:before="0"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Kopf-undFuzeile"/>
  </w:style>
  <w:style w:type="paragraph" w:customStyle="1" w:styleId="Tabelleninhalt">
    <w:name w:val="Tabelleninhalt"/>
    <w:basedOn w:val="Standard"/>
    <w:qFormat/>
    <w:pPr>
      <w:suppressLineNumbers/>
    </w:pPr>
  </w:style>
  <w:style w:type="paragraph" w:styleId="Fuzeile">
    <w:name w:val="footer"/>
    <w:basedOn w:val="Kopf-undFuzeile"/>
  </w:style>
  <w:style w:type="paragraph" w:customStyle="1" w:styleId="lbs-dokumente">
    <w:name w:val="lbs-dokumente"/>
    <w:qFormat/>
    <w:pPr>
      <w:spacing w:after="198" w:line="360" w:lineRule="auto"/>
    </w:pPr>
    <w:rPr>
      <w:sz w:val="22"/>
    </w:rPr>
  </w:style>
  <w:style w:type="paragraph" w:customStyle="1" w:styleId="Tabellenberschrift">
    <w:name w:val="Tabellenüberschrift"/>
    <w:basedOn w:val="Tabelleninhalt"/>
    <w:qFormat/>
    <w:pPr>
      <w:jc w:val="center"/>
    </w:pPr>
    <w:rPr>
      <w:b/>
      <w:bCs/>
    </w:rPr>
  </w:style>
  <w:style w:type="paragraph" w:styleId="Funotentext">
    <w:name w:val="footnote text"/>
    <w:basedOn w:val="Standard"/>
    <w:pPr>
      <w:suppressLineNumbers/>
      <w:ind w:left="339" w:hanging="339"/>
    </w:pPr>
    <w:rPr>
      <w:sz w:val="20"/>
      <w:szCs w:val="20"/>
    </w:rPr>
  </w:style>
  <w:style w:type="paragraph" w:styleId="RGV-berschrift">
    <w:name w:val="toa heading"/>
    <w:basedOn w:val="berschrift"/>
    <w:pPr>
      <w:suppressLineNumbers/>
    </w:pPr>
    <w:rPr>
      <w:b/>
      <w:bCs/>
      <w:szCs w:val="32"/>
    </w:rPr>
  </w:style>
  <w:style w:type="paragraph" w:styleId="Verzeichnis1">
    <w:name w:val="toc 1"/>
    <w:basedOn w:val="Verzeichnis"/>
    <w:pPr>
      <w:tabs>
        <w:tab w:val="right" w:leader="dot" w:pos="9638"/>
      </w:tabs>
    </w:pPr>
  </w:style>
  <w:style w:type="paragraph" w:styleId="Verzeichnis3">
    <w:name w:val="toc 3"/>
    <w:basedOn w:val="Verzeichnis"/>
    <w:uiPriority w:val="39"/>
    <w:pPr>
      <w:tabs>
        <w:tab w:val="right" w:leader="dot" w:pos="9072"/>
      </w:tabs>
      <w:ind w:left="566"/>
    </w:pPr>
  </w:style>
  <w:style w:type="paragraph" w:styleId="Verzeichnis4">
    <w:name w:val="toc 4"/>
    <w:basedOn w:val="Verzeichnis"/>
    <w:uiPriority w:val="39"/>
    <w:pPr>
      <w:tabs>
        <w:tab w:val="right" w:leader="dot" w:pos="8789"/>
      </w:tabs>
      <w:ind w:left="849"/>
    </w:pPr>
  </w:style>
  <w:style w:type="paragraph" w:customStyle="1" w:styleId="DocumentMap">
    <w:name w:val="DocumentMap"/>
    <w:qFormat/>
    <w:rPr>
      <w:rFonts w:cs="Arial"/>
    </w:rPr>
  </w:style>
  <w:style w:type="character" w:styleId="Hyperlink">
    <w:name w:val="Hyperlink"/>
    <w:basedOn w:val="Absatz-Standardschriftart"/>
    <w:uiPriority w:val="99"/>
    <w:unhideWhenUsed/>
    <w:rsid w:val="007846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schule-bw.de/ueber-uns/urheberrechtsinformationen/urheberrechtliche-hinweise" TargetMode="External"/><Relationship Id="rId4" Type="http://schemas.openxmlformats.org/officeDocument/2006/relationships/webSettings" Target="webSettings.xml"/><Relationship Id="rId9" Type="http://schemas.openxmlformats.org/officeDocument/2006/relationships/hyperlink" Target="https://www.schule-bw.de//faecher-und-schularten/sprachen-und-literatur/latein/antike-kultur/roemische-geschichte/roemische-republik-und-demokratie.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chule-bw.de/faecher-und-schularten/sprachen-und-literatur/latein/sprache/konjugation-des-verb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chule-bw.de/faecher-und-schularten/sprachen-und-literatur/latein/sprache/konjugation-des-verb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mi.bund.de/DE/themen/verfassung/wahlrecht/auslaenderwahlrecht/auslaenderwahlrecht-node.html" TargetMode="External"/><Relationship Id="rId3" Type="http://schemas.openxmlformats.org/officeDocument/2006/relationships/hyperlink" Target="https://de.wikipedia.org/wiki/Praetur" TargetMode="External"/><Relationship Id="rId7" Type="http://schemas.openxmlformats.org/officeDocument/2006/relationships/hyperlink" Target="https://de.wikipedia.org/wiki/R&#246;mischer_Senat" TargetMode="External"/><Relationship Id="rId2" Type="http://schemas.openxmlformats.org/officeDocument/2006/relationships/hyperlink" Target="https://latin.packhum.org/loc/914/1/0" TargetMode="External"/><Relationship Id="rId1" Type="http://schemas.openxmlformats.org/officeDocument/2006/relationships/hyperlink" Target="https://www.schule-bw.de/faecher-und-schularten/sprachen-und-literatur/latein/antike-kultur/roemische-geschichte/roemische-geschichte-zeitleiste-ganz.html" TargetMode="External"/><Relationship Id="rId6" Type="http://schemas.openxmlformats.org/officeDocument/2006/relationships/hyperlink" Target="https://de.wikipedia.org/wiki/Comitia_centuriata" TargetMode="External"/><Relationship Id="rId5" Type="http://schemas.openxmlformats.org/officeDocument/2006/relationships/hyperlink" Target="https://www.britannica.com/topic/fasti-Roman-calendar" TargetMode="External"/><Relationship Id="rId10" Type="http://schemas.openxmlformats.org/officeDocument/2006/relationships/hyperlink" Target="https://www.schule-bw.de/faecher-und-schularten/sprachen-und-literatur/latein/informationen-zum-fach/bibliographien/bibliographie-roemische-geschichte.html" TargetMode="External"/><Relationship Id="rId4" Type="http://schemas.openxmlformats.org/officeDocument/2006/relationships/hyperlink" Target="https://de.wikipedia.org/wiki/Liste_der_r&#246;mischen_Konsuln" TargetMode="External"/><Relationship Id="rId9" Type="http://schemas.openxmlformats.org/officeDocument/2006/relationships/hyperlink" Target="https://www.bpb.de/175898/prinzipien-republikanischen-denke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2276</Words>
  <Characters>14346</Characters>
  <Application>Microsoft Office Word</Application>
  <DocSecurity>0</DocSecurity>
  <Lines>119</Lines>
  <Paragraphs>33</Paragraphs>
  <ScaleCrop>false</ScaleCrop>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Entstehung der römischen Republik</dc:title>
  <dc:subject/>
  <dc:creator/>
  <dc:description/>
  <cp:lastModifiedBy>Tilman Bechthold-Hengelhaupt</cp:lastModifiedBy>
  <cp:revision>2</cp:revision>
  <dcterms:created xsi:type="dcterms:W3CDTF">2020-04-15T18:03:00Z</dcterms:created>
  <dcterms:modified xsi:type="dcterms:W3CDTF">2020-05-23T17:59:00Z</dcterms:modified>
  <dc:language>de-DE</dc:language>
</cp:coreProperties>
</file>