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7FD09" w14:textId="77777777" w:rsidR="001A5375" w:rsidRPr="001A5375" w:rsidRDefault="00F118F3" w:rsidP="00F118F3">
      <w:pPr>
        <w:pStyle w:val="berschrift4"/>
      </w:pPr>
      <w:bookmarkStart w:id="0" w:name="_GoBack"/>
      <w:bookmarkEnd w:id="0"/>
      <w:r>
        <w:t xml:space="preserve">Cicero, De officiis 1, 11-13: </w:t>
      </w:r>
      <w:r w:rsidR="001A5375" w:rsidRPr="001A5375">
        <w:t>Der Unterschied zwischen Mensch und Tier</w:t>
      </w:r>
    </w:p>
    <w:p w14:paraId="63430135" w14:textId="77777777" w:rsidR="001A5375" w:rsidRPr="001A5375" w:rsidRDefault="001A5375" w:rsidP="001A5375">
      <w:pPr>
        <w:rPr>
          <w:rFonts w:ascii="Arial" w:hAnsi="Arial"/>
          <w:szCs w:val="21"/>
        </w:rPr>
      </w:pPr>
      <w:r w:rsidRPr="001A5375">
        <w:rPr>
          <w:rFonts w:ascii="Arial" w:hAnsi="Arial"/>
          <w:szCs w:val="21"/>
        </w:rPr>
        <w:t>In seiner Schrift </w:t>
      </w:r>
      <w:r w:rsidRPr="001A5375">
        <w:rPr>
          <w:rFonts w:ascii="Arial" w:hAnsi="Arial"/>
          <w:i/>
          <w:iCs/>
          <w:szCs w:val="21"/>
        </w:rPr>
        <w:t>De officiis</w:t>
      </w:r>
      <w:r w:rsidRPr="001A5375">
        <w:rPr>
          <w:rFonts w:ascii="Arial" w:hAnsi="Arial"/>
          <w:szCs w:val="21"/>
        </w:rPr>
        <w:t xml:space="preserve"> orientiert sich Cicero an einer verloren gegangenen Schrift des griechischen Philosophen </w:t>
      </w:r>
      <w:proofErr w:type="spellStart"/>
      <w:r w:rsidRPr="001A5375">
        <w:rPr>
          <w:rFonts w:ascii="Arial" w:hAnsi="Arial"/>
          <w:szCs w:val="21"/>
        </w:rPr>
        <w:t>Panaitios</w:t>
      </w:r>
      <w:proofErr w:type="spellEnd"/>
      <w:r w:rsidRPr="001A5375">
        <w:rPr>
          <w:rFonts w:ascii="Arial" w:hAnsi="Arial"/>
          <w:szCs w:val="21"/>
        </w:rPr>
        <w:t xml:space="preserve">. Er stellt in diesem Auszug aus dem 1. Buch den Unterschied zwischen Mensch und Tier dar, wie er in der klassischen Philosophie der Griechen bei Aristoteles entworfen und von den Stoikern weiterentwickelt worden war. Diese Ideen orientieren sich am Begriff der </w:t>
      </w:r>
      <w:proofErr w:type="spellStart"/>
      <w:r w:rsidRPr="001A5375">
        <w:rPr>
          <w:rFonts w:ascii="Arial" w:hAnsi="Arial"/>
          <w:szCs w:val="21"/>
        </w:rPr>
        <w:t>Oikeiosis</w:t>
      </w:r>
      <w:proofErr w:type="spellEnd"/>
      <w:r w:rsidRPr="001A5375">
        <w:rPr>
          <w:rFonts w:ascii="Arial" w:hAnsi="Arial"/>
          <w:szCs w:val="21"/>
        </w:rPr>
        <w:t xml:space="preserve"> (gr. </w:t>
      </w:r>
      <w:proofErr w:type="spellStart"/>
      <w:r w:rsidRPr="001A5375">
        <w:rPr>
          <w:rFonts w:ascii="Arial" w:hAnsi="Arial"/>
          <w:szCs w:val="21"/>
        </w:rPr>
        <w:t>οἰκείωσις</w:t>
      </w:r>
      <w:proofErr w:type="spellEnd"/>
      <w:r w:rsidRPr="001A5375">
        <w:rPr>
          <w:rFonts w:ascii="Arial" w:hAnsi="Arial"/>
          <w:szCs w:val="21"/>
        </w:rPr>
        <w:t>), mit dem eine ursprüngliche Übereinstimmung zwischen der Natur und den Lebewesen gemeint ist.</w:t>
      </w:r>
    </w:p>
    <w:p w14:paraId="1C923E46" w14:textId="77777777" w:rsidR="001A5375" w:rsidRPr="001A5375" w:rsidRDefault="001A5375" w:rsidP="001A5375">
      <w:pPr>
        <w:rPr>
          <w:rFonts w:ascii="Arial" w:hAnsi="Arial"/>
          <w:szCs w:val="21"/>
        </w:rPr>
      </w:pPr>
      <w:r w:rsidRPr="001A5375">
        <w:rPr>
          <w:rFonts w:ascii="Arial" w:hAnsi="Arial"/>
          <w:szCs w:val="21"/>
        </w:rPr>
        <w:t>Für Lehrkräfte: Erläuterungen zur Geschichte und Bedeutung dieses Begriffs sowie Vorschläge für eine Unterrichtseinheit, die sich am Verhältnis von Mensch und Tier orientiert, findet man im Dokument </w:t>
      </w:r>
      <w:hyperlink r:id="rId8" w:tgtFrame="_blank" w:tooltip="Erläuterungen zum Begriff der Oikeiosis" w:history="1">
        <w:r w:rsidRPr="001A5375">
          <w:rPr>
            <w:rStyle w:val="Hyperlink"/>
            <w:rFonts w:ascii="Arial" w:hAnsi="Arial"/>
            <w:szCs w:val="21"/>
          </w:rPr>
          <w:t xml:space="preserve">Grundzüge des Begriffs der </w:t>
        </w:r>
        <w:proofErr w:type="spellStart"/>
        <w:r w:rsidRPr="001A5375">
          <w:rPr>
            <w:rStyle w:val="Hyperlink"/>
            <w:rFonts w:ascii="Arial" w:hAnsi="Arial"/>
            <w:szCs w:val="21"/>
          </w:rPr>
          <w:t>Oikeiosis</w:t>
        </w:r>
        <w:proofErr w:type="spellEnd"/>
      </w:hyperlink>
      <w:r w:rsidRPr="001A5375">
        <w:rPr>
          <w:rFonts w:ascii="Arial" w:hAnsi="Arial"/>
          <w:szCs w:val="21"/>
        </w:rPr>
        <w:t>.</w:t>
      </w:r>
    </w:p>
    <w:p w14:paraId="316BCC1D" w14:textId="77777777" w:rsidR="001A5375" w:rsidRPr="001A5375" w:rsidRDefault="001A5375" w:rsidP="001A5375">
      <w:pPr>
        <w:rPr>
          <w:rFonts w:ascii="Arial" w:hAnsi="Arial"/>
          <w:szCs w:val="21"/>
        </w:rPr>
      </w:pPr>
      <w:r w:rsidRPr="001A5375">
        <w:rPr>
          <w:rFonts w:ascii="Arial" w:hAnsi="Arial"/>
          <w:szCs w:val="21"/>
        </w:rPr>
        <w:t>Für Schülerinnen und Schüler gibt es ein </w:t>
      </w:r>
      <w:r w:rsidRPr="001A5375">
        <w:rPr>
          <w:rFonts w:ascii="Arial" w:hAnsi="Arial"/>
          <w:b/>
          <w:bCs/>
          <w:szCs w:val="21"/>
        </w:rPr>
        <w:t>Arbeitsblatt</w:t>
      </w:r>
      <w:r w:rsidRPr="001A5375">
        <w:rPr>
          <w:rFonts w:ascii="Arial" w:hAnsi="Arial"/>
          <w:szCs w:val="21"/>
        </w:rPr>
        <w:t>: </w:t>
      </w:r>
      <w:hyperlink r:id="rId9" w:tgtFrame="_blank" w:tooltip="Arbeitsblatt für Schülerinnen und Schüler zum Thema Mensch und Tier" w:history="1">
        <w:r w:rsidRPr="001A5375">
          <w:rPr>
            <w:rStyle w:val="Hyperlink"/>
            <w:rFonts w:ascii="Arial" w:hAnsi="Arial"/>
            <w:szCs w:val="21"/>
          </w:rPr>
          <w:t xml:space="preserve">Mensch und Natur - Grundzüge der </w:t>
        </w:r>
        <w:proofErr w:type="spellStart"/>
        <w:r w:rsidRPr="001A5375">
          <w:rPr>
            <w:rStyle w:val="Hyperlink"/>
            <w:rFonts w:ascii="Arial" w:hAnsi="Arial"/>
            <w:szCs w:val="21"/>
          </w:rPr>
          <w:t>Oikeiosis</w:t>
        </w:r>
        <w:proofErr w:type="spellEnd"/>
      </w:hyperlink>
      <w:r w:rsidRPr="001A5375">
        <w:rPr>
          <w:rFonts w:ascii="Arial" w:hAnsi="Arial"/>
          <w:szCs w:val="21"/>
        </w:rPr>
        <w:t> mit Anregungen zur Vertiefung und Weiterarbeit.</w:t>
      </w:r>
    </w:p>
    <w:tbl>
      <w:tblPr>
        <w:tblW w:w="9631"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shd w:val="clear" w:color="auto" w:fill="FFFFFF"/>
        <w:tblCellMar>
          <w:top w:w="60" w:type="dxa"/>
          <w:left w:w="60" w:type="dxa"/>
          <w:bottom w:w="60" w:type="dxa"/>
          <w:right w:w="60" w:type="dxa"/>
        </w:tblCellMar>
        <w:tblLook w:val="04A0" w:firstRow="1" w:lastRow="0" w:firstColumn="1" w:lastColumn="0" w:noHBand="0" w:noVBand="1"/>
      </w:tblPr>
      <w:tblGrid>
        <w:gridCol w:w="4599"/>
        <w:gridCol w:w="5032"/>
      </w:tblGrid>
      <w:tr w:rsidR="001A5375" w:rsidRPr="001A5375" w14:paraId="3AC1B784" w14:textId="77777777" w:rsidTr="001A5375">
        <w:tc>
          <w:tcPr>
            <w:tcW w:w="0" w:type="auto"/>
            <w:shd w:val="clear" w:color="auto" w:fill="FFFFFF"/>
            <w:tcMar>
              <w:top w:w="225" w:type="dxa"/>
              <w:left w:w="225" w:type="dxa"/>
              <w:bottom w:w="225" w:type="dxa"/>
              <w:right w:w="225" w:type="dxa"/>
            </w:tcMar>
            <w:hideMark/>
          </w:tcPr>
          <w:p w14:paraId="0F822F5B" w14:textId="77777777" w:rsidR="001A5375" w:rsidRPr="000F48C0" w:rsidRDefault="001A5375" w:rsidP="001A5375">
            <w:pPr>
              <w:rPr>
                <w:rFonts w:ascii="Arial" w:hAnsi="Arial"/>
                <w:szCs w:val="21"/>
                <w:lang w:val="la-Latn"/>
              </w:rPr>
            </w:pPr>
            <w:r w:rsidRPr="000F48C0">
              <w:rPr>
                <w:rFonts w:ascii="Arial" w:hAnsi="Arial"/>
                <w:szCs w:val="21"/>
                <w:lang w:val="la-Latn"/>
              </w:rPr>
              <w:t>Text</w:t>
            </w:r>
          </w:p>
        </w:tc>
        <w:tc>
          <w:tcPr>
            <w:tcW w:w="5032" w:type="dxa"/>
            <w:shd w:val="clear" w:color="auto" w:fill="FFFFFF"/>
            <w:tcMar>
              <w:top w:w="225" w:type="dxa"/>
              <w:left w:w="225" w:type="dxa"/>
              <w:bottom w:w="225" w:type="dxa"/>
              <w:right w:w="225" w:type="dxa"/>
            </w:tcMar>
            <w:hideMark/>
          </w:tcPr>
          <w:p w14:paraId="105F8017" w14:textId="77777777" w:rsidR="001A5375" w:rsidRPr="001A5375" w:rsidRDefault="001A5375" w:rsidP="006375E7">
            <w:pPr>
              <w:spacing w:before="0" w:after="120"/>
              <w:rPr>
                <w:rFonts w:ascii="Arial" w:hAnsi="Arial"/>
                <w:szCs w:val="21"/>
              </w:rPr>
            </w:pPr>
            <w:r w:rsidRPr="001A5375">
              <w:rPr>
                <w:rFonts w:ascii="Arial" w:hAnsi="Arial"/>
                <w:szCs w:val="21"/>
              </w:rPr>
              <w:t>Übersetzungshilfen</w:t>
            </w:r>
          </w:p>
        </w:tc>
      </w:tr>
      <w:tr w:rsidR="001A5375" w:rsidRPr="001A5375" w14:paraId="30BD06E0" w14:textId="77777777" w:rsidTr="001A5375">
        <w:tc>
          <w:tcPr>
            <w:tcW w:w="0" w:type="auto"/>
            <w:shd w:val="clear" w:color="auto" w:fill="FFFFFF"/>
            <w:tcMar>
              <w:top w:w="225" w:type="dxa"/>
              <w:left w:w="225" w:type="dxa"/>
              <w:bottom w:w="225" w:type="dxa"/>
              <w:right w:w="225" w:type="dxa"/>
            </w:tcMar>
            <w:hideMark/>
          </w:tcPr>
          <w:p w14:paraId="34AA0F88" w14:textId="77777777" w:rsidR="001A5375" w:rsidRPr="000F48C0" w:rsidRDefault="001A5375" w:rsidP="001A5375">
            <w:pPr>
              <w:rPr>
                <w:rFonts w:ascii="Arial" w:hAnsi="Arial"/>
                <w:szCs w:val="21"/>
                <w:lang w:val="la-Latn"/>
              </w:rPr>
            </w:pPr>
            <w:r w:rsidRPr="000F48C0">
              <w:rPr>
                <w:rFonts w:ascii="Arial" w:hAnsi="Arial"/>
                <w:szCs w:val="21"/>
                <w:lang w:val="la-Latn"/>
              </w:rPr>
              <w:t>[11] Principio generi animantium omni est a natura tributum, ut se, vitam corpusque tueatur, declinet ea, quae nocitura videantur, omniaque, quae sint ad vivendum necessaria, anquirat et paret, ut pastum, ut latibula, ut alia generis eiusdem.</w:t>
            </w:r>
          </w:p>
        </w:tc>
        <w:tc>
          <w:tcPr>
            <w:tcW w:w="5032" w:type="dxa"/>
            <w:shd w:val="clear" w:color="auto" w:fill="FFFFFF"/>
            <w:tcMar>
              <w:top w:w="225" w:type="dxa"/>
              <w:left w:w="225" w:type="dxa"/>
              <w:bottom w:w="225" w:type="dxa"/>
              <w:right w:w="225" w:type="dxa"/>
            </w:tcMar>
            <w:hideMark/>
          </w:tcPr>
          <w:p w14:paraId="7B22A04E"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declinare</w:t>
            </w:r>
            <w:proofErr w:type="spellEnd"/>
            <w:r w:rsidRPr="001A5375">
              <w:rPr>
                <w:rFonts w:ascii="Arial" w:hAnsi="Arial"/>
                <w:szCs w:val="21"/>
              </w:rPr>
              <w:t>: abweisen</w:t>
            </w:r>
          </w:p>
          <w:p w14:paraId="7A6CD09C"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nociturus</w:t>
            </w:r>
            <w:proofErr w:type="spellEnd"/>
            <w:r w:rsidRPr="001A5375">
              <w:rPr>
                <w:rFonts w:ascii="Arial" w:hAnsi="Arial"/>
                <w:szCs w:val="21"/>
              </w:rPr>
              <w:t xml:space="preserve">: Partizip Futur </w:t>
            </w:r>
            <w:proofErr w:type="spellStart"/>
            <w:r w:rsidRPr="001A5375">
              <w:rPr>
                <w:rFonts w:ascii="Arial" w:hAnsi="Arial"/>
                <w:szCs w:val="21"/>
              </w:rPr>
              <w:t>Aktiv</w:t>
            </w:r>
            <w:proofErr w:type="spellEnd"/>
            <w:r w:rsidRPr="001A5375">
              <w:rPr>
                <w:rFonts w:ascii="Arial" w:hAnsi="Arial"/>
                <w:szCs w:val="21"/>
              </w:rPr>
              <w:t xml:space="preserve"> zu </w:t>
            </w:r>
            <w:proofErr w:type="spellStart"/>
            <w:r w:rsidRPr="001A5375">
              <w:rPr>
                <w:rFonts w:ascii="Arial" w:hAnsi="Arial"/>
                <w:i/>
                <w:iCs/>
                <w:szCs w:val="21"/>
              </w:rPr>
              <w:t>nocere</w:t>
            </w:r>
            <w:proofErr w:type="spellEnd"/>
            <w:r w:rsidRPr="001A5375">
              <w:rPr>
                <w:rFonts w:ascii="Arial" w:hAnsi="Arial"/>
                <w:szCs w:val="21"/>
              </w:rPr>
              <w:t>; hier: schädlich</w:t>
            </w:r>
          </w:p>
          <w:p w14:paraId="3B8BEFAD" w14:textId="77777777" w:rsidR="001A5375" w:rsidRPr="001A5375" w:rsidRDefault="001A5375" w:rsidP="006375E7">
            <w:pPr>
              <w:spacing w:before="0" w:after="120"/>
              <w:rPr>
                <w:rFonts w:ascii="Arial" w:hAnsi="Arial"/>
                <w:szCs w:val="21"/>
              </w:rPr>
            </w:pPr>
            <w:r w:rsidRPr="001A5375">
              <w:rPr>
                <w:rFonts w:ascii="Arial" w:hAnsi="Arial"/>
                <w:szCs w:val="21"/>
              </w:rPr>
              <w:t xml:space="preserve">ad </w:t>
            </w:r>
            <w:proofErr w:type="spellStart"/>
            <w:r w:rsidRPr="001A5375">
              <w:rPr>
                <w:rFonts w:ascii="Arial" w:hAnsi="Arial"/>
                <w:szCs w:val="21"/>
              </w:rPr>
              <w:t>vivendum</w:t>
            </w:r>
            <w:proofErr w:type="spellEnd"/>
            <w:r w:rsidRPr="001A5375">
              <w:rPr>
                <w:rFonts w:ascii="Arial" w:hAnsi="Arial"/>
                <w:szCs w:val="21"/>
              </w:rPr>
              <w:t>: Gerundium</w:t>
            </w:r>
          </w:p>
          <w:p w14:paraId="02769532"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anquirere</w:t>
            </w:r>
            <w:proofErr w:type="spellEnd"/>
            <w:r w:rsidRPr="001A5375">
              <w:rPr>
                <w:rFonts w:ascii="Arial" w:hAnsi="Arial"/>
                <w:szCs w:val="21"/>
              </w:rPr>
              <w:t xml:space="preserve">, </w:t>
            </w:r>
            <w:proofErr w:type="spellStart"/>
            <w:r w:rsidRPr="001A5375">
              <w:rPr>
                <w:rFonts w:ascii="Arial" w:hAnsi="Arial"/>
                <w:szCs w:val="21"/>
              </w:rPr>
              <w:t>anquiro</w:t>
            </w:r>
            <w:proofErr w:type="spellEnd"/>
            <w:r w:rsidRPr="001A5375">
              <w:rPr>
                <w:rFonts w:ascii="Arial" w:hAnsi="Arial"/>
                <w:szCs w:val="21"/>
              </w:rPr>
              <w:t xml:space="preserve">, </w:t>
            </w:r>
            <w:proofErr w:type="spellStart"/>
            <w:r w:rsidRPr="001A5375">
              <w:rPr>
                <w:rFonts w:ascii="Arial" w:hAnsi="Arial"/>
                <w:szCs w:val="21"/>
              </w:rPr>
              <w:t>anquisivi</w:t>
            </w:r>
            <w:proofErr w:type="spellEnd"/>
            <w:r w:rsidRPr="001A5375">
              <w:rPr>
                <w:rFonts w:ascii="Arial" w:hAnsi="Arial"/>
                <w:szCs w:val="21"/>
              </w:rPr>
              <w:t xml:space="preserve">, </w:t>
            </w:r>
            <w:proofErr w:type="spellStart"/>
            <w:r w:rsidRPr="001A5375">
              <w:rPr>
                <w:rFonts w:ascii="Arial" w:hAnsi="Arial"/>
                <w:szCs w:val="21"/>
              </w:rPr>
              <w:t>anquisitum</w:t>
            </w:r>
            <w:proofErr w:type="spellEnd"/>
            <w:r w:rsidRPr="001A5375">
              <w:rPr>
                <w:rFonts w:ascii="Arial" w:hAnsi="Arial"/>
                <w:szCs w:val="21"/>
              </w:rPr>
              <w:t xml:space="preserve"> (Kompositum von </w:t>
            </w:r>
            <w:proofErr w:type="spellStart"/>
            <w:r w:rsidRPr="001A5375">
              <w:rPr>
                <w:rFonts w:ascii="Arial" w:hAnsi="Arial"/>
                <w:szCs w:val="21"/>
              </w:rPr>
              <w:t>quaerere</w:t>
            </w:r>
            <w:proofErr w:type="spellEnd"/>
            <w:r w:rsidRPr="001A5375">
              <w:rPr>
                <w:rFonts w:ascii="Arial" w:hAnsi="Arial"/>
                <w:szCs w:val="21"/>
              </w:rPr>
              <w:t>): suchen, erstreben</w:t>
            </w:r>
          </w:p>
          <w:p w14:paraId="1A464E5F"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pastum</w:t>
            </w:r>
            <w:proofErr w:type="spellEnd"/>
            <w:r w:rsidRPr="001A5375">
              <w:rPr>
                <w:rFonts w:ascii="Arial" w:hAnsi="Arial"/>
                <w:szCs w:val="21"/>
              </w:rPr>
              <w:t xml:space="preserve">, </w:t>
            </w:r>
            <w:proofErr w:type="spellStart"/>
            <w:r w:rsidRPr="001A5375">
              <w:rPr>
                <w:rFonts w:ascii="Arial" w:hAnsi="Arial"/>
                <w:szCs w:val="21"/>
              </w:rPr>
              <w:t>pasti</w:t>
            </w:r>
            <w:proofErr w:type="spellEnd"/>
            <w:r w:rsidRPr="001A5375">
              <w:rPr>
                <w:rFonts w:ascii="Arial" w:hAnsi="Arial"/>
                <w:szCs w:val="21"/>
              </w:rPr>
              <w:t>, n.: die Ernährung</w:t>
            </w:r>
          </w:p>
          <w:p w14:paraId="163956A0"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latibulum</w:t>
            </w:r>
            <w:proofErr w:type="spellEnd"/>
            <w:r w:rsidRPr="001A5375">
              <w:rPr>
                <w:rFonts w:ascii="Arial" w:hAnsi="Arial"/>
                <w:szCs w:val="21"/>
              </w:rPr>
              <w:t xml:space="preserve">, </w:t>
            </w:r>
            <w:proofErr w:type="spellStart"/>
            <w:r w:rsidRPr="001A5375">
              <w:rPr>
                <w:rFonts w:ascii="Arial" w:hAnsi="Arial"/>
                <w:szCs w:val="21"/>
              </w:rPr>
              <w:t>latibuli</w:t>
            </w:r>
            <w:proofErr w:type="spellEnd"/>
            <w:r w:rsidRPr="001A5375">
              <w:rPr>
                <w:rFonts w:ascii="Arial" w:hAnsi="Arial"/>
                <w:szCs w:val="21"/>
              </w:rPr>
              <w:t>, n.: der Schlupfwinkel, der Unterschlupf, (im weiteren Sinne) die Behausung</w:t>
            </w:r>
          </w:p>
        </w:tc>
      </w:tr>
      <w:tr w:rsidR="001A5375" w:rsidRPr="001A5375" w14:paraId="0A4DD7BE" w14:textId="77777777" w:rsidTr="001A5375">
        <w:tc>
          <w:tcPr>
            <w:tcW w:w="0" w:type="auto"/>
            <w:shd w:val="clear" w:color="auto" w:fill="FFFFFF"/>
            <w:tcMar>
              <w:top w:w="225" w:type="dxa"/>
              <w:left w:w="225" w:type="dxa"/>
              <w:bottom w:w="225" w:type="dxa"/>
              <w:right w:w="225" w:type="dxa"/>
            </w:tcMar>
            <w:hideMark/>
          </w:tcPr>
          <w:p w14:paraId="5EBD958A" w14:textId="77777777" w:rsidR="001A5375" w:rsidRPr="000F48C0" w:rsidRDefault="001A5375" w:rsidP="001A5375">
            <w:pPr>
              <w:rPr>
                <w:rFonts w:ascii="Arial" w:hAnsi="Arial"/>
                <w:szCs w:val="21"/>
                <w:lang w:val="la-Latn"/>
              </w:rPr>
            </w:pPr>
            <w:r w:rsidRPr="000F48C0">
              <w:rPr>
                <w:rFonts w:ascii="Arial" w:hAnsi="Arial"/>
                <w:szCs w:val="21"/>
                <w:lang w:val="la-Latn"/>
              </w:rPr>
              <w:t>Commune item animantium omnium est coniunctionis appetitus procreandi causa et cura quaedam eorum, quae procreata sint.</w:t>
            </w:r>
          </w:p>
        </w:tc>
        <w:tc>
          <w:tcPr>
            <w:tcW w:w="5032" w:type="dxa"/>
            <w:shd w:val="clear" w:color="auto" w:fill="FFFFFF"/>
            <w:tcMar>
              <w:top w:w="225" w:type="dxa"/>
              <w:left w:w="225" w:type="dxa"/>
              <w:bottom w:w="225" w:type="dxa"/>
              <w:right w:w="225" w:type="dxa"/>
            </w:tcMar>
            <w:hideMark/>
          </w:tcPr>
          <w:p w14:paraId="2A1ECAFE"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coniunctio</w:t>
            </w:r>
            <w:proofErr w:type="spellEnd"/>
            <w:r w:rsidRPr="001A5375">
              <w:rPr>
                <w:rFonts w:ascii="Arial" w:hAnsi="Arial"/>
                <w:szCs w:val="21"/>
              </w:rPr>
              <w:t xml:space="preserve">, </w:t>
            </w:r>
            <w:proofErr w:type="spellStart"/>
            <w:r w:rsidRPr="001A5375">
              <w:rPr>
                <w:rFonts w:ascii="Arial" w:hAnsi="Arial"/>
                <w:szCs w:val="21"/>
              </w:rPr>
              <w:t>coniunctionis</w:t>
            </w:r>
            <w:proofErr w:type="spellEnd"/>
            <w:r w:rsidRPr="001A5375">
              <w:rPr>
                <w:rFonts w:ascii="Arial" w:hAnsi="Arial"/>
                <w:szCs w:val="21"/>
              </w:rPr>
              <w:t>, f.: die Verbindung</w:t>
            </w:r>
          </w:p>
          <w:p w14:paraId="7A5E2F69"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appetitus</w:t>
            </w:r>
            <w:proofErr w:type="spellEnd"/>
            <w:r w:rsidRPr="001A5375">
              <w:rPr>
                <w:rFonts w:ascii="Arial" w:hAnsi="Arial"/>
                <w:szCs w:val="21"/>
              </w:rPr>
              <w:t xml:space="preserve">, </w:t>
            </w:r>
            <w:proofErr w:type="spellStart"/>
            <w:r w:rsidRPr="001A5375">
              <w:rPr>
                <w:rFonts w:ascii="Arial" w:hAnsi="Arial"/>
                <w:szCs w:val="21"/>
              </w:rPr>
              <w:t>appetitūs</w:t>
            </w:r>
            <w:proofErr w:type="spellEnd"/>
            <w:r w:rsidRPr="001A5375">
              <w:rPr>
                <w:rFonts w:ascii="Arial" w:hAnsi="Arial"/>
                <w:szCs w:val="21"/>
              </w:rPr>
              <w:t>, m.: das Streben nach etwas</w:t>
            </w:r>
          </w:p>
        </w:tc>
      </w:tr>
      <w:tr w:rsidR="001A5375" w:rsidRPr="001A5375" w14:paraId="2C9BEC25" w14:textId="77777777" w:rsidTr="001A5375">
        <w:tc>
          <w:tcPr>
            <w:tcW w:w="0" w:type="auto"/>
            <w:shd w:val="clear" w:color="auto" w:fill="FFFFFF"/>
            <w:tcMar>
              <w:top w:w="225" w:type="dxa"/>
              <w:left w:w="225" w:type="dxa"/>
              <w:bottom w:w="225" w:type="dxa"/>
              <w:right w:w="225" w:type="dxa"/>
            </w:tcMar>
            <w:hideMark/>
          </w:tcPr>
          <w:p w14:paraId="675A4C98" w14:textId="77777777" w:rsidR="001A5375" w:rsidRPr="000F48C0" w:rsidRDefault="001A5375" w:rsidP="001A5375">
            <w:pPr>
              <w:rPr>
                <w:rFonts w:ascii="Arial" w:hAnsi="Arial"/>
                <w:szCs w:val="21"/>
                <w:lang w:val="la-Latn"/>
              </w:rPr>
            </w:pPr>
            <w:r w:rsidRPr="000F48C0">
              <w:rPr>
                <w:rFonts w:ascii="Arial" w:hAnsi="Arial"/>
                <w:szCs w:val="21"/>
                <w:lang w:val="la-Latn"/>
              </w:rPr>
              <w:lastRenderedPageBreak/>
              <w:t>Sed inter hominem et beluam hoc maxime interest, quod haec tantum, quantum sensu movetur, ad id solum, quod adest quodque praesens est, se accommodat, paulum admodum sentiens praeteritum aut futurum.</w:t>
            </w:r>
          </w:p>
        </w:tc>
        <w:tc>
          <w:tcPr>
            <w:tcW w:w="5032" w:type="dxa"/>
            <w:shd w:val="clear" w:color="auto" w:fill="FFFFFF"/>
            <w:tcMar>
              <w:top w:w="225" w:type="dxa"/>
              <w:left w:w="225" w:type="dxa"/>
              <w:bottom w:w="225" w:type="dxa"/>
              <w:right w:w="225" w:type="dxa"/>
            </w:tcMar>
            <w:hideMark/>
          </w:tcPr>
          <w:p w14:paraId="0E394262" w14:textId="77777777" w:rsidR="001A5375" w:rsidRPr="001A5375" w:rsidRDefault="001A5375" w:rsidP="006375E7">
            <w:pPr>
              <w:spacing w:before="0" w:after="120"/>
              <w:rPr>
                <w:rFonts w:ascii="Arial" w:hAnsi="Arial"/>
                <w:szCs w:val="21"/>
              </w:rPr>
            </w:pPr>
            <w:r w:rsidRPr="001A5375">
              <w:rPr>
                <w:rFonts w:ascii="Arial" w:hAnsi="Arial"/>
                <w:szCs w:val="21"/>
              </w:rPr>
              <w:t xml:space="preserve">hoc </w:t>
            </w:r>
            <w:proofErr w:type="spellStart"/>
            <w:r w:rsidRPr="001A5375">
              <w:rPr>
                <w:rFonts w:ascii="Arial" w:hAnsi="Arial"/>
                <w:szCs w:val="21"/>
              </w:rPr>
              <w:t>interest</w:t>
            </w:r>
            <w:proofErr w:type="spellEnd"/>
            <w:r w:rsidRPr="001A5375">
              <w:rPr>
                <w:rFonts w:ascii="Arial" w:hAnsi="Arial"/>
                <w:szCs w:val="21"/>
              </w:rPr>
              <w:t xml:space="preserve">, quod: es besteht dieser Unterschied, </w:t>
            </w:r>
            <w:proofErr w:type="spellStart"/>
            <w:r w:rsidRPr="001A5375">
              <w:rPr>
                <w:rFonts w:ascii="Arial" w:hAnsi="Arial"/>
                <w:szCs w:val="21"/>
              </w:rPr>
              <w:t>dass.</w:t>
            </w:r>
            <w:proofErr w:type="spellEnd"/>
            <w:r w:rsidRPr="001A5375">
              <w:rPr>
                <w:rFonts w:ascii="Arial" w:hAnsi="Arial"/>
                <w:szCs w:val="21"/>
              </w:rPr>
              <w:t>..</w:t>
            </w:r>
          </w:p>
          <w:p w14:paraId="45B450F0"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belua</w:t>
            </w:r>
            <w:proofErr w:type="spellEnd"/>
            <w:r w:rsidRPr="001A5375">
              <w:rPr>
                <w:rFonts w:ascii="Arial" w:hAnsi="Arial"/>
                <w:szCs w:val="21"/>
              </w:rPr>
              <w:t xml:space="preserve">, </w:t>
            </w:r>
            <w:proofErr w:type="spellStart"/>
            <w:r w:rsidRPr="001A5375">
              <w:rPr>
                <w:rFonts w:ascii="Arial" w:hAnsi="Arial"/>
                <w:szCs w:val="21"/>
              </w:rPr>
              <w:t>beluae</w:t>
            </w:r>
            <w:proofErr w:type="spellEnd"/>
            <w:r w:rsidRPr="001A5375">
              <w:rPr>
                <w:rFonts w:ascii="Arial" w:hAnsi="Arial"/>
                <w:szCs w:val="21"/>
              </w:rPr>
              <w:t>, f.: das Tier</w:t>
            </w:r>
          </w:p>
          <w:p w14:paraId="3191EEE4" w14:textId="77777777" w:rsidR="001A5375" w:rsidRPr="001A5375" w:rsidRDefault="001A5375" w:rsidP="006375E7">
            <w:pPr>
              <w:spacing w:before="0" w:after="120"/>
              <w:rPr>
                <w:rFonts w:ascii="Arial" w:hAnsi="Arial"/>
                <w:szCs w:val="21"/>
              </w:rPr>
            </w:pPr>
            <w:r w:rsidRPr="001A5375">
              <w:rPr>
                <w:rFonts w:ascii="Arial" w:hAnsi="Arial"/>
                <w:szCs w:val="21"/>
              </w:rPr>
              <w:t xml:space="preserve">se </w:t>
            </w:r>
            <w:proofErr w:type="spellStart"/>
            <w:r w:rsidRPr="001A5375">
              <w:rPr>
                <w:rFonts w:ascii="Arial" w:hAnsi="Arial"/>
                <w:szCs w:val="21"/>
              </w:rPr>
              <w:t>accommodare</w:t>
            </w:r>
            <w:proofErr w:type="spellEnd"/>
            <w:r w:rsidRPr="001A5375">
              <w:rPr>
                <w:rFonts w:ascii="Arial" w:hAnsi="Arial"/>
                <w:szCs w:val="21"/>
              </w:rPr>
              <w:t>: sich anpassen</w:t>
            </w:r>
          </w:p>
          <w:p w14:paraId="4686634A"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paulum</w:t>
            </w:r>
            <w:proofErr w:type="spellEnd"/>
            <w:r w:rsidRPr="001A5375">
              <w:rPr>
                <w:rFonts w:ascii="Arial" w:hAnsi="Arial"/>
                <w:szCs w:val="21"/>
              </w:rPr>
              <w:t xml:space="preserve"> admodum: so gut wie gar nicht</w:t>
            </w:r>
          </w:p>
        </w:tc>
      </w:tr>
      <w:tr w:rsidR="001A5375" w:rsidRPr="001A5375" w14:paraId="3FFCBD06" w14:textId="77777777" w:rsidTr="001A5375">
        <w:trPr>
          <w:trHeight w:val="4560"/>
        </w:trPr>
        <w:tc>
          <w:tcPr>
            <w:tcW w:w="0" w:type="auto"/>
            <w:shd w:val="clear" w:color="auto" w:fill="FFFFFF"/>
            <w:tcMar>
              <w:top w:w="225" w:type="dxa"/>
              <w:left w:w="225" w:type="dxa"/>
              <w:bottom w:w="225" w:type="dxa"/>
              <w:right w:w="225" w:type="dxa"/>
            </w:tcMar>
            <w:hideMark/>
          </w:tcPr>
          <w:p w14:paraId="74BF0E3F" w14:textId="77777777" w:rsidR="001A5375" w:rsidRPr="000F48C0" w:rsidRDefault="001A5375" w:rsidP="001A5375">
            <w:pPr>
              <w:rPr>
                <w:rFonts w:ascii="Arial" w:hAnsi="Arial"/>
                <w:szCs w:val="21"/>
                <w:lang w:val="la-Latn"/>
              </w:rPr>
            </w:pPr>
            <w:r w:rsidRPr="000F48C0">
              <w:rPr>
                <w:rFonts w:ascii="Arial" w:hAnsi="Arial"/>
                <w:szCs w:val="21"/>
                <w:lang w:val="la-Latn"/>
              </w:rPr>
              <w:t>Homo autem,</w:t>
            </w:r>
          </w:p>
          <w:p w14:paraId="609279AD" w14:textId="77777777" w:rsidR="001A5375" w:rsidRPr="000F48C0" w:rsidRDefault="001A5375" w:rsidP="00F118F3">
            <w:pPr>
              <w:ind w:left="709"/>
              <w:rPr>
                <w:rFonts w:ascii="Arial" w:hAnsi="Arial"/>
                <w:szCs w:val="21"/>
                <w:lang w:val="la-Latn"/>
              </w:rPr>
            </w:pPr>
            <w:r w:rsidRPr="000F48C0">
              <w:rPr>
                <w:rFonts w:ascii="Arial" w:hAnsi="Arial"/>
                <w:szCs w:val="21"/>
                <w:lang w:val="la-Latn"/>
              </w:rPr>
              <w:t>quod rationis est particeps,</w:t>
            </w:r>
          </w:p>
          <w:p w14:paraId="6E52C62D" w14:textId="77777777" w:rsidR="001A5375" w:rsidRPr="000F48C0" w:rsidRDefault="001A5375" w:rsidP="00F118F3">
            <w:pPr>
              <w:ind w:left="709"/>
              <w:rPr>
                <w:rFonts w:ascii="Arial" w:hAnsi="Arial"/>
                <w:szCs w:val="21"/>
                <w:lang w:val="la-Latn"/>
              </w:rPr>
            </w:pPr>
            <w:r w:rsidRPr="000F48C0">
              <w:rPr>
                <w:rFonts w:ascii="Arial" w:hAnsi="Arial"/>
                <w:szCs w:val="21"/>
                <w:lang w:val="la-Latn"/>
              </w:rPr>
              <w:t>per quam consequentia cernit,</w:t>
            </w:r>
          </w:p>
          <w:p w14:paraId="78898E80" w14:textId="77777777" w:rsidR="001A5375" w:rsidRPr="000F48C0" w:rsidRDefault="001A5375" w:rsidP="001A5375">
            <w:pPr>
              <w:rPr>
                <w:rFonts w:ascii="Arial" w:hAnsi="Arial"/>
                <w:szCs w:val="21"/>
                <w:lang w:val="la-Latn"/>
              </w:rPr>
            </w:pPr>
            <w:r w:rsidRPr="000F48C0">
              <w:rPr>
                <w:rFonts w:ascii="Arial" w:hAnsi="Arial"/>
                <w:szCs w:val="21"/>
                <w:lang w:val="la-Latn"/>
              </w:rPr>
              <w:t>causas rerum videt earumque praegressus et quasi antecessiones non ignorat,</w:t>
            </w:r>
            <w:r w:rsidRPr="000F48C0">
              <w:rPr>
                <w:rFonts w:ascii="Arial" w:hAnsi="Arial"/>
                <w:szCs w:val="21"/>
                <w:lang w:val="la-Latn"/>
              </w:rPr>
              <w:br/>
              <w:t>similitudines comparat rebusque praesentibus adiungit atque adnectit futuras,</w:t>
            </w:r>
            <w:r w:rsidRPr="000F48C0">
              <w:rPr>
                <w:rFonts w:ascii="Arial" w:hAnsi="Arial"/>
                <w:szCs w:val="21"/>
                <w:lang w:val="la-Latn"/>
              </w:rPr>
              <w:br/>
              <w:t>facile totius vitae cursum videt ad eamque degendam praeparat res necessarias.</w:t>
            </w:r>
          </w:p>
        </w:tc>
        <w:tc>
          <w:tcPr>
            <w:tcW w:w="5032" w:type="dxa"/>
            <w:shd w:val="clear" w:color="auto" w:fill="FFFFFF"/>
            <w:tcMar>
              <w:top w:w="225" w:type="dxa"/>
              <w:left w:w="225" w:type="dxa"/>
              <w:bottom w:w="225" w:type="dxa"/>
              <w:right w:w="225" w:type="dxa"/>
            </w:tcMar>
            <w:hideMark/>
          </w:tcPr>
          <w:p w14:paraId="502CC2E7"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particeps</w:t>
            </w:r>
            <w:proofErr w:type="spellEnd"/>
            <w:r w:rsidRPr="001A5375">
              <w:rPr>
                <w:rFonts w:ascii="Arial" w:hAnsi="Arial"/>
                <w:szCs w:val="21"/>
              </w:rPr>
              <w:t>: teilhaftig, besitzend. Hier empfiehlt es sich, eine Übersetzung mit dem Verb "besitzen" zu suchen.</w:t>
            </w:r>
          </w:p>
          <w:p w14:paraId="603E023D"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consequentia</w:t>
            </w:r>
            <w:proofErr w:type="spellEnd"/>
            <w:r w:rsidRPr="001A5375">
              <w:rPr>
                <w:rFonts w:ascii="Arial" w:hAnsi="Arial"/>
                <w:szCs w:val="21"/>
              </w:rPr>
              <w:t xml:space="preserve">, </w:t>
            </w:r>
            <w:proofErr w:type="spellStart"/>
            <w:r w:rsidRPr="001A5375">
              <w:rPr>
                <w:rFonts w:ascii="Arial" w:hAnsi="Arial"/>
                <w:szCs w:val="21"/>
              </w:rPr>
              <w:t>consequentium</w:t>
            </w:r>
            <w:proofErr w:type="spellEnd"/>
            <w:r w:rsidRPr="001A5375">
              <w:rPr>
                <w:rFonts w:ascii="Arial" w:hAnsi="Arial"/>
                <w:szCs w:val="21"/>
              </w:rPr>
              <w:t>, n.: die Folgen (seines Handelns), eigentlich Partizip Präsens von </w:t>
            </w:r>
            <w:proofErr w:type="spellStart"/>
            <w:r w:rsidRPr="001A5375">
              <w:rPr>
                <w:rFonts w:ascii="Arial" w:hAnsi="Arial"/>
                <w:i/>
                <w:iCs/>
                <w:szCs w:val="21"/>
              </w:rPr>
              <w:t>consequi</w:t>
            </w:r>
            <w:proofErr w:type="spellEnd"/>
          </w:p>
          <w:p w14:paraId="45E8D4B2"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praegressus</w:t>
            </w:r>
            <w:proofErr w:type="spellEnd"/>
            <w:r w:rsidRPr="001A5375">
              <w:rPr>
                <w:rFonts w:ascii="Arial" w:hAnsi="Arial"/>
                <w:szCs w:val="21"/>
              </w:rPr>
              <w:t xml:space="preserve">, </w:t>
            </w:r>
            <w:proofErr w:type="spellStart"/>
            <w:r w:rsidRPr="001A5375">
              <w:rPr>
                <w:rFonts w:ascii="Arial" w:hAnsi="Arial"/>
                <w:szCs w:val="21"/>
              </w:rPr>
              <w:t>praegressūs</w:t>
            </w:r>
            <w:proofErr w:type="spellEnd"/>
            <w:r w:rsidRPr="001A5375">
              <w:rPr>
                <w:rFonts w:ascii="Arial" w:hAnsi="Arial"/>
                <w:szCs w:val="21"/>
              </w:rPr>
              <w:t>, m.: die Entwicklung, das Voranschreiten</w:t>
            </w:r>
          </w:p>
          <w:p w14:paraId="10349825"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antecessio</w:t>
            </w:r>
            <w:proofErr w:type="spellEnd"/>
            <w:r w:rsidRPr="001A5375">
              <w:rPr>
                <w:rFonts w:ascii="Arial" w:hAnsi="Arial"/>
                <w:szCs w:val="21"/>
              </w:rPr>
              <w:t xml:space="preserve">, </w:t>
            </w:r>
            <w:proofErr w:type="spellStart"/>
            <w:r w:rsidRPr="001A5375">
              <w:rPr>
                <w:rFonts w:ascii="Arial" w:hAnsi="Arial"/>
                <w:szCs w:val="21"/>
              </w:rPr>
              <w:t>antecessionis</w:t>
            </w:r>
            <w:proofErr w:type="spellEnd"/>
            <w:r w:rsidRPr="001A5375">
              <w:rPr>
                <w:rFonts w:ascii="Arial" w:hAnsi="Arial"/>
                <w:szCs w:val="21"/>
              </w:rPr>
              <w:t>, f.: die Entwicklung. </w:t>
            </w:r>
            <w:proofErr w:type="spellStart"/>
            <w:r w:rsidRPr="001A5375">
              <w:rPr>
                <w:rFonts w:ascii="Arial" w:hAnsi="Arial"/>
                <w:i/>
                <w:iCs/>
                <w:szCs w:val="21"/>
              </w:rPr>
              <w:t>antecessio</w:t>
            </w:r>
            <w:r w:rsidRPr="001A5375">
              <w:rPr>
                <w:rFonts w:ascii="Arial" w:hAnsi="Arial"/>
                <w:szCs w:val="21"/>
              </w:rPr>
              <w:t>und</w:t>
            </w:r>
            <w:proofErr w:type="spellEnd"/>
            <w:r w:rsidRPr="001A5375">
              <w:rPr>
                <w:rFonts w:ascii="Arial" w:hAnsi="Arial"/>
                <w:szCs w:val="21"/>
              </w:rPr>
              <w:t> </w:t>
            </w:r>
            <w:proofErr w:type="spellStart"/>
            <w:r w:rsidRPr="001A5375">
              <w:rPr>
                <w:rFonts w:ascii="Arial" w:hAnsi="Arial"/>
                <w:i/>
                <w:iCs/>
                <w:szCs w:val="21"/>
              </w:rPr>
              <w:t>praegressus</w:t>
            </w:r>
            <w:proofErr w:type="spellEnd"/>
            <w:r w:rsidRPr="001A5375">
              <w:rPr>
                <w:rFonts w:ascii="Arial" w:hAnsi="Arial"/>
                <w:szCs w:val="21"/>
              </w:rPr>
              <w:t> sind Synonyme; suchen Sie also zwei ähnliche Wörter für die deutsche Übersetzung.</w:t>
            </w:r>
          </w:p>
          <w:p w14:paraId="4CBD70FF"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adnecto</w:t>
            </w:r>
            <w:proofErr w:type="spellEnd"/>
            <w:r w:rsidRPr="001A5375">
              <w:rPr>
                <w:rFonts w:ascii="Arial" w:hAnsi="Arial"/>
                <w:szCs w:val="21"/>
              </w:rPr>
              <w:t>: anknüpfen</w:t>
            </w:r>
          </w:p>
          <w:p w14:paraId="1AA4D143"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vitam</w:t>
            </w:r>
            <w:proofErr w:type="spellEnd"/>
            <w:r w:rsidRPr="001A5375">
              <w:rPr>
                <w:rFonts w:ascii="Arial" w:hAnsi="Arial"/>
                <w:szCs w:val="21"/>
              </w:rPr>
              <w:t xml:space="preserve"> </w:t>
            </w:r>
            <w:proofErr w:type="spellStart"/>
            <w:r w:rsidRPr="001A5375">
              <w:rPr>
                <w:rFonts w:ascii="Arial" w:hAnsi="Arial"/>
                <w:szCs w:val="21"/>
              </w:rPr>
              <w:t>degere</w:t>
            </w:r>
            <w:proofErr w:type="spellEnd"/>
            <w:r w:rsidRPr="001A5375">
              <w:rPr>
                <w:rFonts w:ascii="Arial" w:hAnsi="Arial"/>
                <w:szCs w:val="21"/>
              </w:rPr>
              <w:t>: das Leben führen</w:t>
            </w:r>
          </w:p>
        </w:tc>
      </w:tr>
    </w:tbl>
    <w:p w14:paraId="5DEC662C" w14:textId="77777777" w:rsidR="001A5375" w:rsidRPr="001A5375" w:rsidRDefault="001A5375" w:rsidP="001A5375">
      <w:pPr>
        <w:rPr>
          <w:rFonts w:ascii="Arial" w:hAnsi="Arial"/>
          <w:szCs w:val="21"/>
        </w:rPr>
      </w:pPr>
      <w:r w:rsidRPr="001A5375">
        <w:rPr>
          <w:rFonts w:ascii="Arial" w:hAnsi="Arial"/>
          <w:szCs w:val="21"/>
        </w:rPr>
        <w:t>Die Übereinstimmung zwischen Mensch und Natur</w:t>
      </w:r>
    </w:p>
    <w:p w14:paraId="51187B67" w14:textId="77777777" w:rsidR="001A5375" w:rsidRPr="001A5375" w:rsidRDefault="00014491" w:rsidP="001A5375">
      <w:pPr>
        <w:rPr>
          <w:rFonts w:ascii="Arial" w:hAnsi="Arial"/>
          <w:szCs w:val="21"/>
        </w:rPr>
      </w:pPr>
      <w:r>
        <w:rPr>
          <w:rFonts w:ascii="Arial" w:hAnsi="Arial"/>
          <w:szCs w:val="21"/>
        </w:rPr>
        <w:pict w14:anchorId="79299C0C">
          <v:rect id="_x0000_i1025" style="width:0;height:0" o:hralign="center" o:hrstd="t" o:hrnoshade="t" o:hr="t" fillcolor="#4d4d4d" stroked="f"/>
        </w:pict>
      </w:r>
    </w:p>
    <w:p w14:paraId="3342FAF5" w14:textId="77777777" w:rsidR="001A5375" w:rsidRPr="001A5375" w:rsidRDefault="001A5375" w:rsidP="001A5375">
      <w:pPr>
        <w:rPr>
          <w:rFonts w:ascii="Arial" w:hAnsi="Arial"/>
          <w:szCs w:val="21"/>
        </w:rPr>
      </w:pPr>
      <w:r w:rsidRPr="001A5375">
        <w:rPr>
          <w:rFonts w:ascii="Arial" w:hAnsi="Arial"/>
          <w:noProof/>
          <w:szCs w:val="21"/>
        </w:rPr>
        <w:lastRenderedPageBreak/>
        <w:drawing>
          <wp:inline distT="0" distB="0" distL="0" distR="0" wp14:anchorId="4C5477E3" wp14:editId="5F881F4C">
            <wp:extent cx="4762500" cy="3192780"/>
            <wp:effectExtent l="0" t="0" r="0" b="7620"/>
            <wp:docPr id="3" name="Grafik 3" descr="Orang Utan im Urwald von Indones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rang Utan im Urwald von Indonesi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92780"/>
                    </a:xfrm>
                    <a:prstGeom prst="rect">
                      <a:avLst/>
                    </a:prstGeom>
                    <a:noFill/>
                    <a:ln>
                      <a:noFill/>
                    </a:ln>
                  </pic:spPr>
                </pic:pic>
              </a:graphicData>
            </a:graphic>
          </wp:inline>
        </w:drawing>
      </w:r>
    </w:p>
    <w:p w14:paraId="2BA248FF" w14:textId="77777777" w:rsidR="001A5375" w:rsidRPr="001A5375" w:rsidRDefault="001A5375" w:rsidP="001A5375">
      <w:pPr>
        <w:rPr>
          <w:rFonts w:ascii="Arial" w:hAnsi="Arial"/>
          <w:szCs w:val="21"/>
        </w:rPr>
      </w:pPr>
      <w:r w:rsidRPr="001A5375">
        <w:rPr>
          <w:rFonts w:ascii="Arial" w:hAnsi="Arial"/>
          <w:i/>
          <w:iCs/>
          <w:szCs w:val="21"/>
        </w:rPr>
        <w:t>Fotografen: Peter Maier und Thomas Fuchs. Wiedergabe mit freundlicher Genehmigung der Fotografen.</w:t>
      </w:r>
    </w:p>
    <w:p w14:paraId="0BD716C3" w14:textId="77777777" w:rsidR="001A5375" w:rsidRPr="001A5375" w:rsidRDefault="001A5375" w:rsidP="001A5375">
      <w:pPr>
        <w:rPr>
          <w:rFonts w:ascii="Arial" w:hAnsi="Arial"/>
          <w:szCs w:val="21"/>
        </w:rPr>
      </w:pPr>
      <w:r w:rsidRPr="001A5375">
        <w:rPr>
          <w:rFonts w:ascii="Arial" w:hAnsi="Arial"/>
          <w:szCs w:val="21"/>
        </w:rPr>
        <w:t xml:space="preserve">Was verbindet Mensch und Tier? Welche Wünsche und Ziele hat dieser </w:t>
      </w:r>
      <w:proofErr w:type="spellStart"/>
      <w:proofErr w:type="gramStart"/>
      <w:r w:rsidRPr="001A5375">
        <w:rPr>
          <w:rFonts w:ascii="Arial" w:hAnsi="Arial"/>
          <w:szCs w:val="21"/>
        </w:rPr>
        <w:t>Orang</w:t>
      </w:r>
      <w:proofErr w:type="spellEnd"/>
      <w:r w:rsidRPr="001A5375">
        <w:rPr>
          <w:rFonts w:ascii="Arial" w:hAnsi="Arial"/>
          <w:szCs w:val="21"/>
        </w:rPr>
        <w:t xml:space="preserve"> Utan</w:t>
      </w:r>
      <w:proofErr w:type="gramEnd"/>
      <w:r w:rsidRPr="001A5375">
        <w:rPr>
          <w:rFonts w:ascii="Arial" w:hAnsi="Arial"/>
          <w:szCs w:val="21"/>
        </w:rPr>
        <w:t>, der frei im Urwald von Indonesien lebt? Sind seine Wünsche und sein Blick auf die Welt unserem Blick ähnlich? Solche Fragen haben sich die Philosophen bereits in der Antike gestellt.</w:t>
      </w:r>
    </w:p>
    <w:p w14:paraId="5590EC30" w14:textId="77777777" w:rsidR="001A5375" w:rsidRPr="001A5375" w:rsidRDefault="00014491" w:rsidP="001A5375">
      <w:pPr>
        <w:rPr>
          <w:rFonts w:ascii="Arial" w:hAnsi="Arial"/>
          <w:szCs w:val="21"/>
        </w:rPr>
      </w:pPr>
      <w:r>
        <w:rPr>
          <w:rFonts w:ascii="Arial" w:hAnsi="Arial"/>
          <w:szCs w:val="21"/>
        </w:rPr>
        <w:pict w14:anchorId="04258CAA">
          <v:rect id="_x0000_i1026" style="width:0;height:0" o:hralign="center" o:hrstd="t" o:hrnoshade="t" o:hr="t" fillcolor="#4d4d4d" stroked="f"/>
        </w:pict>
      </w:r>
    </w:p>
    <w:p w14:paraId="33C1D3DE" w14:textId="77777777" w:rsidR="001A5375" w:rsidRPr="001A5375" w:rsidRDefault="001A5375" w:rsidP="001A5375">
      <w:pPr>
        <w:rPr>
          <w:rFonts w:ascii="Arial" w:hAnsi="Arial"/>
          <w:szCs w:val="21"/>
        </w:rPr>
      </w:pPr>
      <w:r w:rsidRPr="001A5375">
        <w:rPr>
          <w:rFonts w:ascii="Arial" w:hAnsi="Arial"/>
          <w:szCs w:val="21"/>
        </w:rPr>
        <w:t xml:space="preserve">Die </w:t>
      </w:r>
      <w:r w:rsidR="00F118F3">
        <w:rPr>
          <w:rFonts w:ascii="Arial" w:hAnsi="Arial"/>
          <w:szCs w:val="21"/>
        </w:rPr>
        <w:t>Natur</w:t>
      </w:r>
      <w:r w:rsidRPr="001A5375">
        <w:rPr>
          <w:rFonts w:ascii="Arial" w:hAnsi="Arial"/>
          <w:szCs w:val="21"/>
        </w:rPr>
        <w:t xml:space="preserve"> gibt dem Menschen die Aufgabe, für die Seinen zu sorgen.</w:t>
      </w:r>
    </w:p>
    <w:tbl>
      <w:tblPr>
        <w:tblW w:w="8923"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FFFFFF"/>
        <w:tblCellMar>
          <w:top w:w="15" w:type="dxa"/>
          <w:left w:w="15" w:type="dxa"/>
          <w:bottom w:w="15" w:type="dxa"/>
          <w:right w:w="15" w:type="dxa"/>
        </w:tblCellMar>
        <w:tblLook w:val="04A0" w:firstRow="1" w:lastRow="0" w:firstColumn="1" w:lastColumn="0" w:noHBand="0" w:noVBand="1"/>
      </w:tblPr>
      <w:tblGrid>
        <w:gridCol w:w="5521"/>
        <w:gridCol w:w="3402"/>
      </w:tblGrid>
      <w:tr w:rsidR="001A5375" w:rsidRPr="001A5375" w14:paraId="7A3F3A0C" w14:textId="77777777" w:rsidTr="00F118F3">
        <w:tc>
          <w:tcPr>
            <w:tcW w:w="5521" w:type="dxa"/>
            <w:shd w:val="clear" w:color="auto" w:fill="FFFFFF"/>
            <w:tcMar>
              <w:top w:w="225" w:type="dxa"/>
              <w:left w:w="225" w:type="dxa"/>
              <w:bottom w:w="225" w:type="dxa"/>
              <w:right w:w="225" w:type="dxa"/>
            </w:tcMar>
            <w:hideMark/>
          </w:tcPr>
          <w:p w14:paraId="2DE9AABD" w14:textId="77777777" w:rsidR="001A5375" w:rsidRPr="000F48C0" w:rsidRDefault="001A5375" w:rsidP="001A5375">
            <w:pPr>
              <w:rPr>
                <w:rFonts w:ascii="Arial" w:hAnsi="Arial"/>
                <w:szCs w:val="21"/>
                <w:lang w:val="la-Latn"/>
              </w:rPr>
            </w:pPr>
            <w:r w:rsidRPr="000F48C0">
              <w:rPr>
                <w:rFonts w:ascii="Arial" w:hAnsi="Arial"/>
                <w:szCs w:val="21"/>
                <w:lang w:val="la-Latn"/>
              </w:rPr>
              <w:t>Text</w:t>
            </w:r>
          </w:p>
        </w:tc>
        <w:tc>
          <w:tcPr>
            <w:tcW w:w="3402" w:type="dxa"/>
            <w:shd w:val="clear" w:color="auto" w:fill="FFFFFF"/>
            <w:tcMar>
              <w:top w:w="225" w:type="dxa"/>
              <w:left w:w="225" w:type="dxa"/>
              <w:bottom w:w="225" w:type="dxa"/>
              <w:right w:w="225" w:type="dxa"/>
            </w:tcMar>
            <w:hideMark/>
          </w:tcPr>
          <w:p w14:paraId="7847EC40" w14:textId="77777777" w:rsidR="001A5375" w:rsidRPr="001A5375" w:rsidRDefault="001A5375" w:rsidP="006375E7">
            <w:pPr>
              <w:spacing w:before="0" w:after="120"/>
              <w:rPr>
                <w:rFonts w:ascii="Arial" w:hAnsi="Arial"/>
                <w:szCs w:val="21"/>
              </w:rPr>
            </w:pPr>
            <w:r w:rsidRPr="001A5375">
              <w:rPr>
                <w:rFonts w:ascii="Arial" w:hAnsi="Arial"/>
                <w:szCs w:val="21"/>
              </w:rPr>
              <w:t xml:space="preserve">Übersetzungshilfen </w:t>
            </w:r>
          </w:p>
        </w:tc>
      </w:tr>
      <w:tr w:rsidR="001A5375" w:rsidRPr="001A5375" w14:paraId="27736422" w14:textId="77777777" w:rsidTr="00F118F3">
        <w:tc>
          <w:tcPr>
            <w:tcW w:w="5521" w:type="dxa"/>
            <w:shd w:val="clear" w:color="auto" w:fill="FFFFFF"/>
            <w:tcMar>
              <w:top w:w="225" w:type="dxa"/>
              <w:left w:w="225" w:type="dxa"/>
              <w:bottom w:w="225" w:type="dxa"/>
              <w:right w:w="225" w:type="dxa"/>
            </w:tcMar>
            <w:hideMark/>
          </w:tcPr>
          <w:p w14:paraId="66A2E6A7" w14:textId="77777777" w:rsidR="001A5375" w:rsidRPr="000F48C0" w:rsidRDefault="001A5375" w:rsidP="001A5375">
            <w:pPr>
              <w:rPr>
                <w:rFonts w:ascii="Arial" w:hAnsi="Arial"/>
                <w:szCs w:val="21"/>
                <w:lang w:val="la-Latn"/>
              </w:rPr>
            </w:pPr>
            <w:r w:rsidRPr="000F48C0">
              <w:rPr>
                <w:rFonts w:ascii="Arial" w:hAnsi="Arial"/>
                <w:szCs w:val="21"/>
                <w:lang w:val="la-Latn"/>
              </w:rPr>
              <w:t>[De officiis 1, 12]</w:t>
            </w:r>
          </w:p>
          <w:p w14:paraId="12777E18" w14:textId="77777777" w:rsidR="001A5375" w:rsidRPr="000F48C0" w:rsidRDefault="001A5375" w:rsidP="001A5375">
            <w:pPr>
              <w:rPr>
                <w:rFonts w:ascii="Arial" w:hAnsi="Arial"/>
                <w:szCs w:val="21"/>
                <w:lang w:val="la-Latn"/>
              </w:rPr>
            </w:pPr>
            <w:r w:rsidRPr="000F48C0">
              <w:rPr>
                <w:rFonts w:ascii="Arial" w:hAnsi="Arial"/>
                <w:szCs w:val="21"/>
                <w:lang w:val="la-Latn"/>
              </w:rPr>
              <w:t>Eademque natura vi rationis hominem conciliat homini et ad orationis et ad vitae societatem ingeneratque inprimis praecipuum quendam amorem in eos,</w:t>
            </w:r>
          </w:p>
          <w:p w14:paraId="0D2D2801" w14:textId="77777777" w:rsidR="001A5375" w:rsidRPr="000F48C0" w:rsidRDefault="001A5375" w:rsidP="00F118F3">
            <w:pPr>
              <w:ind w:left="709"/>
              <w:rPr>
                <w:rFonts w:ascii="Arial" w:hAnsi="Arial"/>
                <w:szCs w:val="21"/>
                <w:lang w:val="la-Latn"/>
              </w:rPr>
            </w:pPr>
            <w:r w:rsidRPr="000F48C0">
              <w:rPr>
                <w:rFonts w:ascii="Arial" w:hAnsi="Arial"/>
                <w:szCs w:val="21"/>
                <w:lang w:val="la-Latn"/>
              </w:rPr>
              <w:t>qui procreati sunt,</w:t>
            </w:r>
          </w:p>
          <w:p w14:paraId="18645434" w14:textId="77777777" w:rsidR="001A5375" w:rsidRPr="000F48C0" w:rsidRDefault="001A5375" w:rsidP="001A5375">
            <w:pPr>
              <w:rPr>
                <w:rFonts w:ascii="Arial" w:hAnsi="Arial"/>
                <w:szCs w:val="21"/>
                <w:lang w:val="la-Latn"/>
              </w:rPr>
            </w:pPr>
            <w:r w:rsidRPr="000F48C0">
              <w:rPr>
                <w:rFonts w:ascii="Arial" w:hAnsi="Arial"/>
                <w:szCs w:val="21"/>
                <w:lang w:val="la-Latn"/>
              </w:rPr>
              <w:t>impellitque,</w:t>
            </w:r>
          </w:p>
          <w:p w14:paraId="5BFF1E50" w14:textId="77777777" w:rsidR="001A5375" w:rsidRPr="000F48C0" w:rsidRDefault="001A5375" w:rsidP="00F118F3">
            <w:pPr>
              <w:ind w:left="709"/>
              <w:rPr>
                <w:rFonts w:ascii="Arial" w:hAnsi="Arial"/>
                <w:szCs w:val="21"/>
                <w:lang w:val="la-Latn"/>
              </w:rPr>
            </w:pPr>
            <w:r w:rsidRPr="000F48C0">
              <w:rPr>
                <w:rFonts w:ascii="Arial" w:hAnsi="Arial"/>
                <w:szCs w:val="21"/>
                <w:lang w:val="la-Latn"/>
              </w:rPr>
              <w:lastRenderedPageBreak/>
              <w:t>ut hominum coetus et celebrationes et esse et a se obiri velit</w:t>
            </w:r>
          </w:p>
          <w:p w14:paraId="653AD194" w14:textId="77777777" w:rsidR="001A5375" w:rsidRPr="000F48C0" w:rsidRDefault="001A5375" w:rsidP="00F118F3">
            <w:pPr>
              <w:ind w:left="709"/>
              <w:rPr>
                <w:rFonts w:ascii="Arial" w:hAnsi="Arial"/>
                <w:szCs w:val="21"/>
                <w:lang w:val="la-Latn"/>
              </w:rPr>
            </w:pPr>
            <w:r w:rsidRPr="000F48C0">
              <w:rPr>
                <w:rFonts w:ascii="Arial" w:hAnsi="Arial"/>
                <w:szCs w:val="21"/>
                <w:lang w:val="la-Latn"/>
              </w:rPr>
              <w:t> ob easque causas studeat parare ea,</w:t>
            </w:r>
          </w:p>
          <w:p w14:paraId="1C8717E6" w14:textId="77777777" w:rsidR="001A5375" w:rsidRPr="000F48C0" w:rsidRDefault="001A5375" w:rsidP="00F118F3">
            <w:pPr>
              <w:ind w:left="1418"/>
              <w:rPr>
                <w:rFonts w:ascii="Arial" w:hAnsi="Arial"/>
                <w:szCs w:val="21"/>
                <w:lang w:val="la-Latn"/>
              </w:rPr>
            </w:pPr>
            <w:r w:rsidRPr="000F48C0">
              <w:rPr>
                <w:rFonts w:ascii="Arial" w:hAnsi="Arial"/>
                <w:szCs w:val="21"/>
                <w:lang w:val="la-Latn"/>
              </w:rPr>
              <w:t>quae suppeditent ad cultum et ad victum,</w:t>
            </w:r>
          </w:p>
          <w:p w14:paraId="05AC9312" w14:textId="77777777" w:rsidR="001A5375" w:rsidRPr="000F48C0" w:rsidRDefault="001A5375" w:rsidP="00F118F3">
            <w:pPr>
              <w:ind w:left="709"/>
              <w:rPr>
                <w:rFonts w:ascii="Arial" w:hAnsi="Arial"/>
                <w:szCs w:val="21"/>
                <w:lang w:val="la-Latn"/>
              </w:rPr>
            </w:pPr>
            <w:r w:rsidRPr="000F48C0">
              <w:rPr>
                <w:rFonts w:ascii="Arial" w:hAnsi="Arial"/>
                <w:szCs w:val="21"/>
                <w:lang w:val="la-Latn"/>
              </w:rPr>
              <w:t>nec sibi soli, sed coniugi, liberis, ceterisque,</w:t>
            </w:r>
          </w:p>
          <w:p w14:paraId="4892DC13" w14:textId="77777777" w:rsidR="001A5375" w:rsidRPr="000F48C0" w:rsidRDefault="001A5375" w:rsidP="00F118F3">
            <w:pPr>
              <w:ind w:left="1418"/>
              <w:rPr>
                <w:rFonts w:ascii="Arial" w:hAnsi="Arial"/>
                <w:szCs w:val="21"/>
                <w:lang w:val="la-Latn"/>
              </w:rPr>
            </w:pPr>
            <w:r w:rsidRPr="000F48C0">
              <w:rPr>
                <w:rFonts w:ascii="Arial" w:hAnsi="Arial"/>
                <w:szCs w:val="21"/>
                <w:lang w:val="la-Latn"/>
              </w:rPr>
              <w:t>quae cura exsuscitat etiam animos et maiores ad rem gerendam facit.</w:t>
            </w:r>
          </w:p>
        </w:tc>
        <w:tc>
          <w:tcPr>
            <w:tcW w:w="3402" w:type="dxa"/>
            <w:shd w:val="clear" w:color="auto" w:fill="FFFFFF"/>
            <w:tcMar>
              <w:top w:w="225" w:type="dxa"/>
              <w:left w:w="225" w:type="dxa"/>
              <w:bottom w:w="225" w:type="dxa"/>
              <w:right w:w="225" w:type="dxa"/>
            </w:tcMar>
            <w:hideMark/>
          </w:tcPr>
          <w:p w14:paraId="4511AA21"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lastRenderedPageBreak/>
              <w:t>conciliare</w:t>
            </w:r>
            <w:proofErr w:type="spellEnd"/>
            <w:r w:rsidRPr="001A5375">
              <w:rPr>
                <w:rFonts w:ascii="Arial" w:hAnsi="Arial"/>
                <w:szCs w:val="21"/>
              </w:rPr>
              <w:t>: versöhnen. Mit dem Wort </w:t>
            </w:r>
            <w:proofErr w:type="spellStart"/>
            <w:r w:rsidRPr="001A5375">
              <w:rPr>
                <w:rFonts w:ascii="Arial" w:hAnsi="Arial"/>
                <w:i/>
                <w:iCs/>
                <w:szCs w:val="21"/>
              </w:rPr>
              <w:t>conciliatio</w:t>
            </w:r>
            <w:proofErr w:type="spellEnd"/>
            <w:r w:rsidRPr="001A5375">
              <w:rPr>
                <w:rFonts w:ascii="Arial" w:hAnsi="Arial"/>
                <w:szCs w:val="21"/>
              </w:rPr>
              <w:t xml:space="preserve"> gibt Cicero den Begriff der </w:t>
            </w:r>
            <w:proofErr w:type="spellStart"/>
            <w:r w:rsidRPr="001A5375">
              <w:rPr>
                <w:rFonts w:ascii="Arial" w:hAnsi="Arial"/>
                <w:szCs w:val="21"/>
              </w:rPr>
              <w:t>Oikeiosis</w:t>
            </w:r>
            <w:proofErr w:type="spellEnd"/>
            <w:r w:rsidRPr="001A5375">
              <w:rPr>
                <w:rFonts w:ascii="Arial" w:hAnsi="Arial"/>
                <w:szCs w:val="21"/>
              </w:rPr>
              <w:t xml:space="preserve"> wieder; Erläuterungen siehe am Kopf dieser Seite.</w:t>
            </w:r>
          </w:p>
          <w:p w14:paraId="51B89D09"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nec</w:t>
            </w:r>
            <w:proofErr w:type="spellEnd"/>
            <w:r w:rsidRPr="001A5375">
              <w:rPr>
                <w:rFonts w:ascii="Arial" w:hAnsi="Arial"/>
                <w:szCs w:val="21"/>
              </w:rPr>
              <w:t xml:space="preserve"> </w:t>
            </w:r>
            <w:proofErr w:type="spellStart"/>
            <w:r w:rsidRPr="001A5375">
              <w:rPr>
                <w:rFonts w:ascii="Arial" w:hAnsi="Arial"/>
                <w:szCs w:val="21"/>
              </w:rPr>
              <w:t>sibi</w:t>
            </w:r>
            <w:proofErr w:type="spellEnd"/>
            <w:r w:rsidRPr="001A5375">
              <w:rPr>
                <w:rFonts w:ascii="Arial" w:hAnsi="Arial"/>
                <w:szCs w:val="21"/>
              </w:rPr>
              <w:t xml:space="preserve"> </w:t>
            </w:r>
            <w:proofErr w:type="spellStart"/>
            <w:r w:rsidRPr="001A5375">
              <w:rPr>
                <w:rFonts w:ascii="Arial" w:hAnsi="Arial"/>
                <w:szCs w:val="21"/>
              </w:rPr>
              <w:t>soli</w:t>
            </w:r>
            <w:proofErr w:type="spellEnd"/>
            <w:r w:rsidRPr="001A5375">
              <w:rPr>
                <w:rFonts w:ascii="Arial" w:hAnsi="Arial"/>
                <w:szCs w:val="21"/>
              </w:rPr>
              <w:t xml:space="preserve"> </w:t>
            </w:r>
            <w:proofErr w:type="gramStart"/>
            <w:r w:rsidRPr="001A5375">
              <w:rPr>
                <w:rFonts w:ascii="Arial" w:hAnsi="Arial"/>
                <w:szCs w:val="21"/>
              </w:rPr>
              <w:t>... :</w:t>
            </w:r>
            <w:proofErr w:type="gramEnd"/>
            <w:r w:rsidRPr="001A5375">
              <w:rPr>
                <w:rFonts w:ascii="Arial" w:hAnsi="Arial"/>
                <w:szCs w:val="21"/>
              </w:rPr>
              <w:t> Dativus commodi</w:t>
            </w:r>
          </w:p>
          <w:p w14:paraId="326D556F" w14:textId="77777777" w:rsidR="001A5375" w:rsidRPr="001A5375" w:rsidRDefault="001A5375" w:rsidP="006375E7">
            <w:pPr>
              <w:spacing w:before="0" w:after="120"/>
              <w:rPr>
                <w:rFonts w:ascii="Arial" w:hAnsi="Arial"/>
                <w:szCs w:val="21"/>
              </w:rPr>
            </w:pPr>
            <w:proofErr w:type="spellStart"/>
            <w:r w:rsidRPr="001A5375">
              <w:rPr>
                <w:rFonts w:ascii="Arial" w:hAnsi="Arial"/>
                <w:szCs w:val="21"/>
              </w:rPr>
              <w:t>quae</w:t>
            </w:r>
            <w:proofErr w:type="spellEnd"/>
            <w:r w:rsidRPr="001A5375">
              <w:rPr>
                <w:rFonts w:ascii="Arial" w:hAnsi="Arial"/>
                <w:szCs w:val="21"/>
              </w:rPr>
              <w:t xml:space="preserve"> </w:t>
            </w:r>
            <w:proofErr w:type="spellStart"/>
            <w:r w:rsidRPr="001A5375">
              <w:rPr>
                <w:rFonts w:ascii="Arial" w:hAnsi="Arial"/>
                <w:szCs w:val="21"/>
              </w:rPr>
              <w:t>cura</w:t>
            </w:r>
            <w:proofErr w:type="spellEnd"/>
            <w:r w:rsidRPr="001A5375">
              <w:rPr>
                <w:rFonts w:ascii="Arial" w:hAnsi="Arial"/>
                <w:szCs w:val="21"/>
              </w:rPr>
              <w:t xml:space="preserve"> </w:t>
            </w:r>
            <w:proofErr w:type="spellStart"/>
            <w:r w:rsidRPr="001A5375">
              <w:rPr>
                <w:rFonts w:ascii="Arial" w:hAnsi="Arial"/>
                <w:szCs w:val="21"/>
              </w:rPr>
              <w:t>exsuscitat</w:t>
            </w:r>
            <w:proofErr w:type="spellEnd"/>
            <w:proofErr w:type="gramStart"/>
            <w:r w:rsidRPr="001A5375">
              <w:rPr>
                <w:rFonts w:ascii="Arial" w:hAnsi="Arial"/>
                <w:szCs w:val="21"/>
              </w:rPr>
              <w:t>... :</w:t>
            </w:r>
            <w:proofErr w:type="gramEnd"/>
            <w:r w:rsidRPr="001A5375">
              <w:rPr>
                <w:rFonts w:ascii="Arial" w:hAnsi="Arial"/>
                <w:szCs w:val="21"/>
              </w:rPr>
              <w:t xml:space="preserve"> Sie können hier einen neuen Satz beginnen, also </w:t>
            </w:r>
            <w:r w:rsidRPr="001A5375">
              <w:rPr>
                <w:rFonts w:ascii="Arial" w:hAnsi="Arial"/>
                <w:szCs w:val="21"/>
              </w:rPr>
              <w:lastRenderedPageBreak/>
              <w:t>nach </w:t>
            </w:r>
            <w:proofErr w:type="spellStart"/>
            <w:r w:rsidRPr="001A5375">
              <w:rPr>
                <w:rFonts w:ascii="Arial" w:hAnsi="Arial"/>
                <w:i/>
                <w:iCs/>
                <w:szCs w:val="21"/>
              </w:rPr>
              <w:t>ceterisque</w:t>
            </w:r>
            <w:proofErr w:type="spellEnd"/>
            <w:r w:rsidRPr="001A5375">
              <w:rPr>
                <w:rFonts w:ascii="Arial" w:hAnsi="Arial"/>
                <w:szCs w:val="21"/>
              </w:rPr>
              <w:t> einen Punkt setzen. Der mit </w:t>
            </w:r>
            <w:proofErr w:type="spellStart"/>
            <w:r w:rsidRPr="001A5375">
              <w:rPr>
                <w:rFonts w:ascii="Arial" w:hAnsi="Arial"/>
                <w:i/>
                <w:iCs/>
                <w:szCs w:val="21"/>
              </w:rPr>
              <w:t>quae</w:t>
            </w:r>
            <w:proofErr w:type="spellEnd"/>
            <w:r w:rsidRPr="001A5375">
              <w:rPr>
                <w:rFonts w:ascii="Arial" w:hAnsi="Arial"/>
                <w:i/>
                <w:iCs/>
                <w:szCs w:val="21"/>
              </w:rPr>
              <w:t xml:space="preserve"> </w:t>
            </w:r>
            <w:proofErr w:type="spellStart"/>
            <w:r w:rsidRPr="001A5375">
              <w:rPr>
                <w:rFonts w:ascii="Arial" w:hAnsi="Arial"/>
                <w:i/>
                <w:iCs/>
                <w:szCs w:val="21"/>
              </w:rPr>
              <w:t>cura</w:t>
            </w:r>
            <w:r w:rsidRPr="001A5375">
              <w:rPr>
                <w:rFonts w:ascii="Arial" w:hAnsi="Arial"/>
                <w:szCs w:val="21"/>
              </w:rPr>
              <w:t>beginnende</w:t>
            </w:r>
            <w:proofErr w:type="spellEnd"/>
            <w:r w:rsidRPr="001A5375">
              <w:rPr>
                <w:rFonts w:ascii="Arial" w:hAnsi="Arial"/>
                <w:szCs w:val="21"/>
              </w:rPr>
              <w:t xml:space="preserve"> Relativsatz ist ein Beispiel dafür, dass das Bezugswort im Relativsatz selbst stehen kann. Erläuterungen siehe im Kapitel Satzbau.</w:t>
            </w:r>
          </w:p>
        </w:tc>
      </w:tr>
    </w:tbl>
    <w:p w14:paraId="10D539E8" w14:textId="77777777" w:rsidR="001A5375" w:rsidRPr="001A5375" w:rsidRDefault="001A5375" w:rsidP="001A5375">
      <w:pPr>
        <w:rPr>
          <w:rFonts w:ascii="Arial" w:hAnsi="Arial"/>
          <w:szCs w:val="21"/>
        </w:rPr>
      </w:pPr>
      <w:r w:rsidRPr="001A5375">
        <w:rPr>
          <w:rFonts w:ascii="Arial" w:hAnsi="Arial"/>
          <w:szCs w:val="21"/>
        </w:rPr>
        <w:lastRenderedPageBreak/>
        <w:t> </w:t>
      </w:r>
    </w:p>
    <w:p w14:paraId="5F1B2CAE" w14:textId="77777777" w:rsidR="001A5375" w:rsidRPr="001A5375" w:rsidRDefault="001A5375" w:rsidP="001A5375">
      <w:pPr>
        <w:rPr>
          <w:rFonts w:ascii="Arial" w:hAnsi="Arial"/>
          <w:szCs w:val="21"/>
        </w:rPr>
      </w:pPr>
      <w:r w:rsidRPr="001A5375">
        <w:rPr>
          <w:rFonts w:ascii="Arial" w:hAnsi="Arial"/>
          <w:szCs w:val="21"/>
        </w:rPr>
        <w:t>Der ursprüngliche Forschungstrieb führt zur Erkenntnis der Wahrheit</w:t>
      </w:r>
    </w:p>
    <w:tbl>
      <w:tblPr>
        <w:tblW w:w="9206"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shd w:val="clear" w:color="auto" w:fill="FFFFFF"/>
        <w:tblCellMar>
          <w:top w:w="60" w:type="dxa"/>
          <w:left w:w="60" w:type="dxa"/>
          <w:bottom w:w="60" w:type="dxa"/>
          <w:right w:w="60" w:type="dxa"/>
        </w:tblCellMar>
        <w:tblLook w:val="04A0" w:firstRow="1" w:lastRow="0" w:firstColumn="1" w:lastColumn="0" w:noHBand="0" w:noVBand="1"/>
      </w:tblPr>
      <w:tblGrid>
        <w:gridCol w:w="4878"/>
        <w:gridCol w:w="4328"/>
      </w:tblGrid>
      <w:tr w:rsidR="001A5375" w:rsidRPr="001A5375" w14:paraId="65465B2F" w14:textId="77777777" w:rsidTr="00F118F3">
        <w:tc>
          <w:tcPr>
            <w:tcW w:w="0" w:type="auto"/>
            <w:shd w:val="clear" w:color="auto" w:fill="FFFFFF"/>
            <w:tcMar>
              <w:top w:w="142" w:type="dxa"/>
              <w:left w:w="142" w:type="dxa"/>
              <w:bottom w:w="142" w:type="dxa"/>
              <w:right w:w="142" w:type="dxa"/>
            </w:tcMar>
            <w:hideMark/>
          </w:tcPr>
          <w:p w14:paraId="308E0047" w14:textId="77777777" w:rsidR="001A5375" w:rsidRPr="000F48C0" w:rsidRDefault="001A5375" w:rsidP="001A5375">
            <w:pPr>
              <w:rPr>
                <w:rFonts w:ascii="Arial" w:hAnsi="Arial"/>
                <w:szCs w:val="21"/>
                <w:lang w:val="la-Latn"/>
              </w:rPr>
            </w:pPr>
            <w:r w:rsidRPr="000F48C0">
              <w:rPr>
                <w:rFonts w:ascii="Arial" w:hAnsi="Arial"/>
                <w:szCs w:val="21"/>
                <w:lang w:val="la-Latn"/>
              </w:rPr>
              <w:t>Text</w:t>
            </w:r>
          </w:p>
        </w:tc>
        <w:tc>
          <w:tcPr>
            <w:tcW w:w="4328" w:type="dxa"/>
            <w:shd w:val="clear" w:color="auto" w:fill="FFFFFF"/>
            <w:tcMar>
              <w:top w:w="142" w:type="dxa"/>
              <w:left w:w="142" w:type="dxa"/>
              <w:bottom w:w="142" w:type="dxa"/>
              <w:right w:w="142" w:type="dxa"/>
            </w:tcMar>
            <w:hideMark/>
          </w:tcPr>
          <w:p w14:paraId="52AD814D" w14:textId="77777777" w:rsidR="001A5375" w:rsidRPr="001A5375" w:rsidRDefault="001A5375" w:rsidP="001A5375">
            <w:pPr>
              <w:rPr>
                <w:rFonts w:ascii="Arial" w:hAnsi="Arial"/>
                <w:szCs w:val="21"/>
              </w:rPr>
            </w:pPr>
            <w:r w:rsidRPr="001A5375">
              <w:rPr>
                <w:rFonts w:ascii="Arial" w:hAnsi="Arial"/>
                <w:szCs w:val="21"/>
              </w:rPr>
              <w:t>Übersetzungshilfen und Links zu den Grammatikkapiteln im Lateinportal</w:t>
            </w:r>
          </w:p>
        </w:tc>
      </w:tr>
      <w:tr w:rsidR="001A5375" w:rsidRPr="001A5375" w14:paraId="707B6AE0" w14:textId="77777777" w:rsidTr="00F118F3">
        <w:tc>
          <w:tcPr>
            <w:tcW w:w="0" w:type="auto"/>
            <w:shd w:val="clear" w:color="auto" w:fill="FFFFFF"/>
            <w:tcMar>
              <w:top w:w="142" w:type="dxa"/>
              <w:left w:w="142" w:type="dxa"/>
              <w:bottom w:w="142" w:type="dxa"/>
              <w:right w:w="142" w:type="dxa"/>
            </w:tcMar>
            <w:hideMark/>
          </w:tcPr>
          <w:p w14:paraId="57250FB6" w14:textId="77777777" w:rsidR="001A5375" w:rsidRPr="000F48C0" w:rsidRDefault="001A5375" w:rsidP="001A5375">
            <w:pPr>
              <w:rPr>
                <w:rFonts w:ascii="Arial" w:hAnsi="Arial"/>
                <w:szCs w:val="21"/>
                <w:lang w:val="la-Latn"/>
              </w:rPr>
            </w:pPr>
            <w:r w:rsidRPr="000F48C0">
              <w:rPr>
                <w:rFonts w:ascii="Arial" w:hAnsi="Arial"/>
                <w:szCs w:val="21"/>
                <w:lang w:val="la-Latn"/>
              </w:rPr>
              <w:t>[De officiis 1, 13]</w:t>
            </w:r>
          </w:p>
          <w:p w14:paraId="43D899B3" w14:textId="77777777" w:rsidR="001A5375" w:rsidRPr="000F48C0" w:rsidRDefault="001A5375" w:rsidP="001A5375">
            <w:pPr>
              <w:rPr>
                <w:rFonts w:ascii="Arial" w:hAnsi="Arial"/>
                <w:szCs w:val="21"/>
                <w:lang w:val="la-Latn"/>
              </w:rPr>
            </w:pPr>
            <w:r w:rsidRPr="000F48C0">
              <w:rPr>
                <w:rFonts w:ascii="Arial" w:hAnsi="Arial"/>
                <w:szCs w:val="21"/>
                <w:lang w:val="la-Latn"/>
              </w:rPr>
              <w:t>Imprimisque hominis est propria veri inquisitio atque investigatio.</w:t>
            </w:r>
          </w:p>
          <w:p w14:paraId="678D4709" w14:textId="77777777" w:rsidR="001A5375" w:rsidRPr="000F48C0" w:rsidRDefault="001A5375" w:rsidP="00F118F3">
            <w:pPr>
              <w:ind w:left="709"/>
              <w:rPr>
                <w:rFonts w:ascii="Arial" w:hAnsi="Arial"/>
                <w:szCs w:val="21"/>
                <w:lang w:val="la-Latn"/>
              </w:rPr>
            </w:pPr>
            <w:r w:rsidRPr="000F48C0">
              <w:rPr>
                <w:rFonts w:ascii="Arial" w:hAnsi="Arial"/>
                <w:szCs w:val="21"/>
                <w:lang w:val="la-Latn"/>
              </w:rPr>
              <w:t>Itaque cum sumus necessariis negotiis curisque vacui,</w:t>
            </w:r>
          </w:p>
          <w:p w14:paraId="31EB0A66" w14:textId="77777777" w:rsidR="001A5375" w:rsidRPr="000F48C0" w:rsidRDefault="001A5375" w:rsidP="001A5375">
            <w:pPr>
              <w:rPr>
                <w:rFonts w:ascii="Arial" w:hAnsi="Arial"/>
                <w:szCs w:val="21"/>
                <w:lang w:val="la-Latn"/>
              </w:rPr>
            </w:pPr>
            <w:r w:rsidRPr="000F48C0">
              <w:rPr>
                <w:rFonts w:ascii="Arial" w:hAnsi="Arial"/>
                <w:szCs w:val="21"/>
                <w:lang w:val="la-Latn"/>
              </w:rPr>
              <w:t>tum avemus aliquid videre, audire, addiscere cognitionemque rerum aut occultarum aut admirabilium ad beate vivendum necessariam ducimus.</w:t>
            </w:r>
          </w:p>
        </w:tc>
        <w:tc>
          <w:tcPr>
            <w:tcW w:w="4328" w:type="dxa"/>
            <w:shd w:val="clear" w:color="auto" w:fill="FFFFFF"/>
            <w:tcMar>
              <w:top w:w="142" w:type="dxa"/>
              <w:left w:w="142" w:type="dxa"/>
              <w:bottom w:w="142" w:type="dxa"/>
              <w:right w:w="142" w:type="dxa"/>
            </w:tcMar>
            <w:hideMark/>
          </w:tcPr>
          <w:p w14:paraId="20FAB4A3" w14:textId="77777777" w:rsidR="001A5375" w:rsidRPr="001A5375" w:rsidRDefault="001A5375" w:rsidP="001A5375">
            <w:pPr>
              <w:rPr>
                <w:rFonts w:ascii="Arial" w:hAnsi="Arial"/>
                <w:szCs w:val="21"/>
              </w:rPr>
            </w:pPr>
            <w:proofErr w:type="spellStart"/>
            <w:r w:rsidRPr="001A5375">
              <w:rPr>
                <w:rFonts w:ascii="Arial" w:hAnsi="Arial"/>
                <w:szCs w:val="21"/>
              </w:rPr>
              <w:t>negotia</w:t>
            </w:r>
            <w:proofErr w:type="spellEnd"/>
            <w:r w:rsidRPr="001A5375">
              <w:rPr>
                <w:rFonts w:ascii="Arial" w:hAnsi="Arial"/>
                <w:szCs w:val="21"/>
              </w:rPr>
              <w:t xml:space="preserve">, </w:t>
            </w:r>
            <w:proofErr w:type="spellStart"/>
            <w:r w:rsidRPr="001A5375">
              <w:rPr>
                <w:rFonts w:ascii="Arial" w:hAnsi="Arial"/>
                <w:szCs w:val="21"/>
              </w:rPr>
              <w:t>negotiorum</w:t>
            </w:r>
            <w:proofErr w:type="spellEnd"/>
            <w:r w:rsidRPr="001A5375">
              <w:rPr>
                <w:rFonts w:ascii="Arial" w:hAnsi="Arial"/>
                <w:szCs w:val="21"/>
              </w:rPr>
              <w:t>, n.: die Beschäftigungen</w:t>
            </w:r>
          </w:p>
          <w:p w14:paraId="4CF092ED" w14:textId="77777777" w:rsidR="001A5375" w:rsidRPr="001A5375" w:rsidRDefault="001A5375" w:rsidP="001A5375">
            <w:pPr>
              <w:rPr>
                <w:rFonts w:ascii="Arial" w:hAnsi="Arial"/>
                <w:szCs w:val="21"/>
              </w:rPr>
            </w:pPr>
            <w:proofErr w:type="spellStart"/>
            <w:r w:rsidRPr="001A5375">
              <w:rPr>
                <w:rFonts w:ascii="Arial" w:hAnsi="Arial"/>
                <w:szCs w:val="21"/>
              </w:rPr>
              <w:t>negotiis</w:t>
            </w:r>
            <w:proofErr w:type="spellEnd"/>
            <w:r w:rsidRPr="001A5375">
              <w:rPr>
                <w:rFonts w:ascii="Arial" w:hAnsi="Arial"/>
                <w:szCs w:val="21"/>
              </w:rPr>
              <w:t xml:space="preserve"> </w:t>
            </w:r>
            <w:proofErr w:type="spellStart"/>
            <w:r w:rsidRPr="001A5375">
              <w:rPr>
                <w:rFonts w:ascii="Arial" w:hAnsi="Arial"/>
                <w:szCs w:val="21"/>
              </w:rPr>
              <w:t>curisque</w:t>
            </w:r>
            <w:proofErr w:type="spellEnd"/>
            <w:r w:rsidRPr="001A5375">
              <w:rPr>
                <w:rFonts w:ascii="Arial" w:hAnsi="Arial"/>
                <w:szCs w:val="21"/>
              </w:rPr>
              <w:t xml:space="preserve">: Ablativus </w:t>
            </w:r>
            <w:proofErr w:type="spellStart"/>
            <w:r w:rsidRPr="001A5375">
              <w:rPr>
                <w:rFonts w:ascii="Arial" w:hAnsi="Arial"/>
                <w:szCs w:val="21"/>
              </w:rPr>
              <w:t>separativus</w:t>
            </w:r>
            <w:proofErr w:type="spellEnd"/>
            <w:r w:rsidRPr="001A5375">
              <w:rPr>
                <w:rFonts w:ascii="Arial" w:hAnsi="Arial"/>
                <w:szCs w:val="21"/>
              </w:rPr>
              <w:t>, abhängig von </w:t>
            </w:r>
            <w:proofErr w:type="spellStart"/>
            <w:r w:rsidRPr="001A5375">
              <w:rPr>
                <w:rFonts w:ascii="Arial" w:hAnsi="Arial"/>
                <w:i/>
                <w:iCs/>
                <w:szCs w:val="21"/>
              </w:rPr>
              <w:t>vacui</w:t>
            </w:r>
            <w:proofErr w:type="spellEnd"/>
          </w:p>
          <w:p w14:paraId="44417367" w14:textId="77777777" w:rsidR="001A5375" w:rsidRPr="001A5375" w:rsidRDefault="001A5375" w:rsidP="001A5375">
            <w:pPr>
              <w:rPr>
                <w:rFonts w:ascii="Arial" w:hAnsi="Arial"/>
                <w:szCs w:val="21"/>
              </w:rPr>
            </w:pPr>
            <w:proofErr w:type="spellStart"/>
            <w:r w:rsidRPr="001A5375">
              <w:rPr>
                <w:rFonts w:ascii="Arial" w:hAnsi="Arial"/>
                <w:szCs w:val="21"/>
              </w:rPr>
              <w:t>aveo</w:t>
            </w:r>
            <w:proofErr w:type="spellEnd"/>
            <w:r w:rsidRPr="001A5375">
              <w:rPr>
                <w:rFonts w:ascii="Arial" w:hAnsi="Arial"/>
                <w:szCs w:val="21"/>
              </w:rPr>
              <w:t xml:space="preserve"> ~ </w:t>
            </w:r>
            <w:proofErr w:type="spellStart"/>
            <w:r w:rsidRPr="001A5375">
              <w:rPr>
                <w:rFonts w:ascii="Arial" w:hAnsi="Arial"/>
                <w:szCs w:val="21"/>
              </w:rPr>
              <w:t>cupio</w:t>
            </w:r>
            <w:proofErr w:type="spellEnd"/>
          </w:p>
          <w:p w14:paraId="1DF50013" w14:textId="77777777" w:rsidR="001A5375" w:rsidRPr="001A5375" w:rsidRDefault="001A5375" w:rsidP="001A5375">
            <w:pPr>
              <w:rPr>
                <w:rFonts w:ascii="Arial" w:hAnsi="Arial"/>
                <w:szCs w:val="21"/>
              </w:rPr>
            </w:pPr>
            <w:proofErr w:type="spellStart"/>
            <w:r w:rsidRPr="001A5375">
              <w:rPr>
                <w:rFonts w:ascii="Arial" w:hAnsi="Arial"/>
                <w:szCs w:val="21"/>
              </w:rPr>
              <w:t>addiscere</w:t>
            </w:r>
            <w:proofErr w:type="spellEnd"/>
            <w:r w:rsidRPr="001A5375">
              <w:rPr>
                <w:rFonts w:ascii="Arial" w:hAnsi="Arial"/>
                <w:szCs w:val="21"/>
              </w:rPr>
              <w:t>: hinzulernen</w:t>
            </w:r>
          </w:p>
          <w:p w14:paraId="5B10A195" w14:textId="77777777" w:rsidR="001A5375" w:rsidRPr="001A5375" w:rsidRDefault="001A5375" w:rsidP="001A5375">
            <w:pPr>
              <w:rPr>
                <w:rFonts w:ascii="Arial" w:hAnsi="Arial"/>
                <w:szCs w:val="21"/>
              </w:rPr>
            </w:pPr>
            <w:proofErr w:type="spellStart"/>
            <w:r w:rsidRPr="001A5375">
              <w:rPr>
                <w:rFonts w:ascii="Arial" w:hAnsi="Arial"/>
                <w:szCs w:val="21"/>
              </w:rPr>
              <w:t>occultus</w:t>
            </w:r>
            <w:proofErr w:type="spellEnd"/>
            <w:r w:rsidRPr="001A5375">
              <w:rPr>
                <w:rFonts w:ascii="Arial" w:hAnsi="Arial"/>
                <w:szCs w:val="21"/>
              </w:rPr>
              <w:t xml:space="preserve">, </w:t>
            </w:r>
            <w:proofErr w:type="spellStart"/>
            <w:r w:rsidRPr="001A5375">
              <w:rPr>
                <w:rFonts w:ascii="Arial" w:hAnsi="Arial"/>
                <w:szCs w:val="21"/>
              </w:rPr>
              <w:t>occulta</w:t>
            </w:r>
            <w:proofErr w:type="spellEnd"/>
            <w:r w:rsidRPr="001A5375">
              <w:rPr>
                <w:rFonts w:ascii="Arial" w:hAnsi="Arial"/>
                <w:szCs w:val="21"/>
              </w:rPr>
              <w:t xml:space="preserve">, </w:t>
            </w:r>
            <w:proofErr w:type="spellStart"/>
            <w:r w:rsidRPr="001A5375">
              <w:rPr>
                <w:rFonts w:ascii="Arial" w:hAnsi="Arial"/>
                <w:szCs w:val="21"/>
              </w:rPr>
              <w:t>occultum</w:t>
            </w:r>
            <w:proofErr w:type="spellEnd"/>
            <w:r w:rsidRPr="001A5375">
              <w:rPr>
                <w:rFonts w:ascii="Arial" w:hAnsi="Arial"/>
                <w:szCs w:val="21"/>
              </w:rPr>
              <w:t>: verborgen</w:t>
            </w:r>
          </w:p>
          <w:p w14:paraId="2813B250" w14:textId="77777777" w:rsidR="001A5375" w:rsidRPr="001A5375" w:rsidRDefault="001A5375" w:rsidP="001A5375">
            <w:pPr>
              <w:rPr>
                <w:rFonts w:ascii="Arial" w:hAnsi="Arial"/>
                <w:szCs w:val="21"/>
              </w:rPr>
            </w:pPr>
            <w:proofErr w:type="spellStart"/>
            <w:r w:rsidRPr="001A5375">
              <w:rPr>
                <w:rFonts w:ascii="Arial" w:hAnsi="Arial"/>
                <w:szCs w:val="21"/>
              </w:rPr>
              <w:t>ducere</w:t>
            </w:r>
            <w:proofErr w:type="spellEnd"/>
            <w:r w:rsidRPr="001A5375">
              <w:rPr>
                <w:rFonts w:ascii="Arial" w:hAnsi="Arial"/>
                <w:szCs w:val="21"/>
              </w:rPr>
              <w:t xml:space="preserve"> mit doppeltem Akkusativ: halten für</w:t>
            </w:r>
          </w:p>
          <w:p w14:paraId="16AC7118" w14:textId="77777777" w:rsidR="001A5375" w:rsidRPr="001A5375" w:rsidRDefault="001A5375" w:rsidP="001A5375">
            <w:pPr>
              <w:rPr>
                <w:rFonts w:ascii="Arial" w:hAnsi="Arial"/>
                <w:szCs w:val="21"/>
              </w:rPr>
            </w:pPr>
            <w:r w:rsidRPr="001A5375">
              <w:rPr>
                <w:rFonts w:ascii="Arial" w:hAnsi="Arial"/>
                <w:i/>
                <w:iCs/>
                <w:szCs w:val="21"/>
              </w:rPr>
              <w:t xml:space="preserve">ad </w:t>
            </w:r>
            <w:proofErr w:type="spellStart"/>
            <w:r w:rsidRPr="001A5375">
              <w:rPr>
                <w:rFonts w:ascii="Arial" w:hAnsi="Arial"/>
                <w:i/>
                <w:iCs/>
                <w:szCs w:val="21"/>
              </w:rPr>
              <w:t>beate</w:t>
            </w:r>
            <w:proofErr w:type="spellEnd"/>
            <w:r w:rsidRPr="001A5375">
              <w:rPr>
                <w:rFonts w:ascii="Arial" w:hAnsi="Arial"/>
                <w:i/>
                <w:iCs/>
                <w:szCs w:val="21"/>
              </w:rPr>
              <w:t xml:space="preserve"> </w:t>
            </w:r>
            <w:proofErr w:type="spellStart"/>
            <w:r w:rsidRPr="001A5375">
              <w:rPr>
                <w:rFonts w:ascii="Arial" w:hAnsi="Arial"/>
                <w:i/>
                <w:iCs/>
                <w:szCs w:val="21"/>
              </w:rPr>
              <w:t>vivendum</w:t>
            </w:r>
            <w:proofErr w:type="spellEnd"/>
            <w:r w:rsidRPr="001A5375">
              <w:rPr>
                <w:rFonts w:ascii="Arial" w:hAnsi="Arial"/>
                <w:szCs w:val="21"/>
              </w:rPr>
              <w:t> ist von </w:t>
            </w:r>
            <w:proofErr w:type="spellStart"/>
            <w:r w:rsidRPr="001A5375">
              <w:rPr>
                <w:rFonts w:ascii="Arial" w:hAnsi="Arial"/>
                <w:i/>
                <w:iCs/>
                <w:szCs w:val="21"/>
              </w:rPr>
              <w:t>necessariam</w:t>
            </w:r>
            <w:proofErr w:type="spellEnd"/>
            <w:r w:rsidRPr="001A5375">
              <w:rPr>
                <w:rFonts w:ascii="Arial" w:hAnsi="Arial"/>
                <w:szCs w:val="21"/>
              </w:rPr>
              <w:t> abhängig.</w:t>
            </w:r>
          </w:p>
        </w:tc>
      </w:tr>
      <w:tr w:rsidR="001A5375" w:rsidRPr="001A5375" w14:paraId="4CDAB92C" w14:textId="77777777" w:rsidTr="00F118F3">
        <w:tc>
          <w:tcPr>
            <w:tcW w:w="0" w:type="auto"/>
            <w:shd w:val="clear" w:color="auto" w:fill="FFFFFF"/>
            <w:tcMar>
              <w:top w:w="142" w:type="dxa"/>
              <w:left w:w="142" w:type="dxa"/>
              <w:bottom w:w="142" w:type="dxa"/>
              <w:right w:w="142" w:type="dxa"/>
            </w:tcMar>
            <w:hideMark/>
          </w:tcPr>
          <w:p w14:paraId="49C00651" w14:textId="77777777" w:rsidR="001A5375" w:rsidRPr="000F48C0" w:rsidRDefault="001A5375" w:rsidP="001A5375">
            <w:pPr>
              <w:rPr>
                <w:rFonts w:ascii="Arial" w:hAnsi="Arial"/>
                <w:szCs w:val="21"/>
                <w:lang w:val="la-Latn"/>
              </w:rPr>
            </w:pPr>
            <w:r w:rsidRPr="000F48C0">
              <w:rPr>
                <w:rFonts w:ascii="Arial" w:hAnsi="Arial"/>
                <w:szCs w:val="21"/>
                <w:lang w:val="la-Latn"/>
              </w:rPr>
              <w:lastRenderedPageBreak/>
              <w:t>Ex quo intellegitur, quod verum, simplex sincerumque sit, id esse naturae hominis aptissimum.</w:t>
            </w:r>
          </w:p>
        </w:tc>
        <w:tc>
          <w:tcPr>
            <w:tcW w:w="4328" w:type="dxa"/>
            <w:shd w:val="clear" w:color="auto" w:fill="FFFFFF"/>
            <w:tcMar>
              <w:top w:w="142" w:type="dxa"/>
              <w:left w:w="142" w:type="dxa"/>
              <w:bottom w:w="142" w:type="dxa"/>
              <w:right w:w="142" w:type="dxa"/>
            </w:tcMar>
            <w:hideMark/>
          </w:tcPr>
          <w:p w14:paraId="66BF1D7A" w14:textId="77777777" w:rsidR="001A5375" w:rsidRPr="001A5375" w:rsidRDefault="001A5375" w:rsidP="001A5375">
            <w:pPr>
              <w:rPr>
                <w:rFonts w:ascii="Arial" w:hAnsi="Arial"/>
                <w:szCs w:val="21"/>
              </w:rPr>
            </w:pPr>
            <w:r w:rsidRPr="001A5375">
              <w:rPr>
                <w:rFonts w:ascii="Arial" w:hAnsi="Arial"/>
                <w:szCs w:val="21"/>
              </w:rPr>
              <w:t>ex quo...: Relativischer Satzanschluss</w:t>
            </w:r>
          </w:p>
        </w:tc>
      </w:tr>
      <w:tr w:rsidR="001A5375" w:rsidRPr="001A5375" w14:paraId="0B8A55B4" w14:textId="77777777" w:rsidTr="00F118F3">
        <w:tc>
          <w:tcPr>
            <w:tcW w:w="0" w:type="auto"/>
            <w:shd w:val="clear" w:color="auto" w:fill="FFFFFF"/>
            <w:tcMar>
              <w:top w:w="142" w:type="dxa"/>
              <w:left w:w="142" w:type="dxa"/>
              <w:bottom w:w="142" w:type="dxa"/>
              <w:right w:w="142" w:type="dxa"/>
            </w:tcMar>
            <w:hideMark/>
          </w:tcPr>
          <w:p w14:paraId="7DFE9D61" w14:textId="77777777" w:rsidR="001A5375" w:rsidRPr="000F48C0" w:rsidRDefault="001A5375" w:rsidP="001A5375">
            <w:pPr>
              <w:rPr>
                <w:rFonts w:ascii="Arial" w:hAnsi="Arial"/>
                <w:szCs w:val="21"/>
                <w:lang w:val="la-Latn"/>
              </w:rPr>
            </w:pPr>
            <w:r w:rsidRPr="000F48C0">
              <w:rPr>
                <w:rFonts w:ascii="Arial" w:hAnsi="Arial"/>
                <w:szCs w:val="21"/>
                <w:lang w:val="la-Latn"/>
              </w:rPr>
              <w:t>Huic veri videndi cupiditati adiuncta est appetitio quaedam principatus,</w:t>
            </w:r>
          </w:p>
          <w:p w14:paraId="2BE88E9F" w14:textId="77777777" w:rsidR="001A5375" w:rsidRPr="000F48C0" w:rsidRDefault="001A5375" w:rsidP="00F118F3">
            <w:pPr>
              <w:ind w:left="709"/>
              <w:rPr>
                <w:rFonts w:ascii="Arial" w:hAnsi="Arial"/>
                <w:szCs w:val="21"/>
                <w:lang w:val="la-Latn"/>
              </w:rPr>
            </w:pPr>
            <w:r w:rsidRPr="000F48C0">
              <w:rPr>
                <w:rFonts w:ascii="Arial" w:hAnsi="Arial"/>
                <w:szCs w:val="21"/>
                <w:lang w:val="la-Latn"/>
              </w:rPr>
              <w:t>ut nemini parēre animus bene informatus a natura velit nisi praecipienti aut docenti aut utilitatis causa iuste et legitime imperanti;</w:t>
            </w:r>
          </w:p>
          <w:p w14:paraId="13B43152" w14:textId="77777777" w:rsidR="001A5375" w:rsidRPr="000F48C0" w:rsidRDefault="001A5375" w:rsidP="001A5375">
            <w:pPr>
              <w:rPr>
                <w:rFonts w:ascii="Arial" w:hAnsi="Arial"/>
                <w:szCs w:val="21"/>
                <w:lang w:val="la-Latn"/>
              </w:rPr>
            </w:pPr>
            <w:r w:rsidRPr="000F48C0">
              <w:rPr>
                <w:rFonts w:ascii="Arial" w:hAnsi="Arial"/>
                <w:szCs w:val="21"/>
                <w:lang w:val="la-Latn"/>
              </w:rPr>
              <w:t>ex quo magnitudo animi existit humanarumque rerum contemptio.</w:t>
            </w:r>
          </w:p>
        </w:tc>
        <w:tc>
          <w:tcPr>
            <w:tcW w:w="4328" w:type="dxa"/>
            <w:shd w:val="clear" w:color="auto" w:fill="FFFFFF"/>
            <w:tcMar>
              <w:top w:w="142" w:type="dxa"/>
              <w:left w:w="142" w:type="dxa"/>
              <w:bottom w:w="142" w:type="dxa"/>
              <w:right w:w="142" w:type="dxa"/>
            </w:tcMar>
            <w:hideMark/>
          </w:tcPr>
          <w:p w14:paraId="02D4DC2D" w14:textId="77777777" w:rsidR="001A5375" w:rsidRPr="001A5375" w:rsidRDefault="001A5375" w:rsidP="001A5375">
            <w:pPr>
              <w:rPr>
                <w:rFonts w:ascii="Arial" w:hAnsi="Arial"/>
                <w:szCs w:val="21"/>
              </w:rPr>
            </w:pPr>
            <w:proofErr w:type="spellStart"/>
            <w:r w:rsidRPr="001A5375">
              <w:rPr>
                <w:rFonts w:ascii="Arial" w:hAnsi="Arial"/>
                <w:szCs w:val="21"/>
              </w:rPr>
              <w:t>praecipienti</w:t>
            </w:r>
            <w:proofErr w:type="spellEnd"/>
            <w:r w:rsidRPr="001A5375">
              <w:rPr>
                <w:rFonts w:ascii="Arial" w:hAnsi="Arial"/>
                <w:szCs w:val="21"/>
              </w:rPr>
              <w:t xml:space="preserve"> ... </w:t>
            </w:r>
            <w:proofErr w:type="spellStart"/>
            <w:r w:rsidRPr="001A5375">
              <w:rPr>
                <w:rFonts w:ascii="Arial" w:hAnsi="Arial"/>
                <w:szCs w:val="21"/>
              </w:rPr>
              <w:t>docenti</w:t>
            </w:r>
            <w:proofErr w:type="spellEnd"/>
            <w:r w:rsidRPr="001A5375">
              <w:rPr>
                <w:rFonts w:ascii="Arial" w:hAnsi="Arial"/>
                <w:szCs w:val="21"/>
              </w:rPr>
              <w:t xml:space="preserve"> ... </w:t>
            </w:r>
            <w:proofErr w:type="spellStart"/>
            <w:r w:rsidRPr="001A5375">
              <w:rPr>
                <w:rFonts w:ascii="Arial" w:hAnsi="Arial"/>
                <w:szCs w:val="21"/>
              </w:rPr>
              <w:t>imperanti</w:t>
            </w:r>
            <w:proofErr w:type="spellEnd"/>
            <w:r w:rsidRPr="001A5375">
              <w:rPr>
                <w:rFonts w:ascii="Arial" w:hAnsi="Arial"/>
                <w:szCs w:val="21"/>
              </w:rPr>
              <w:t>: Partizipialkonstruktion, das Bezugswort ist </w:t>
            </w:r>
            <w:proofErr w:type="spellStart"/>
            <w:r w:rsidRPr="001A5375">
              <w:rPr>
                <w:rFonts w:ascii="Arial" w:hAnsi="Arial"/>
                <w:i/>
                <w:iCs/>
                <w:szCs w:val="21"/>
              </w:rPr>
              <w:t>nemini</w:t>
            </w:r>
            <w:proofErr w:type="spellEnd"/>
          </w:p>
          <w:p w14:paraId="3B0F6577" w14:textId="77777777" w:rsidR="001A5375" w:rsidRPr="001A5375" w:rsidRDefault="001A5375" w:rsidP="001A5375">
            <w:pPr>
              <w:rPr>
                <w:rFonts w:ascii="Arial" w:hAnsi="Arial"/>
                <w:szCs w:val="21"/>
              </w:rPr>
            </w:pPr>
            <w:r w:rsidRPr="001A5375">
              <w:rPr>
                <w:rFonts w:ascii="Arial" w:hAnsi="Arial"/>
                <w:szCs w:val="21"/>
              </w:rPr>
              <w:t>ex quo...: Relativischer Satzanschluss</w:t>
            </w:r>
          </w:p>
          <w:p w14:paraId="58B46C22" w14:textId="77777777" w:rsidR="001A5375" w:rsidRPr="001A5375" w:rsidRDefault="001A5375" w:rsidP="001A5375">
            <w:pPr>
              <w:rPr>
                <w:rFonts w:ascii="Arial" w:hAnsi="Arial"/>
                <w:szCs w:val="21"/>
              </w:rPr>
            </w:pPr>
            <w:proofErr w:type="spellStart"/>
            <w:r w:rsidRPr="001A5375">
              <w:rPr>
                <w:rFonts w:ascii="Arial" w:hAnsi="Arial"/>
                <w:szCs w:val="21"/>
              </w:rPr>
              <w:t>existere</w:t>
            </w:r>
            <w:proofErr w:type="spellEnd"/>
            <w:r w:rsidRPr="001A5375">
              <w:rPr>
                <w:rFonts w:ascii="Arial" w:hAnsi="Arial"/>
                <w:szCs w:val="21"/>
              </w:rPr>
              <w:t>: entstehen</w:t>
            </w:r>
          </w:p>
          <w:p w14:paraId="1CA54665" w14:textId="77777777" w:rsidR="001A5375" w:rsidRPr="001A5375" w:rsidRDefault="001A5375" w:rsidP="001A5375">
            <w:pPr>
              <w:rPr>
                <w:rFonts w:ascii="Arial" w:hAnsi="Arial"/>
                <w:szCs w:val="21"/>
              </w:rPr>
            </w:pPr>
            <w:proofErr w:type="spellStart"/>
            <w:r w:rsidRPr="001A5375">
              <w:rPr>
                <w:rFonts w:ascii="Arial" w:hAnsi="Arial"/>
                <w:szCs w:val="21"/>
              </w:rPr>
              <w:t>contemptio</w:t>
            </w:r>
            <w:proofErr w:type="spellEnd"/>
            <w:r w:rsidRPr="001A5375">
              <w:rPr>
                <w:rFonts w:ascii="Arial" w:hAnsi="Arial"/>
                <w:szCs w:val="21"/>
              </w:rPr>
              <w:t xml:space="preserve">, </w:t>
            </w:r>
            <w:proofErr w:type="spellStart"/>
            <w:r w:rsidRPr="001A5375">
              <w:rPr>
                <w:rFonts w:ascii="Arial" w:hAnsi="Arial"/>
                <w:szCs w:val="21"/>
              </w:rPr>
              <w:t>contemptionis</w:t>
            </w:r>
            <w:proofErr w:type="spellEnd"/>
            <w:r w:rsidRPr="001A5375">
              <w:rPr>
                <w:rFonts w:ascii="Arial" w:hAnsi="Arial"/>
                <w:szCs w:val="21"/>
              </w:rPr>
              <w:t>, f.: die Verachtung</w:t>
            </w:r>
          </w:p>
        </w:tc>
      </w:tr>
    </w:tbl>
    <w:p w14:paraId="55069908" w14:textId="77777777" w:rsidR="00933128" w:rsidRPr="001A5375" w:rsidRDefault="00933128" w:rsidP="001A5375"/>
    <w:sectPr w:rsidR="00933128" w:rsidRPr="001A5375">
      <w:headerReference w:type="default" r:id="rId11"/>
      <w:footerReference w:type="default" r:id="rId12"/>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9BB8" w14:textId="77777777" w:rsidR="00014491" w:rsidRDefault="00014491">
      <w:r>
        <w:separator/>
      </w:r>
    </w:p>
  </w:endnote>
  <w:endnote w:type="continuationSeparator" w:id="0">
    <w:p w14:paraId="03DFF937" w14:textId="77777777" w:rsidR="00014491" w:rsidRDefault="0001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0B8F" w14:textId="77777777" w:rsidR="00202DA3" w:rsidRDefault="00014491">
    <w:pPr>
      <w:pStyle w:val="Fuzeile"/>
    </w:pPr>
    <w:hyperlink r:id="rId1" w:tgtFrame="_blank" w:history="1">
      <w:r w:rsidR="001A1D2B" w:rsidRPr="001A1D2B">
        <w:rPr>
          <w:rFonts w:ascii="Verdana" w:hAnsi="Verdana"/>
          <w:color w:val="0070C0"/>
          <w:sz w:val="20"/>
          <w:szCs w:val="20"/>
        </w:rPr>
        <w:t>www.latein-bw.de</w:t>
      </w:r>
    </w:hyperlink>
    <w:r w:rsidR="00F44721" w:rsidRPr="001A1D2B">
      <w:rPr>
        <w:rFonts w:ascii="Verdana" w:hAnsi="Verdana"/>
        <w:color w:val="0070C0"/>
        <w:sz w:val="20"/>
        <w:szCs w:val="20"/>
      </w:rPr>
      <w:t xml:space="preserve"> </w:t>
    </w:r>
    <w:r w:rsidR="00F44721">
      <w:rPr>
        <w:rFonts w:ascii="Verdana" w:hAnsi="Verdana"/>
        <w:sz w:val="20"/>
        <w:szCs w:val="20"/>
      </w:rPr>
      <w:tab/>
    </w:r>
    <w:r w:rsidR="00F44721">
      <w:rPr>
        <w:rFonts w:ascii="Verdana" w:hAnsi="Verdana"/>
        <w:sz w:val="20"/>
        <w:szCs w:val="20"/>
      </w:rPr>
      <w:tab/>
      <w:t xml:space="preserve">Seite </w:t>
    </w:r>
    <w:r w:rsidR="00F44721">
      <w:rPr>
        <w:rFonts w:ascii="Verdana" w:hAnsi="Verdana"/>
        <w:sz w:val="20"/>
        <w:szCs w:val="20"/>
      </w:rPr>
      <w:fldChar w:fldCharType="begin"/>
    </w:r>
    <w:r w:rsidR="00F44721">
      <w:rPr>
        <w:rFonts w:ascii="Verdana" w:hAnsi="Verdana"/>
        <w:sz w:val="20"/>
        <w:szCs w:val="20"/>
      </w:rPr>
      <w:instrText xml:space="preserve"> PAGE </w:instrText>
    </w:r>
    <w:r w:rsidR="00F44721">
      <w:rPr>
        <w:rFonts w:ascii="Verdana" w:hAnsi="Verdana"/>
        <w:sz w:val="20"/>
        <w:szCs w:val="20"/>
      </w:rPr>
      <w:fldChar w:fldCharType="separate"/>
    </w:r>
    <w:r w:rsidR="006375E7">
      <w:rPr>
        <w:rFonts w:ascii="Verdana" w:hAnsi="Verdana"/>
        <w:noProof/>
        <w:sz w:val="20"/>
        <w:szCs w:val="20"/>
      </w:rPr>
      <w:t>1</w:t>
    </w:r>
    <w:r w:rsidR="00F44721">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B9168" w14:textId="77777777" w:rsidR="00014491" w:rsidRDefault="00014491">
      <w:r>
        <w:rPr>
          <w:color w:val="000000"/>
        </w:rPr>
        <w:separator/>
      </w:r>
    </w:p>
  </w:footnote>
  <w:footnote w:type="continuationSeparator" w:id="0">
    <w:p w14:paraId="0AD3A8EB" w14:textId="77777777" w:rsidR="00014491" w:rsidRDefault="0001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8" w:type="dxa"/>
      <w:tblLayout w:type="fixed"/>
      <w:tblCellMar>
        <w:left w:w="10" w:type="dxa"/>
        <w:right w:w="10" w:type="dxa"/>
      </w:tblCellMar>
      <w:tblLook w:val="0000" w:firstRow="0" w:lastRow="0" w:firstColumn="0" w:lastColumn="0" w:noHBand="0" w:noVBand="0"/>
    </w:tblPr>
    <w:tblGrid>
      <w:gridCol w:w="3212"/>
      <w:gridCol w:w="3213"/>
      <w:gridCol w:w="3213"/>
    </w:tblGrid>
    <w:tr w:rsidR="00202DA3" w14:paraId="69D224A5" w14:textId="77777777">
      <w:trPr>
        <w:trHeight w:val="794"/>
      </w:trPr>
      <w:tc>
        <w:tcPr>
          <w:tcW w:w="3213" w:type="dxa"/>
          <w:tcMar>
            <w:top w:w="0" w:type="dxa"/>
            <w:left w:w="0" w:type="dxa"/>
            <w:bottom w:w="0" w:type="dxa"/>
            <w:right w:w="0" w:type="dxa"/>
          </w:tcMar>
          <w:vAlign w:val="center"/>
        </w:tcPr>
        <w:p w14:paraId="17EBCF02" w14:textId="77777777" w:rsidR="00202DA3" w:rsidRDefault="00F44721" w:rsidP="00B30055">
          <w:pPr>
            <w:pStyle w:val="TableContents"/>
            <w:spacing w:before="0" w:after="0" w:line="240" w:lineRule="auto"/>
          </w:pPr>
          <w:r>
            <w:rPr>
              <w:noProof/>
            </w:rPr>
            <w:drawing>
              <wp:anchor distT="0" distB="0" distL="114300" distR="114300" simplePos="0" relativeHeight="251659264" behindDoc="0" locked="0" layoutInCell="1" allowOverlap="1" wp14:anchorId="0D5C3399" wp14:editId="2534377F">
                <wp:simplePos x="0" y="0"/>
                <wp:positionH relativeFrom="column">
                  <wp:posOffset>69840</wp:posOffset>
                </wp:positionH>
                <wp:positionV relativeFrom="paragraph">
                  <wp:posOffset>10800</wp:posOffset>
                </wp:positionV>
                <wp:extent cx="1522800" cy="485640"/>
                <wp:effectExtent l="0" t="0" r="1200" b="0"/>
                <wp:wrapTopAndBottom/>
                <wp:docPr id="1" name="HTTP://WWW.SCHULE-BW.DE/FAECHER-UND-SCHULARTEN/SPRACHEN-UND-LITERATUR/LAT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2800" cy="485640"/>
                        </a:xfrm>
                        <a:prstGeom prst="rect">
                          <a:avLst/>
                        </a:prstGeom>
                      </pic:spPr>
                    </pic:pic>
                  </a:graphicData>
                </a:graphic>
              </wp:anchor>
            </w:drawing>
          </w:r>
        </w:p>
      </w:tc>
      <w:tc>
        <w:tcPr>
          <w:tcW w:w="3213" w:type="dxa"/>
          <w:tcMar>
            <w:top w:w="0" w:type="dxa"/>
            <w:left w:w="0" w:type="dxa"/>
            <w:bottom w:w="0" w:type="dxa"/>
            <w:right w:w="0" w:type="dxa"/>
          </w:tcMar>
          <w:vAlign w:val="center"/>
        </w:tcPr>
        <w:p w14:paraId="4C7143B0" w14:textId="77777777" w:rsidR="00202DA3" w:rsidRDefault="00014491" w:rsidP="00B30055">
          <w:pPr>
            <w:pStyle w:val="TableContents"/>
            <w:spacing w:before="0" w:after="0" w:line="240" w:lineRule="auto"/>
          </w:pPr>
        </w:p>
      </w:tc>
      <w:tc>
        <w:tcPr>
          <w:tcW w:w="3213" w:type="dxa"/>
          <w:tcMar>
            <w:top w:w="0" w:type="dxa"/>
            <w:left w:w="0" w:type="dxa"/>
            <w:bottom w:w="0" w:type="dxa"/>
            <w:right w:w="0" w:type="dxa"/>
          </w:tcMar>
          <w:vAlign w:val="center"/>
        </w:tcPr>
        <w:p w14:paraId="303E871D" w14:textId="77777777" w:rsidR="00202DA3" w:rsidRDefault="008C2639" w:rsidP="00B30055">
          <w:pPr>
            <w:pStyle w:val="TableContents"/>
            <w:spacing w:before="0" w:after="0" w:line="240" w:lineRule="auto"/>
            <w:jc w:val="right"/>
            <w:rPr>
              <w:rFonts w:ascii="Arial Rounded MT Bold" w:hAnsi="Arial Rounded MT Bold"/>
            </w:rPr>
          </w:pPr>
          <w:r>
            <w:rPr>
              <w:rFonts w:ascii="Arial Rounded MT Bold" w:hAnsi="Arial Rounded MT Bold"/>
            </w:rPr>
            <w:t>Lateinp</w:t>
          </w:r>
          <w:r w:rsidR="00337058">
            <w:rPr>
              <w:rFonts w:ascii="Arial Rounded MT Bold" w:hAnsi="Arial Rounded MT Bold"/>
            </w:rPr>
            <w:t xml:space="preserve">ortal </w:t>
          </w:r>
          <w:r w:rsidR="00337058">
            <w:rPr>
              <w:rFonts w:ascii="Arial Rounded MT Bold" w:hAnsi="Arial Rounded MT Bold"/>
            </w:rPr>
            <w:br/>
          </w:r>
          <w:r w:rsidR="001A5375">
            <w:rPr>
              <w:rFonts w:ascii="Arial Rounded MT Bold" w:hAnsi="Arial Rounded MT Bold"/>
            </w:rPr>
            <w:t>Ciceros philosophische Schriften</w:t>
          </w:r>
          <w:r w:rsidR="00337058">
            <w:rPr>
              <w:rFonts w:ascii="Arial Rounded MT Bold" w:hAnsi="Arial Rounded MT Bold"/>
            </w:rPr>
            <w:br/>
          </w:r>
        </w:p>
      </w:tc>
    </w:tr>
  </w:tbl>
  <w:p w14:paraId="3DD4C83A" w14:textId="77777777" w:rsidR="00202DA3" w:rsidRDefault="00014491" w:rsidP="00B30055">
    <w:pPr>
      <w:pStyle w:val="Kopfzeile"/>
      <w:spacing w:before="0"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23F"/>
    <w:multiLevelType w:val="hybridMultilevel"/>
    <w:tmpl w:val="8A6490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D3389"/>
    <w:multiLevelType w:val="multilevel"/>
    <w:tmpl w:val="8B3E3CE2"/>
    <w:lvl w:ilvl="0">
      <w:start w:val="1"/>
      <w:numFmt w:val="lowerLetter"/>
      <w:lvlText w:val="%1."/>
      <w:lvlJc w:val="left"/>
      <w:pPr>
        <w:ind w:left="707" w:hanging="283"/>
      </w:pPr>
    </w:lvl>
    <w:lvl w:ilvl="1">
      <w:start w:val="1"/>
      <w:numFmt w:val="bullet"/>
      <w:lvlText w:val=""/>
      <w:lvlJc w:val="left"/>
      <w:pPr>
        <w:ind w:left="1414" w:hanging="283"/>
      </w:pPr>
      <w:rPr>
        <w:rFonts w:ascii="Symbol" w:hAnsi="Symbol" w:hint="default"/>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386F27B0"/>
    <w:multiLevelType w:val="multilevel"/>
    <w:tmpl w:val="776E29FE"/>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15:restartNumberingAfterBreak="0">
    <w:nsid w:val="4245126F"/>
    <w:multiLevelType w:val="hybridMultilevel"/>
    <w:tmpl w:val="9EFA5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6B2363"/>
    <w:multiLevelType w:val="multilevel"/>
    <w:tmpl w:val="8D3A5B1E"/>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start w:val="1"/>
      <w:numFmt w:val="bullet"/>
      <w:lvlText w:val=""/>
      <w:lvlJc w:val="left"/>
      <w:pPr>
        <w:ind w:left="2121" w:hanging="283"/>
      </w:pPr>
      <w:rPr>
        <w:rFonts w:ascii="Wingdings" w:hAnsi="Wingdings" w:hint="default"/>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5404668A"/>
    <w:multiLevelType w:val="multilevel"/>
    <w:tmpl w:val="063A478A"/>
    <w:lvl w:ilvl="0">
      <w:start w:val="1"/>
      <w:numFmt w:val="lowerLetter"/>
      <w:lvlText w:val="%1."/>
      <w:lvlJc w:val="left"/>
      <w:pPr>
        <w:ind w:left="707" w:hanging="283"/>
      </w:pPr>
    </w:lvl>
    <w:lvl w:ilvl="1">
      <w:numFmt w:val="bullet"/>
      <w:lvlText w:val="●"/>
      <w:lvlJc w:val="left"/>
      <w:pPr>
        <w:ind w:left="1414" w:hanging="283"/>
      </w:pPr>
      <w:rPr>
        <w:rFonts w:ascii="StarSymbol" w:eastAsia="OpenSymbol" w:hAnsi="StarSymbol" w:cs="OpenSymbol"/>
      </w:rPr>
    </w:lvl>
    <w:lvl w:ilvl="2">
      <w:numFmt w:val="bullet"/>
      <w:lvlText w:val=""/>
      <w:lvlJc w:val="left"/>
      <w:pPr>
        <w:ind w:left="2121" w:hanging="283"/>
      </w:pPr>
      <w:rPr>
        <w:rFonts w:ascii="StarSymbol" w:eastAsia="OpenSymbol" w:hAnsi="Star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5FBA36D5"/>
    <w:multiLevelType w:val="hybridMultilevel"/>
    <w:tmpl w:val="870EBCDC"/>
    <w:lvl w:ilvl="0" w:tplc="D0FE3A24">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6805C1"/>
    <w:multiLevelType w:val="hybridMultilevel"/>
    <w:tmpl w:val="C5E2F37C"/>
    <w:lvl w:ilvl="0" w:tplc="3F8681AA">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3972BBF"/>
    <w:multiLevelType w:val="hybridMultilevel"/>
    <w:tmpl w:val="E82200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375"/>
    <w:rsid w:val="00014491"/>
    <w:rsid w:val="000B1C26"/>
    <w:rsid w:val="000C339D"/>
    <w:rsid w:val="000F48C0"/>
    <w:rsid w:val="00106877"/>
    <w:rsid w:val="0011066F"/>
    <w:rsid w:val="001429EE"/>
    <w:rsid w:val="00145691"/>
    <w:rsid w:val="00166926"/>
    <w:rsid w:val="001A1D2B"/>
    <w:rsid w:val="001A5375"/>
    <w:rsid w:val="00233A5B"/>
    <w:rsid w:val="00244475"/>
    <w:rsid w:val="00337058"/>
    <w:rsid w:val="003C11DC"/>
    <w:rsid w:val="004548BE"/>
    <w:rsid w:val="004B7822"/>
    <w:rsid w:val="005363FB"/>
    <w:rsid w:val="005B59AE"/>
    <w:rsid w:val="006375E7"/>
    <w:rsid w:val="007405FE"/>
    <w:rsid w:val="00777322"/>
    <w:rsid w:val="007C4648"/>
    <w:rsid w:val="00885D32"/>
    <w:rsid w:val="008A6C72"/>
    <w:rsid w:val="008C2639"/>
    <w:rsid w:val="00913DD3"/>
    <w:rsid w:val="00933128"/>
    <w:rsid w:val="009E3034"/>
    <w:rsid w:val="00B14434"/>
    <w:rsid w:val="00B30055"/>
    <w:rsid w:val="00B447D9"/>
    <w:rsid w:val="00B87D12"/>
    <w:rsid w:val="00D07CE3"/>
    <w:rsid w:val="00DD56EE"/>
    <w:rsid w:val="00F103ED"/>
    <w:rsid w:val="00F118F3"/>
    <w:rsid w:val="00F152EB"/>
    <w:rsid w:val="00F35936"/>
    <w:rsid w:val="00F44721"/>
    <w:rsid w:val="00FD1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5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zh-CN" w:bidi="hi-IN"/>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13DD3"/>
    <w:pPr>
      <w:spacing w:before="200"/>
    </w:pPr>
    <w:rPr>
      <w:sz w:val="22"/>
      <w:szCs w:val="22"/>
    </w:rPr>
  </w:style>
  <w:style w:type="paragraph" w:styleId="berschrift1">
    <w:name w:val="heading 1"/>
    <w:basedOn w:val="Standard"/>
    <w:next w:val="Standard"/>
    <w:link w:val="berschrift1Zchn"/>
    <w:uiPriority w:val="9"/>
    <w:qFormat/>
    <w:rsid w:val="00244475"/>
    <w:pPr>
      <w:keepNext/>
      <w:keepLines/>
      <w:pBdr>
        <w:left w:val="single" w:sz="12" w:space="12" w:color="629DD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unhideWhenUsed/>
    <w:qFormat/>
    <w:rsid w:val="00913DD3"/>
    <w:pPr>
      <w:keepNext/>
      <w:keepLines/>
      <w:spacing w:before="240" w:after="240"/>
      <w:outlineLvl w:val="1"/>
    </w:pPr>
    <w:rPr>
      <w:rFonts w:asciiTheme="majorHAnsi" w:eastAsiaTheme="majorEastAsia" w:hAnsiTheme="majorHAnsi" w:cstheme="majorBidi"/>
      <w:color w:val="262626" w:themeColor="text1" w:themeTint="D9"/>
      <w:sz w:val="28"/>
      <w:szCs w:val="28"/>
    </w:rPr>
  </w:style>
  <w:style w:type="paragraph" w:styleId="berschrift3">
    <w:name w:val="heading 3"/>
    <w:basedOn w:val="Standard"/>
    <w:next w:val="Standard"/>
    <w:link w:val="berschrift3Zchn"/>
    <w:uiPriority w:val="9"/>
    <w:unhideWhenUsed/>
    <w:qFormat/>
    <w:rsid w:val="00913DD3"/>
    <w:pPr>
      <w:keepNext/>
      <w:keepLines/>
      <w:spacing w:before="240" w:after="240" w:line="259" w:lineRule="auto"/>
      <w:outlineLvl w:val="2"/>
    </w:pPr>
    <w:rPr>
      <w:rFonts w:asciiTheme="majorHAnsi" w:eastAsiaTheme="majorEastAsia" w:hAnsiTheme="majorHAnsi" w:cstheme="majorBidi"/>
      <w:color w:val="0D0D0D" w:themeColor="text1" w:themeTint="F2"/>
      <w:sz w:val="24"/>
      <w:szCs w:val="24"/>
    </w:rPr>
  </w:style>
  <w:style w:type="paragraph" w:styleId="berschrift4">
    <w:name w:val="heading 4"/>
    <w:basedOn w:val="Standard"/>
    <w:next w:val="Standard"/>
    <w:link w:val="berschrift4Zchn"/>
    <w:uiPriority w:val="9"/>
    <w:unhideWhenUsed/>
    <w:qFormat/>
    <w:rsid w:val="00244475"/>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244475"/>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244475"/>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244475"/>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244475"/>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244475"/>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next w:val="Standard"/>
    <w:uiPriority w:val="35"/>
    <w:unhideWhenUsed/>
    <w:qFormat/>
    <w:rsid w:val="00244475"/>
    <w:pPr>
      <w:spacing w:line="240" w:lineRule="auto"/>
    </w:pPr>
    <w:rPr>
      <w:b/>
      <w:bCs/>
      <w:color w:val="629DD1" w:themeColor="accent2"/>
      <w:spacing w:val="10"/>
      <w:sz w:val="16"/>
      <w:szCs w:val="16"/>
    </w:rPr>
  </w:style>
  <w:style w:type="paragraph" w:customStyle="1" w:styleId="Index">
    <w:name w:val="Index"/>
    <w:basedOn w:val="Standard"/>
    <w:pPr>
      <w:suppressLineNumbers/>
    </w:pPr>
  </w:style>
  <w:style w:type="paragraph" w:styleId="Kopfzeile">
    <w:name w:val="head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Fuzeile">
    <w:name w:val="footer"/>
    <w:basedOn w:val="Standard"/>
    <w:pPr>
      <w:suppressLineNumbers/>
      <w:tabs>
        <w:tab w:val="center" w:pos="4819"/>
        <w:tab w:val="right" w:pos="9638"/>
      </w:tabs>
    </w:pPr>
  </w:style>
  <w:style w:type="paragraph" w:customStyle="1" w:styleId="lbs-dokumente">
    <w:name w:val="lbs-dokumente"/>
    <w:pPr>
      <w:spacing w:after="198" w:line="360" w:lineRule="auto"/>
    </w:pPr>
    <w:rPr>
      <w:rFonts w:ascii="Arial" w:hAnsi="Arial"/>
      <w:sz w:val="22"/>
    </w:rPr>
  </w:style>
  <w:style w:type="paragraph" w:customStyle="1" w:styleId="berschrift1-lbs">
    <w:name w:val="Überschrift1-lbs"/>
    <w:next w:val="lbs-dokumente"/>
    <w:pPr>
      <w:spacing w:after="170"/>
      <w:ind w:right="-62"/>
    </w:pPr>
    <w:rPr>
      <w:rFonts w:ascii="Arial" w:hAnsi="Arial"/>
      <w:b/>
      <w:sz w:val="30"/>
    </w:r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styleId="Hervorhebung">
    <w:name w:val="Emphasis"/>
    <w:basedOn w:val="Absatz-Standardschriftart"/>
    <w:uiPriority w:val="20"/>
    <w:qFormat/>
    <w:rsid w:val="00244475"/>
    <w:rPr>
      <w:rFonts w:asciiTheme="minorHAnsi" w:eastAsiaTheme="minorEastAsia" w:hAnsiTheme="minorHAnsi" w:cstheme="minorBidi"/>
      <w:i/>
      <w:iCs/>
      <w:color w:val="3476B1" w:themeColor="accent2" w:themeShade="BF"/>
      <w:sz w:val="20"/>
      <w:szCs w:val="20"/>
    </w:rPr>
  </w:style>
  <w:style w:type="character" w:customStyle="1" w:styleId="berschrift2Zchn">
    <w:name w:val="Überschrift 2 Zchn"/>
    <w:basedOn w:val="Absatz-Standardschriftart"/>
    <w:link w:val="berschrift2"/>
    <w:uiPriority w:val="9"/>
    <w:rsid w:val="00913DD3"/>
    <w:rPr>
      <w:rFonts w:asciiTheme="majorHAnsi" w:eastAsiaTheme="majorEastAsia" w:hAnsiTheme="majorHAnsi" w:cstheme="majorBidi"/>
      <w:color w:val="262626" w:themeColor="text1" w:themeTint="D9"/>
      <w:sz w:val="28"/>
      <w:szCs w:val="28"/>
    </w:rPr>
  </w:style>
  <w:style w:type="character" w:customStyle="1" w:styleId="berschrift4Zchn">
    <w:name w:val="Überschrift 4 Zchn"/>
    <w:basedOn w:val="Absatz-Standardschriftart"/>
    <w:link w:val="berschrift4"/>
    <w:uiPriority w:val="9"/>
    <w:rsid w:val="00244475"/>
    <w:rPr>
      <w:rFonts w:asciiTheme="majorHAnsi" w:eastAsiaTheme="majorEastAsia" w:hAnsiTheme="majorHAnsi" w:cstheme="majorBidi"/>
      <w:i/>
      <w:iCs/>
      <w:sz w:val="28"/>
      <w:szCs w:val="28"/>
    </w:rPr>
  </w:style>
  <w:style w:type="character" w:customStyle="1" w:styleId="berschrift1Zchn">
    <w:name w:val="Überschrift 1 Zchn"/>
    <w:basedOn w:val="Absatz-Standardschriftart"/>
    <w:link w:val="berschrift1"/>
    <w:uiPriority w:val="9"/>
    <w:rsid w:val="00244475"/>
    <w:rPr>
      <w:rFonts w:asciiTheme="majorHAnsi" w:eastAsiaTheme="majorEastAsia" w:hAnsiTheme="majorHAnsi" w:cstheme="majorBidi"/>
      <w:caps/>
      <w:spacing w:val="10"/>
      <w:sz w:val="36"/>
      <w:szCs w:val="36"/>
    </w:rPr>
  </w:style>
  <w:style w:type="character" w:customStyle="1" w:styleId="berschrift3Zchn">
    <w:name w:val="Überschrift 3 Zchn"/>
    <w:basedOn w:val="Absatz-Standardschriftart"/>
    <w:link w:val="berschrift3"/>
    <w:uiPriority w:val="9"/>
    <w:rsid w:val="00913DD3"/>
    <w:rPr>
      <w:rFonts w:asciiTheme="majorHAnsi" w:eastAsiaTheme="majorEastAsia" w:hAnsiTheme="majorHAnsi" w:cstheme="majorBidi"/>
      <w:color w:val="0D0D0D" w:themeColor="text1" w:themeTint="F2"/>
      <w:sz w:val="24"/>
      <w:szCs w:val="24"/>
    </w:rPr>
  </w:style>
  <w:style w:type="character" w:customStyle="1" w:styleId="berschrift5Zchn">
    <w:name w:val="Überschrift 5 Zchn"/>
    <w:basedOn w:val="Absatz-Standardschriftart"/>
    <w:link w:val="berschrift5"/>
    <w:uiPriority w:val="9"/>
    <w:semiHidden/>
    <w:rsid w:val="00244475"/>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244475"/>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244475"/>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244475"/>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244475"/>
    <w:rPr>
      <w:rFonts w:asciiTheme="majorHAnsi" w:eastAsiaTheme="majorEastAsia" w:hAnsiTheme="majorHAnsi" w:cstheme="majorBidi"/>
      <w:i/>
      <w:iCs/>
      <w:caps/>
    </w:rPr>
  </w:style>
  <w:style w:type="paragraph" w:styleId="Titel">
    <w:name w:val="Title"/>
    <w:basedOn w:val="Standard"/>
    <w:next w:val="Standard"/>
    <w:link w:val="TitelZchn"/>
    <w:uiPriority w:val="10"/>
    <w:qFormat/>
    <w:rsid w:val="00244475"/>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244475"/>
    <w:rPr>
      <w:rFonts w:asciiTheme="majorHAnsi" w:eastAsiaTheme="majorEastAsia" w:hAnsiTheme="majorHAnsi" w:cstheme="majorBidi"/>
      <w:caps/>
      <w:spacing w:val="40"/>
      <w:sz w:val="76"/>
      <w:szCs w:val="76"/>
    </w:rPr>
  </w:style>
  <w:style w:type="paragraph" w:styleId="Untertitel">
    <w:name w:val="Subtitle"/>
    <w:basedOn w:val="Standard"/>
    <w:next w:val="Standard"/>
    <w:link w:val="UntertitelZchn"/>
    <w:uiPriority w:val="11"/>
    <w:qFormat/>
    <w:rsid w:val="00244475"/>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244475"/>
    <w:rPr>
      <w:color w:val="000000" w:themeColor="text1"/>
      <w:sz w:val="24"/>
      <w:szCs w:val="24"/>
    </w:rPr>
  </w:style>
  <w:style w:type="character" w:styleId="Fett">
    <w:name w:val="Strong"/>
    <w:basedOn w:val="Absatz-Standardschriftart"/>
    <w:uiPriority w:val="22"/>
    <w:qFormat/>
    <w:rsid w:val="00244475"/>
    <w:rPr>
      <w:rFonts w:asciiTheme="minorHAnsi" w:eastAsiaTheme="minorEastAsia" w:hAnsiTheme="minorHAnsi" w:cstheme="minorBidi"/>
      <w:b/>
      <w:bCs/>
      <w:spacing w:val="0"/>
      <w:w w:val="100"/>
      <w:position w:val="0"/>
      <w:sz w:val="20"/>
      <w:szCs w:val="20"/>
    </w:rPr>
  </w:style>
  <w:style w:type="paragraph" w:styleId="KeinLeerraum">
    <w:name w:val="No Spacing"/>
    <w:uiPriority w:val="1"/>
    <w:qFormat/>
    <w:rsid w:val="00244475"/>
    <w:pPr>
      <w:spacing w:after="0" w:line="240" w:lineRule="auto"/>
    </w:pPr>
  </w:style>
  <w:style w:type="paragraph" w:styleId="Zitat">
    <w:name w:val="Quote"/>
    <w:basedOn w:val="Standard"/>
    <w:next w:val="Standard"/>
    <w:link w:val="ZitatZchn"/>
    <w:uiPriority w:val="29"/>
    <w:qFormat/>
    <w:rsid w:val="00244475"/>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244475"/>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244475"/>
    <w:pPr>
      <w:spacing w:before="100" w:beforeAutospacing="1" w:after="240"/>
      <w:ind w:left="936" w:right="936"/>
      <w:jc w:val="center"/>
    </w:pPr>
    <w:rPr>
      <w:rFonts w:asciiTheme="majorHAnsi" w:eastAsiaTheme="majorEastAsia" w:hAnsiTheme="majorHAnsi" w:cstheme="majorBidi"/>
      <w:caps/>
      <w:color w:val="3476B1" w:themeColor="accent2" w:themeShade="BF"/>
      <w:spacing w:val="10"/>
      <w:sz w:val="28"/>
      <w:szCs w:val="28"/>
    </w:rPr>
  </w:style>
  <w:style w:type="character" w:customStyle="1" w:styleId="IntensivesZitatZchn">
    <w:name w:val="Intensives Zitat Zchn"/>
    <w:basedOn w:val="Absatz-Standardschriftart"/>
    <w:link w:val="IntensivesZitat"/>
    <w:uiPriority w:val="30"/>
    <w:rsid w:val="00244475"/>
    <w:rPr>
      <w:rFonts w:asciiTheme="majorHAnsi" w:eastAsiaTheme="majorEastAsia" w:hAnsiTheme="majorHAnsi" w:cstheme="majorBidi"/>
      <w:caps/>
      <w:color w:val="3476B1" w:themeColor="accent2" w:themeShade="BF"/>
      <w:spacing w:val="10"/>
      <w:sz w:val="28"/>
      <w:szCs w:val="28"/>
    </w:rPr>
  </w:style>
  <w:style w:type="character" w:styleId="SchwacheHervorhebung">
    <w:name w:val="Subtle Emphasis"/>
    <w:basedOn w:val="Absatz-Standardschriftart"/>
    <w:uiPriority w:val="19"/>
    <w:qFormat/>
    <w:rsid w:val="00244475"/>
    <w:rPr>
      <w:i/>
      <w:iCs/>
      <w:color w:val="auto"/>
    </w:rPr>
  </w:style>
  <w:style w:type="character" w:styleId="IntensiveHervorhebung">
    <w:name w:val="Intense Emphasis"/>
    <w:basedOn w:val="Absatz-Standardschriftart"/>
    <w:uiPriority w:val="21"/>
    <w:qFormat/>
    <w:rsid w:val="00244475"/>
    <w:rPr>
      <w:rFonts w:asciiTheme="minorHAnsi" w:eastAsiaTheme="minorEastAsia" w:hAnsiTheme="minorHAnsi" w:cstheme="minorBidi"/>
      <w:b/>
      <w:bCs/>
      <w:i/>
      <w:iCs/>
      <w:color w:val="3476B1" w:themeColor="accent2" w:themeShade="BF"/>
      <w:spacing w:val="0"/>
      <w:w w:val="100"/>
      <w:position w:val="0"/>
      <w:sz w:val="20"/>
      <w:szCs w:val="20"/>
    </w:rPr>
  </w:style>
  <w:style w:type="character" w:styleId="SchwacherVerweis">
    <w:name w:val="Subtle Reference"/>
    <w:basedOn w:val="Absatz-Standardschriftart"/>
    <w:uiPriority w:val="31"/>
    <w:qFormat/>
    <w:rsid w:val="00244475"/>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244475"/>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244475"/>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244475"/>
    <w:pPr>
      <w:outlineLvl w:val="9"/>
    </w:pPr>
  </w:style>
  <w:style w:type="character" w:styleId="Hyperlink">
    <w:name w:val="Hyperlink"/>
    <w:basedOn w:val="Absatz-Standardschriftart"/>
    <w:uiPriority w:val="99"/>
    <w:unhideWhenUsed/>
    <w:rsid w:val="001A5375"/>
    <w:rPr>
      <w:color w:val="9454C3" w:themeColor="hyperlink"/>
      <w:u w:val="single"/>
    </w:rPr>
  </w:style>
  <w:style w:type="character" w:styleId="NichtaufgelsteErwhnung">
    <w:name w:val="Unresolved Mention"/>
    <w:basedOn w:val="Absatz-Standardschriftart"/>
    <w:uiPriority w:val="99"/>
    <w:semiHidden/>
    <w:unhideWhenUsed/>
    <w:rsid w:val="001A53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852063">
      <w:bodyDiv w:val="1"/>
      <w:marLeft w:val="0"/>
      <w:marRight w:val="0"/>
      <w:marTop w:val="0"/>
      <w:marBottom w:val="0"/>
      <w:divBdr>
        <w:top w:val="none" w:sz="0" w:space="0" w:color="auto"/>
        <w:left w:val="none" w:sz="0" w:space="0" w:color="auto"/>
        <w:bottom w:val="none" w:sz="0" w:space="0" w:color="auto"/>
        <w:right w:val="none" w:sz="0" w:space="0" w:color="auto"/>
      </w:divBdr>
    </w:div>
    <w:div w:id="1108701431">
      <w:bodyDiv w:val="1"/>
      <w:marLeft w:val="0"/>
      <w:marRight w:val="0"/>
      <w:marTop w:val="0"/>
      <w:marBottom w:val="0"/>
      <w:divBdr>
        <w:top w:val="none" w:sz="0" w:space="0" w:color="auto"/>
        <w:left w:val="none" w:sz="0" w:space="0" w:color="auto"/>
        <w:bottom w:val="none" w:sz="0" w:space="0" w:color="auto"/>
        <w:right w:val="none" w:sz="0" w:space="0" w:color="auto"/>
      </w:divBdr>
    </w:div>
    <w:div w:id="163224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hule-bw.de/resolveuid/6b546acac5a04e118f4d84d38dbbfff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chule-bw.de/resolveuid/c127a19262194c16927005ff98fafa8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latein-b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User\Documents\landesbildungsserver-2014b\lbs-dateien%20neu\vorlagen\vorlage-latein.dotx" TargetMode="External"/></Relationships>
</file>

<file path=word/theme/theme1.xml><?xml version="1.0" encoding="utf-8"?>
<a:theme xmlns:a="http://schemas.openxmlformats.org/drawingml/2006/main" name="lbs-2">
  <a:themeElements>
    <a:clrScheme name="Warmes Blau">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erbundene Kant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027DB-2945-4A81-A3A5-6067D074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vorlage-latein.dotx</Template>
  <TotalTime>0</TotalTime>
  <Pages>5</Pages>
  <Words>812</Words>
  <Characters>5117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Cicero, De officiis 1, 11 - Lateinportal beim Landesbildungsserver</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Cicero, De officiis 1, 11 - Lateinportal beim Landesbildungsserver</dc:title>
  <dc:creator/>
  <cp:lastModifiedBy/>
  <cp:revision>1</cp:revision>
  <dcterms:created xsi:type="dcterms:W3CDTF">2019-01-04T12:52:00Z</dcterms:created>
  <dcterms:modified xsi:type="dcterms:W3CDTF">2019-01-04T12:52:00Z</dcterms:modified>
</cp:coreProperties>
</file>