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133B3" w14:textId="3AC776B6" w:rsidR="00512AC3" w:rsidRPr="005D02C6" w:rsidRDefault="00306043" w:rsidP="00EC5492">
      <w:pPr>
        <w:pStyle w:val="LSStandardtext"/>
        <w:rPr>
          <w:b/>
          <w:sz w:val="24"/>
        </w:rPr>
      </w:pPr>
      <w:r w:rsidRPr="005D02C6">
        <w:rPr>
          <w:b/>
          <w:sz w:val="24"/>
        </w:rPr>
        <w:t xml:space="preserve">Hinweise </w:t>
      </w:r>
      <w:r w:rsidR="00512AC3" w:rsidRPr="005D02C6">
        <w:rPr>
          <w:b/>
          <w:sz w:val="24"/>
        </w:rPr>
        <w:t>Abschnittsweise definierte Funktion</w:t>
      </w:r>
    </w:p>
    <w:p w14:paraId="2BB133B4" w14:textId="77777777" w:rsidR="00512AC3" w:rsidRDefault="00512AC3" w:rsidP="00EC5492">
      <w:pPr>
        <w:pStyle w:val="LSStandardtext"/>
      </w:pPr>
    </w:p>
    <w:p w14:paraId="2BB133B5" w14:textId="77777777" w:rsidR="00157962" w:rsidRPr="001049BB" w:rsidRDefault="00512AC3" w:rsidP="00EC5492">
      <w:pPr>
        <w:pStyle w:val="LSStandardtext"/>
        <w:rPr>
          <w:b/>
        </w:rPr>
      </w:pPr>
      <w:r w:rsidRPr="001049BB">
        <w:rPr>
          <w:b/>
        </w:rPr>
        <w:t>Didaktische Hinweise:</w:t>
      </w:r>
    </w:p>
    <w:p w14:paraId="2BB133B6" w14:textId="04C5B1FF" w:rsidR="00512AC3" w:rsidRDefault="00512AC3" w:rsidP="00EC5492">
      <w:pPr>
        <w:pStyle w:val="LSStandardtext"/>
      </w:pPr>
      <w:r>
        <w:t xml:space="preserve">Die Lernenden sollen </w:t>
      </w:r>
      <w:r w:rsidR="00627E66">
        <w:t xml:space="preserve">zum Einstieg </w:t>
      </w:r>
      <w:r>
        <w:t>von einer Glaspfandfl</w:t>
      </w:r>
      <w:r w:rsidR="002A66DF">
        <w:t>asche die Randlinie durch eine a</w:t>
      </w:r>
      <w:r>
        <w:t>b</w:t>
      </w:r>
      <w:r>
        <w:t>schnittsweise definierte Funktion modellieren. Die Abschnitte werden auf dem Arbeitsblatt bereits festgelegt, ebenso die Funktionstypen, die zu verwenden sind. Trotzdem bleibt die Aufgabe noch offen genug, um verschiedenen Herangehensweisen bei den Lernenden a</w:t>
      </w:r>
      <w:r>
        <w:t>n</w:t>
      </w:r>
      <w:r>
        <w:t>zuregen.</w:t>
      </w:r>
    </w:p>
    <w:p w14:paraId="2BB133B7" w14:textId="2EA5D4C6" w:rsidR="00512AC3" w:rsidRDefault="00512AC3" w:rsidP="00EC5492">
      <w:pPr>
        <w:pStyle w:val="LSStandardtext"/>
      </w:pPr>
      <w:r>
        <w:t>Als Ergebnis werden die Funktione</w:t>
      </w:r>
      <w:r w:rsidR="002A66DF">
        <w:t>n der einzelnen Abschnitte als a</w:t>
      </w:r>
      <w:r>
        <w:t xml:space="preserve">bschnittsweise definierte Funktion zusammengeführt und so die neue Schreibweise eingeführt. </w:t>
      </w:r>
      <w:r w:rsidR="00627E66">
        <w:t>Auf</w:t>
      </w:r>
      <w:r>
        <w:t xml:space="preserve"> Stetigkeit </w:t>
      </w:r>
      <w:r w:rsidR="00627E66">
        <w:t xml:space="preserve">und </w:t>
      </w:r>
      <w:r>
        <w:t>Di</w:t>
      </w:r>
      <w:r>
        <w:t>f</w:t>
      </w:r>
      <w:r>
        <w:t>feren</w:t>
      </w:r>
      <w:r w:rsidR="002A66DF">
        <w:t>zierbarkeit von abschnittsweise definierten</w:t>
      </w:r>
      <w:r w:rsidR="00627E66">
        <w:t xml:space="preserve"> </w:t>
      </w:r>
      <w:r>
        <w:t>Funktionen</w:t>
      </w:r>
      <w:r w:rsidR="00627E66">
        <w:t xml:space="preserve"> kann beispielsweise mit Hilfe der Betragsfunktion (Bezug zur LPE 3)</w:t>
      </w:r>
      <w:r>
        <w:t xml:space="preserve"> eingegangen werden. </w:t>
      </w:r>
      <w:r w:rsidR="001F0D4C">
        <w:t>Als Weiterführung oder Vertiefung k</w:t>
      </w:r>
      <w:r w:rsidR="002A66DF">
        <w:t xml:space="preserve">önnen als Wahlthemen z.B. Splines </w:t>
      </w:r>
      <w:r w:rsidR="001F0D4C">
        <w:t xml:space="preserve"> oder CAD behandelt werden.</w:t>
      </w:r>
    </w:p>
    <w:p w14:paraId="2BB133B8" w14:textId="77777777" w:rsidR="00512AC3" w:rsidRDefault="00512AC3" w:rsidP="00EC5492">
      <w:pPr>
        <w:pStyle w:val="LSStandardtext"/>
      </w:pPr>
    </w:p>
    <w:p w14:paraId="2BB133B9" w14:textId="77777777" w:rsidR="00512AC3" w:rsidRPr="005D02C6" w:rsidRDefault="00512AC3" w:rsidP="00EC5492">
      <w:pPr>
        <w:pStyle w:val="LSStandardtext"/>
        <w:rPr>
          <w:b/>
        </w:rPr>
      </w:pPr>
      <w:r w:rsidRPr="005D02C6">
        <w:rPr>
          <w:b/>
        </w:rPr>
        <w:t>Methodische Hinweise:</w:t>
      </w:r>
    </w:p>
    <w:p w14:paraId="2BB133BA" w14:textId="5F278234" w:rsidR="00512AC3" w:rsidRDefault="00512AC3" w:rsidP="00EC5492">
      <w:pPr>
        <w:pStyle w:val="LSStandardtext"/>
      </w:pPr>
      <w:r>
        <w:t xml:space="preserve">Als Anschauungsobjekte werden einige Glaspfandflaschen, sowie Schnüre zur Vermessung des Umfangs den </w:t>
      </w:r>
      <w:r w:rsidR="007A63A7">
        <w:t xml:space="preserve">Schülerinnen und </w:t>
      </w:r>
      <w:r>
        <w:t>Schülern zur Verfügung gestellt.</w:t>
      </w:r>
    </w:p>
    <w:p w14:paraId="2BB133BB" w14:textId="77777777" w:rsidR="003D5E51" w:rsidRDefault="003D5E51" w:rsidP="00EC5492">
      <w:pPr>
        <w:pStyle w:val="LSStandardtext"/>
      </w:pPr>
      <w:r>
        <w:t>Zur Modellierung der Polynomfunktion ist der Einsatz eines GTR oder CAS sinnvoll.</w:t>
      </w:r>
    </w:p>
    <w:p w14:paraId="2BB133BC" w14:textId="77777777" w:rsidR="001F0D4C" w:rsidRDefault="001F0D4C" w:rsidP="00EC5492">
      <w:pPr>
        <w:pStyle w:val="LSStandardtext"/>
      </w:pPr>
      <w:r>
        <w:t>Die Lernenden erarbeiten in Kleingruppen unterschiedliche Funktionen und vergleichen die Ergebnisse in einer Plenumsphase.</w:t>
      </w:r>
    </w:p>
    <w:p w14:paraId="2BB133BD" w14:textId="77777777" w:rsidR="003D5E51" w:rsidRDefault="003D5E51" w:rsidP="00EC5492">
      <w:pPr>
        <w:pStyle w:val="LSStandardtext"/>
      </w:pPr>
    </w:p>
    <w:p w14:paraId="2BB133BE" w14:textId="77777777" w:rsidR="003D5E51" w:rsidRPr="005D02C6" w:rsidRDefault="003D5E51" w:rsidP="00EC5492">
      <w:pPr>
        <w:pStyle w:val="LSStandardtext"/>
        <w:rPr>
          <w:b/>
        </w:rPr>
      </w:pPr>
      <w:r w:rsidRPr="005D02C6">
        <w:rPr>
          <w:b/>
        </w:rPr>
        <w:t xml:space="preserve">Fachliche Hinweise: </w:t>
      </w:r>
    </w:p>
    <w:p w14:paraId="2BB133BF" w14:textId="77777777" w:rsidR="003D5E51" w:rsidRDefault="003D5E51" w:rsidP="00EC5492">
      <w:pPr>
        <w:pStyle w:val="LSStandardtext"/>
      </w:pPr>
      <w:r>
        <w:t>Erforderliche Vorkenntnisse: Aufstellen von Funktionstermen; Regression</w:t>
      </w:r>
    </w:p>
    <w:p w14:paraId="0A90E384" w14:textId="77777777" w:rsidR="00BC0148" w:rsidRPr="006D65B3" w:rsidRDefault="00BC0148" w:rsidP="00EC5492">
      <w:pPr>
        <w:pStyle w:val="LSStandardtext"/>
      </w:pPr>
    </w:p>
    <w:sectPr w:rsidR="00BC0148" w:rsidRPr="006D65B3" w:rsidSect="00BC0148">
      <w:headerReference w:type="even" r:id="rId12"/>
      <w:headerReference w:type="default" r:id="rId13"/>
      <w:footerReference w:type="even" r:id="rId14"/>
      <w:footerReference w:type="default" r:id="rId15"/>
      <w:headerReference w:type="first" r:id="rId16"/>
      <w:footerReference w:type="first" r:id="rId17"/>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8DBF0" w14:textId="77777777" w:rsidR="007B3963" w:rsidRDefault="007B3963">
      <w:r>
        <w:separator/>
      </w:r>
    </w:p>
  </w:endnote>
  <w:endnote w:type="continuationSeparator" w:id="0">
    <w:p w14:paraId="137A22DB" w14:textId="77777777" w:rsidR="007B3963" w:rsidRDefault="007B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133C7" w14:textId="77777777" w:rsidR="00793573" w:rsidRPr="00942134" w:rsidRDefault="00793573"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sidR="00BC0148">
      <w:rPr>
        <w:rStyle w:val="Seitenzahl"/>
        <w:noProof/>
        <w:color w:val="808080"/>
        <w:sz w:val="16"/>
        <w:szCs w:val="16"/>
      </w:rPr>
      <w:t>2</w:t>
    </w:r>
    <w:r w:rsidRPr="00942134">
      <w:rPr>
        <w:rStyle w:val="Seitenzahl"/>
        <w:color w:val="808080"/>
        <w:sz w:val="16"/>
        <w:szCs w:val="16"/>
      </w:rPr>
      <w:fldChar w:fldCharType="end"/>
    </w:r>
  </w:p>
  <w:p w14:paraId="2BB133C8" w14:textId="77777777" w:rsidR="00793573" w:rsidRDefault="00793573"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993356"/>
      <w:docPartObj>
        <w:docPartGallery w:val="Page Numbers (Bottom of Page)"/>
        <w:docPartUnique/>
      </w:docPartObj>
    </w:sdtPr>
    <w:sdtContent>
      <w:bookmarkStart w:id="0" w:name="_GoBack" w:displacedByCustomXml="prev"/>
      <w:bookmarkEnd w:id="0" w:displacedByCustomXml="prev"/>
      <w:p w14:paraId="653E819B" w14:textId="3533C7F1" w:rsidR="00F203B5" w:rsidRDefault="00F203B5">
        <w:pPr>
          <w:pStyle w:val="Fuzeile"/>
          <w:jc w:val="right"/>
        </w:pPr>
        <w:r>
          <w:fldChar w:fldCharType="begin"/>
        </w:r>
        <w:r>
          <w:instrText>PAGE   \* MERGEFORMAT</w:instrText>
        </w:r>
        <w:r>
          <w:fldChar w:fldCharType="separate"/>
        </w:r>
        <w:r>
          <w:rPr>
            <w:noProof/>
          </w:rPr>
          <w:t>1</w:t>
        </w:r>
        <w:r>
          <w:fldChar w:fldCharType="end"/>
        </w:r>
      </w:p>
    </w:sdtContent>
  </w:sdt>
  <w:p w14:paraId="2BB133CA" w14:textId="684975F1" w:rsidR="00793573" w:rsidRDefault="00793573" w:rsidP="008D54DA">
    <w:pPr>
      <w:pStyle w:val="Fuzeil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D1FB6" w14:textId="77777777" w:rsidR="00F203B5" w:rsidRDefault="00F203B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C81CC" w14:textId="77777777" w:rsidR="007B3963" w:rsidRDefault="007B3963">
      <w:r>
        <w:separator/>
      </w:r>
    </w:p>
  </w:footnote>
  <w:footnote w:type="continuationSeparator" w:id="0">
    <w:p w14:paraId="79E16824" w14:textId="77777777" w:rsidR="007B3963" w:rsidRDefault="007B3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133C5" w14:textId="77777777" w:rsidR="00793573" w:rsidRPr="008D54DA" w:rsidRDefault="00793573" w:rsidP="00B05948">
    <w:pPr>
      <w:pStyle w:val="Kopfzeile"/>
      <w:jc w:val="right"/>
      <w:rPr>
        <w:color w:val="808080"/>
        <w:sz w:val="20"/>
        <w:szCs w:val="20"/>
      </w:rPr>
    </w:pPr>
    <w:r>
      <w:rPr>
        <w:noProof/>
        <w:color w:val="808080"/>
        <w:sz w:val="20"/>
        <w:szCs w:val="20"/>
      </w:rPr>
      <w:drawing>
        <wp:anchor distT="0" distB="0" distL="114300" distR="114300" simplePos="0" relativeHeight="251659264" behindDoc="0" locked="0" layoutInCell="1" allowOverlap="1" wp14:anchorId="2BB133CB" wp14:editId="2BB133CC">
          <wp:simplePos x="0" y="0"/>
          <wp:positionH relativeFrom="column">
            <wp:posOffset>0</wp:posOffset>
          </wp:positionH>
          <wp:positionV relativeFrom="paragraph">
            <wp:posOffset>-62230</wp:posOffset>
          </wp:positionV>
          <wp:extent cx="302260" cy="266700"/>
          <wp:effectExtent l="0" t="0" r="2540" b="0"/>
          <wp:wrapNone/>
          <wp:docPr id="8"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808080"/>
        <w:sz w:val="20"/>
        <w:szCs w:val="20"/>
      </w:rPr>
      <mc:AlternateContent>
        <mc:Choice Requires="wps">
          <w:drawing>
            <wp:anchor distT="0" distB="0" distL="114300" distR="114300" simplePos="0" relativeHeight="251658240" behindDoc="0" locked="0" layoutInCell="1" allowOverlap="1" wp14:anchorId="2BB133CD" wp14:editId="2BB133CE">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Pr>
        <w:noProof/>
        <w:color w:val="808080"/>
        <w:sz w:val="20"/>
        <w:szCs w:val="20"/>
      </w:rPr>
      <w:t>Titel</w:t>
    </w:r>
    <w:r w:rsidRPr="008D54DA">
      <w:rPr>
        <w:color w:val="808080"/>
        <w:sz w:val="20"/>
        <w:szCs w:val="20"/>
      </w:rPr>
      <w:t xml:space="preserve"> der Handreichung (Doppelklick!)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8B5D8" w14:textId="77777777" w:rsidR="001049BB" w:rsidRPr="001049BB" w:rsidRDefault="001049BB" w:rsidP="001049BB">
    <w:pPr>
      <w:tabs>
        <w:tab w:val="left" w:pos="4110"/>
        <w:tab w:val="left" w:pos="8103"/>
      </w:tabs>
    </w:pPr>
    <w:r w:rsidRPr="001049BB">
      <w:rPr>
        <w:rFonts w:ascii="Times New Roman" w:eastAsia="SimSun" w:hAnsi="Times New Roman" w:cs="Times New Roman"/>
        <w:noProof/>
        <w:sz w:val="24"/>
        <w:szCs w:val="24"/>
      </w:rPr>
      <w:drawing>
        <wp:anchor distT="0" distB="0" distL="114300" distR="114300" simplePos="0" relativeHeight="251661312" behindDoc="0" locked="0" layoutInCell="1" allowOverlap="1" wp14:anchorId="7E8AC314" wp14:editId="2C6AC636">
          <wp:simplePos x="0" y="0"/>
          <wp:positionH relativeFrom="column">
            <wp:posOffset>-38100</wp:posOffset>
          </wp:positionH>
          <wp:positionV relativeFrom="paragraph">
            <wp:posOffset>43815</wp:posOffset>
          </wp:positionV>
          <wp:extent cx="302260" cy="266700"/>
          <wp:effectExtent l="0" t="0" r="0" b="0"/>
          <wp:wrapNone/>
          <wp:docPr id="1" name="Grafik 1"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134"/>
      <w:gridCol w:w="4819"/>
    </w:tblGrid>
    <w:tr w:rsidR="001049BB" w:rsidRPr="001049BB" w14:paraId="2DA71985" w14:textId="77777777" w:rsidTr="001049BB">
      <w:tc>
        <w:tcPr>
          <w:tcW w:w="3369" w:type="dxa"/>
          <w:shd w:val="clear" w:color="auto" w:fill="auto"/>
        </w:tcPr>
        <w:p w14:paraId="725513AE" w14:textId="77777777" w:rsidR="001049BB" w:rsidRPr="001049BB" w:rsidRDefault="001049BB" w:rsidP="001049BB">
          <w:pPr>
            <w:tabs>
              <w:tab w:val="left" w:pos="8103"/>
            </w:tabs>
          </w:pPr>
        </w:p>
      </w:tc>
      <w:tc>
        <w:tcPr>
          <w:tcW w:w="1134" w:type="dxa"/>
          <w:shd w:val="clear" w:color="auto" w:fill="auto"/>
        </w:tcPr>
        <w:p w14:paraId="44E0EFD9" w14:textId="77777777" w:rsidR="001049BB" w:rsidRPr="001049BB" w:rsidRDefault="001049BB" w:rsidP="001049BB">
          <w:pPr>
            <w:tabs>
              <w:tab w:val="left" w:pos="8103"/>
            </w:tabs>
          </w:pPr>
          <w:r w:rsidRPr="001049BB">
            <w:rPr>
              <w:noProof/>
              <w:color w:val="808080"/>
              <w:szCs w:val="20"/>
            </w:rPr>
            <w:t>Mathe+</w:t>
          </w:r>
        </w:p>
      </w:tc>
      <w:tc>
        <w:tcPr>
          <w:tcW w:w="4819" w:type="dxa"/>
          <w:shd w:val="clear" w:color="auto" w:fill="auto"/>
        </w:tcPr>
        <w:p w14:paraId="045E386B" w14:textId="77777777" w:rsidR="001049BB" w:rsidRPr="001049BB" w:rsidRDefault="001049BB" w:rsidP="001049BB">
          <w:pPr>
            <w:tabs>
              <w:tab w:val="left" w:pos="8103"/>
            </w:tabs>
            <w:jc w:val="right"/>
          </w:pPr>
          <w:r w:rsidRPr="001049BB">
            <w:rPr>
              <w:noProof/>
              <w:color w:val="808080"/>
              <w:szCs w:val="20"/>
            </w:rPr>
            <w:fldChar w:fldCharType="begin"/>
          </w:r>
          <w:r w:rsidRPr="001049BB">
            <w:rPr>
              <w:noProof/>
              <w:color w:val="808080"/>
              <w:szCs w:val="20"/>
            </w:rPr>
            <w:instrText xml:space="preserve"> FILENAME  -docx \* MERGEFORMAT </w:instrText>
          </w:r>
          <w:r w:rsidRPr="001049BB">
            <w:rPr>
              <w:noProof/>
              <w:color w:val="808080"/>
              <w:szCs w:val="20"/>
            </w:rPr>
            <w:fldChar w:fldCharType="separate"/>
          </w:r>
          <w:r>
            <w:rPr>
              <w:noProof/>
              <w:color w:val="808080"/>
              <w:szCs w:val="20"/>
            </w:rPr>
            <w:t>5.2 Abschnittsweise def. Funktion Hinweise</w:t>
          </w:r>
          <w:r w:rsidRPr="001049BB">
            <w:rPr>
              <w:noProof/>
              <w:color w:val="808080"/>
              <w:szCs w:val="20"/>
            </w:rPr>
            <w:fldChar w:fldCharType="end"/>
          </w:r>
        </w:p>
      </w:tc>
    </w:tr>
  </w:tbl>
  <w:p w14:paraId="2BB133C6" w14:textId="11348EA0" w:rsidR="00793573" w:rsidRPr="001049BB" w:rsidRDefault="00793573" w:rsidP="001049B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2029D" w14:textId="77777777" w:rsidR="00F203B5" w:rsidRDefault="00F203B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8"/>
  </w:num>
  <w:num w:numId="3">
    <w:abstractNumId w:val="0"/>
  </w:num>
  <w:num w:numId="4">
    <w:abstractNumId w:val="7"/>
  </w:num>
  <w:num w:numId="5">
    <w:abstractNumId w:val="10"/>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0"/>
  </w:num>
  <w:num w:numId="7">
    <w:abstractNumId w:val="2"/>
  </w:num>
  <w:num w:numId="8">
    <w:abstractNumId w:val="15"/>
  </w:num>
  <w:num w:numId="9">
    <w:abstractNumId w:val="3"/>
  </w:num>
  <w:num w:numId="10">
    <w:abstractNumId w:val="19"/>
  </w:num>
  <w:num w:numId="11">
    <w:abstractNumId w:val="5"/>
  </w:num>
  <w:num w:numId="12">
    <w:abstractNumId w:val="11"/>
  </w:num>
  <w:num w:numId="13">
    <w:abstractNumId w:val="6"/>
  </w:num>
  <w:num w:numId="14">
    <w:abstractNumId w:val="16"/>
  </w:num>
  <w:num w:numId="15">
    <w:abstractNumId w:val="13"/>
  </w:num>
  <w:num w:numId="16">
    <w:abstractNumId w:val="4"/>
  </w:num>
  <w:num w:numId="17">
    <w:abstractNumId w:val="12"/>
  </w:num>
  <w:num w:numId="18">
    <w:abstractNumId w:val="14"/>
  </w:num>
  <w:num w:numId="19">
    <w:abstractNumId w:val="1"/>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C7"/>
    <w:rsid w:val="00005C03"/>
    <w:rsid w:val="00007074"/>
    <w:rsid w:val="00026A44"/>
    <w:rsid w:val="0003605E"/>
    <w:rsid w:val="000402B5"/>
    <w:rsid w:val="00055140"/>
    <w:rsid w:val="00071A39"/>
    <w:rsid w:val="00071CD0"/>
    <w:rsid w:val="000778EF"/>
    <w:rsid w:val="000B734D"/>
    <w:rsid w:val="000C0622"/>
    <w:rsid w:val="000C17EA"/>
    <w:rsid w:val="000D02A4"/>
    <w:rsid w:val="000E5B58"/>
    <w:rsid w:val="000F0FAA"/>
    <w:rsid w:val="000F4ADD"/>
    <w:rsid w:val="001049BB"/>
    <w:rsid w:val="001055D9"/>
    <w:rsid w:val="00107BC7"/>
    <w:rsid w:val="00116CF0"/>
    <w:rsid w:val="00122A06"/>
    <w:rsid w:val="00143B1A"/>
    <w:rsid w:val="00157962"/>
    <w:rsid w:val="00157E6D"/>
    <w:rsid w:val="00192067"/>
    <w:rsid w:val="001C0B99"/>
    <w:rsid w:val="001D407F"/>
    <w:rsid w:val="001E03B5"/>
    <w:rsid w:val="001F0D4C"/>
    <w:rsid w:val="00201056"/>
    <w:rsid w:val="00203069"/>
    <w:rsid w:val="00204EC3"/>
    <w:rsid w:val="002204C6"/>
    <w:rsid w:val="0023593D"/>
    <w:rsid w:val="00235E0A"/>
    <w:rsid w:val="0024375B"/>
    <w:rsid w:val="002773E6"/>
    <w:rsid w:val="00284277"/>
    <w:rsid w:val="002A5DAD"/>
    <w:rsid w:val="002A66DF"/>
    <w:rsid w:val="002C3C0B"/>
    <w:rsid w:val="002E3133"/>
    <w:rsid w:val="00306043"/>
    <w:rsid w:val="0033767E"/>
    <w:rsid w:val="00341135"/>
    <w:rsid w:val="00354A87"/>
    <w:rsid w:val="00364DEA"/>
    <w:rsid w:val="00381971"/>
    <w:rsid w:val="00385B0E"/>
    <w:rsid w:val="003A0D0B"/>
    <w:rsid w:val="003B771D"/>
    <w:rsid w:val="003D5E51"/>
    <w:rsid w:val="003E4A0C"/>
    <w:rsid w:val="003E5315"/>
    <w:rsid w:val="003F6526"/>
    <w:rsid w:val="00427E5D"/>
    <w:rsid w:val="00454A8D"/>
    <w:rsid w:val="004609C0"/>
    <w:rsid w:val="004653FD"/>
    <w:rsid w:val="00473702"/>
    <w:rsid w:val="004D6055"/>
    <w:rsid w:val="004E3864"/>
    <w:rsid w:val="004E7610"/>
    <w:rsid w:val="004F6C58"/>
    <w:rsid w:val="00507E7B"/>
    <w:rsid w:val="00512AC3"/>
    <w:rsid w:val="005620DE"/>
    <w:rsid w:val="00564E18"/>
    <w:rsid w:val="005653AE"/>
    <w:rsid w:val="00580F3F"/>
    <w:rsid w:val="005877DB"/>
    <w:rsid w:val="00592774"/>
    <w:rsid w:val="005B02B3"/>
    <w:rsid w:val="005C045C"/>
    <w:rsid w:val="005D02C6"/>
    <w:rsid w:val="005D427E"/>
    <w:rsid w:val="005E70FD"/>
    <w:rsid w:val="005E7281"/>
    <w:rsid w:val="005F6605"/>
    <w:rsid w:val="006047C3"/>
    <w:rsid w:val="0060782F"/>
    <w:rsid w:val="00627E66"/>
    <w:rsid w:val="0063100A"/>
    <w:rsid w:val="0063710D"/>
    <w:rsid w:val="00647F81"/>
    <w:rsid w:val="0065665E"/>
    <w:rsid w:val="00663B0B"/>
    <w:rsid w:val="00675A8E"/>
    <w:rsid w:val="00696651"/>
    <w:rsid w:val="006C025B"/>
    <w:rsid w:val="006D439A"/>
    <w:rsid w:val="006D65B3"/>
    <w:rsid w:val="006E079C"/>
    <w:rsid w:val="006F7EA3"/>
    <w:rsid w:val="007063AB"/>
    <w:rsid w:val="00715EA6"/>
    <w:rsid w:val="00721505"/>
    <w:rsid w:val="00744F72"/>
    <w:rsid w:val="00757897"/>
    <w:rsid w:val="00780905"/>
    <w:rsid w:val="00793573"/>
    <w:rsid w:val="007A63A7"/>
    <w:rsid w:val="007B3963"/>
    <w:rsid w:val="00800B6F"/>
    <w:rsid w:val="00826AF5"/>
    <w:rsid w:val="00841AB6"/>
    <w:rsid w:val="00856664"/>
    <w:rsid w:val="00880CCF"/>
    <w:rsid w:val="00894E34"/>
    <w:rsid w:val="00897B38"/>
    <w:rsid w:val="008A37C8"/>
    <w:rsid w:val="008C2D14"/>
    <w:rsid w:val="008D54DA"/>
    <w:rsid w:val="008E3020"/>
    <w:rsid w:val="00917FBE"/>
    <w:rsid w:val="00923245"/>
    <w:rsid w:val="00942134"/>
    <w:rsid w:val="0094646F"/>
    <w:rsid w:val="009468E0"/>
    <w:rsid w:val="00951096"/>
    <w:rsid w:val="0097468B"/>
    <w:rsid w:val="009773B1"/>
    <w:rsid w:val="0098424E"/>
    <w:rsid w:val="009A6EEB"/>
    <w:rsid w:val="009C034D"/>
    <w:rsid w:val="009D2399"/>
    <w:rsid w:val="009E4024"/>
    <w:rsid w:val="00A01090"/>
    <w:rsid w:val="00A069C4"/>
    <w:rsid w:val="00A2210F"/>
    <w:rsid w:val="00A419C9"/>
    <w:rsid w:val="00A61C98"/>
    <w:rsid w:val="00A6202E"/>
    <w:rsid w:val="00A8278F"/>
    <w:rsid w:val="00A82DF3"/>
    <w:rsid w:val="00A90681"/>
    <w:rsid w:val="00A94591"/>
    <w:rsid w:val="00AD1028"/>
    <w:rsid w:val="00AE1300"/>
    <w:rsid w:val="00B026A6"/>
    <w:rsid w:val="00B03CDE"/>
    <w:rsid w:val="00B05948"/>
    <w:rsid w:val="00B16C22"/>
    <w:rsid w:val="00B23D80"/>
    <w:rsid w:val="00B26F7E"/>
    <w:rsid w:val="00B36BFF"/>
    <w:rsid w:val="00B511CA"/>
    <w:rsid w:val="00B714DE"/>
    <w:rsid w:val="00BA19FD"/>
    <w:rsid w:val="00BB3F09"/>
    <w:rsid w:val="00BB5966"/>
    <w:rsid w:val="00BB61CC"/>
    <w:rsid w:val="00BC0148"/>
    <w:rsid w:val="00BC1CA8"/>
    <w:rsid w:val="00BD6CD9"/>
    <w:rsid w:val="00BE0BD2"/>
    <w:rsid w:val="00BE7963"/>
    <w:rsid w:val="00BF4178"/>
    <w:rsid w:val="00BF5C01"/>
    <w:rsid w:val="00BF6BCB"/>
    <w:rsid w:val="00C0200E"/>
    <w:rsid w:val="00C07AEB"/>
    <w:rsid w:val="00C11A6D"/>
    <w:rsid w:val="00C1233E"/>
    <w:rsid w:val="00C33C5C"/>
    <w:rsid w:val="00C37ED5"/>
    <w:rsid w:val="00C535D1"/>
    <w:rsid w:val="00C56F3A"/>
    <w:rsid w:val="00C57564"/>
    <w:rsid w:val="00C660B3"/>
    <w:rsid w:val="00C67985"/>
    <w:rsid w:val="00C74D5B"/>
    <w:rsid w:val="00D12434"/>
    <w:rsid w:val="00D12EB6"/>
    <w:rsid w:val="00D16D34"/>
    <w:rsid w:val="00D23DB4"/>
    <w:rsid w:val="00D44738"/>
    <w:rsid w:val="00D54CA8"/>
    <w:rsid w:val="00D5658F"/>
    <w:rsid w:val="00DB1BBF"/>
    <w:rsid w:val="00DF0915"/>
    <w:rsid w:val="00E04B87"/>
    <w:rsid w:val="00E6612D"/>
    <w:rsid w:val="00E70711"/>
    <w:rsid w:val="00E721C9"/>
    <w:rsid w:val="00E940D0"/>
    <w:rsid w:val="00EB4322"/>
    <w:rsid w:val="00EB5BFA"/>
    <w:rsid w:val="00EC5492"/>
    <w:rsid w:val="00ED5057"/>
    <w:rsid w:val="00ED5F2C"/>
    <w:rsid w:val="00EE1BB4"/>
    <w:rsid w:val="00EF77B0"/>
    <w:rsid w:val="00F02534"/>
    <w:rsid w:val="00F02A0F"/>
    <w:rsid w:val="00F06927"/>
    <w:rsid w:val="00F113D4"/>
    <w:rsid w:val="00F203B5"/>
    <w:rsid w:val="00F36D7B"/>
    <w:rsid w:val="00F43BBD"/>
    <w:rsid w:val="00F62629"/>
    <w:rsid w:val="00F850C6"/>
    <w:rsid w:val="00F865F8"/>
    <w:rsid w:val="00F9544A"/>
    <w:rsid w:val="00FA45EC"/>
    <w:rsid w:val="00FB4EFC"/>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B1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customStyle="1" w:styleId="LS-KopfzeileGeradeHochformatLinks">
    <w:name w:val="LS-Kopfzeile Gerade Hochformat (Links)"/>
    <w:basedOn w:val="Standard"/>
    <w:link w:val="LS-KopfzeileGeradeHochformatLinksZchn"/>
    <w:qFormat/>
    <w:rsid w:val="005D02C6"/>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5D02C6"/>
    <w:rPr>
      <w:rFonts w:ascii="Arial" w:hAnsi="Arial"/>
      <w:color w:val="A6A6A6" w:themeColor="background1" w:themeShade="A6"/>
      <w:sz w:val="24"/>
    </w:rPr>
  </w:style>
  <w:style w:type="character" w:customStyle="1" w:styleId="FuzeileZchn">
    <w:name w:val="Fußzeile Zchn"/>
    <w:basedOn w:val="Absatz-Standardschriftart"/>
    <w:link w:val="Fuzeile"/>
    <w:uiPriority w:val="99"/>
    <w:rsid w:val="00F203B5"/>
    <w:rPr>
      <w:rFonts w:ascii="Arial" w:hAnsi="Arial" w:cs="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customStyle="1" w:styleId="LS-KopfzeileGeradeHochformatLinks">
    <w:name w:val="LS-Kopfzeile Gerade Hochformat (Links)"/>
    <w:basedOn w:val="Standard"/>
    <w:link w:val="LS-KopfzeileGeradeHochformatLinksZchn"/>
    <w:qFormat/>
    <w:rsid w:val="005D02C6"/>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5D02C6"/>
    <w:rPr>
      <w:rFonts w:ascii="Arial" w:hAnsi="Arial"/>
      <w:color w:val="A6A6A6" w:themeColor="background1" w:themeShade="A6"/>
      <w:sz w:val="24"/>
    </w:rPr>
  </w:style>
  <w:style w:type="character" w:customStyle="1" w:styleId="FuzeileZchn">
    <w:name w:val="Fußzeile Zchn"/>
    <w:basedOn w:val="Absatz-Standardschriftart"/>
    <w:link w:val="Fuzeile"/>
    <w:uiPriority w:val="99"/>
    <w:rsid w:val="00F203B5"/>
    <w:rPr>
      <w:rFonts w:ascii="Arial" w:hAnsi="Arial" w:cs="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ule\AppData\Local\Temp\MathePlusHR-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5BFC63A2-CDAE-4506-9A63-B49FBEA1B3C9}">
  <ds:schemaRefs>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0E329EB1-B951-4003-AF7F-201089AF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MathePlusHR-1</Template>
  <TotalTime>0</TotalTime>
  <Pages>1</Pages>
  <Words>157</Words>
  <Characters>1167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1322</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Schule</dc:creator>
  <cp:lastModifiedBy>Nacke, Pierre (LS)</cp:lastModifiedBy>
  <cp:revision>6</cp:revision>
  <cp:lastPrinted>2012-09-06T08:52:00Z</cp:lastPrinted>
  <dcterms:created xsi:type="dcterms:W3CDTF">2015-08-20T09:49:00Z</dcterms:created>
  <dcterms:modified xsi:type="dcterms:W3CDTF">2015-10-09T06:25:00Z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