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62" w:rsidRPr="00EF0654" w:rsidRDefault="00FC5639" w:rsidP="008E4318">
      <w:pPr>
        <w:pStyle w:val="LSStandardtext"/>
        <w:rPr>
          <w:b/>
          <w:sz w:val="24"/>
        </w:rPr>
      </w:pPr>
      <w:r w:rsidRPr="00EF0654">
        <w:rPr>
          <w:b/>
          <w:sz w:val="24"/>
        </w:rPr>
        <w:t>Didaktische Hinweise:</w:t>
      </w:r>
    </w:p>
    <w:p w:rsidR="00FC5639" w:rsidRDefault="00FC5639" w:rsidP="00394DAE">
      <w:pPr>
        <w:pStyle w:val="LSStandardtext"/>
        <w:spacing w:line="360" w:lineRule="auto"/>
      </w:pPr>
    </w:p>
    <w:p w:rsidR="00FC5639" w:rsidRPr="00977615" w:rsidRDefault="00FC5639" w:rsidP="00394DAE">
      <w:pPr>
        <w:pStyle w:val="LSStandardtext"/>
        <w:spacing w:line="360" w:lineRule="auto"/>
      </w:pPr>
      <w:r w:rsidRPr="00977615">
        <w:t>Die Logarithmusfunktionen sind in der Lehrplaneinheit 5 Funktionen und zugehörige Diff</w:t>
      </w:r>
      <w:r w:rsidRPr="00977615">
        <w:t>e</w:t>
      </w:r>
      <w:r w:rsidRPr="00977615">
        <w:t xml:space="preserve">rentialrechnung als Themengebiet aufgeführt. Da etliche Funktionstypen im </w:t>
      </w:r>
      <w:r w:rsidR="005E0218">
        <w:t>Fach Mathem</w:t>
      </w:r>
      <w:r w:rsidR="005E0218">
        <w:t>a</w:t>
      </w:r>
      <w:r w:rsidR="005E0218">
        <w:t>tik</w:t>
      </w:r>
      <w:r w:rsidRPr="00977615">
        <w:t xml:space="preserve"> behandelt werden, kann die Erarbeitung der Logarithmusfunktion unter dem Gesicht</w:t>
      </w:r>
      <w:r w:rsidRPr="00977615">
        <w:t>s</w:t>
      </w:r>
      <w:r w:rsidRPr="00977615">
        <w:t>punkt des Transfers und der Selbsterarbeitung erfolgen. Ziel</w:t>
      </w:r>
      <w:r w:rsidR="00977615">
        <w:t>e</w:t>
      </w:r>
      <w:r w:rsidRPr="00977615">
        <w:t xml:space="preserve"> des Unterrichtsarrangements sind </w:t>
      </w:r>
    </w:p>
    <w:p w:rsidR="00FC5639" w:rsidRPr="00977615" w:rsidRDefault="00165DB3" w:rsidP="00394DAE">
      <w:pPr>
        <w:pStyle w:val="Listenabsatz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FC5639" w:rsidRPr="00977615">
        <w:rPr>
          <w:rFonts w:ascii="Arial" w:hAnsi="Arial" w:cs="Arial"/>
          <w:sz w:val="22"/>
          <w:szCs w:val="22"/>
        </w:rPr>
        <w:t>ndividuelle Auseinandersetzung mit den Lerninhalten</w:t>
      </w:r>
      <w:r w:rsidR="00977615">
        <w:rPr>
          <w:rFonts w:ascii="Arial" w:hAnsi="Arial" w:cs="Arial"/>
          <w:sz w:val="22"/>
          <w:szCs w:val="22"/>
        </w:rPr>
        <w:t>,</w:t>
      </w:r>
    </w:p>
    <w:p w:rsidR="00FC5639" w:rsidRPr="00977615" w:rsidRDefault="00165DB3" w:rsidP="00394DAE">
      <w:pPr>
        <w:pStyle w:val="Listenabsatz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FC5639" w:rsidRPr="00977615">
        <w:rPr>
          <w:rFonts w:ascii="Arial" w:hAnsi="Arial" w:cs="Arial"/>
          <w:sz w:val="22"/>
          <w:szCs w:val="22"/>
        </w:rPr>
        <w:t xml:space="preserve">elbstständige Zeiteinteilung und damit Lernen im </w:t>
      </w:r>
      <w:r w:rsidR="00977615">
        <w:rPr>
          <w:rFonts w:ascii="Arial" w:hAnsi="Arial" w:cs="Arial"/>
          <w:sz w:val="22"/>
          <w:szCs w:val="22"/>
        </w:rPr>
        <w:t>individuellen</w:t>
      </w:r>
      <w:r w:rsidR="00FC5639" w:rsidRPr="00977615">
        <w:rPr>
          <w:rFonts w:ascii="Arial" w:hAnsi="Arial" w:cs="Arial"/>
          <w:sz w:val="22"/>
          <w:szCs w:val="22"/>
        </w:rPr>
        <w:t xml:space="preserve"> </w:t>
      </w:r>
      <w:r w:rsidR="00977615">
        <w:rPr>
          <w:rFonts w:ascii="Arial" w:hAnsi="Arial" w:cs="Arial"/>
          <w:sz w:val="22"/>
          <w:szCs w:val="22"/>
        </w:rPr>
        <w:t>Lernt</w:t>
      </w:r>
      <w:r w:rsidR="00FC5639" w:rsidRPr="00977615">
        <w:rPr>
          <w:rFonts w:ascii="Arial" w:hAnsi="Arial" w:cs="Arial"/>
          <w:sz w:val="22"/>
          <w:szCs w:val="22"/>
        </w:rPr>
        <w:t>empo innerhalb eines vorgegebenen Zeitrahmens</w:t>
      </w:r>
      <w:r w:rsidR="00977615">
        <w:rPr>
          <w:rFonts w:ascii="Arial" w:hAnsi="Arial" w:cs="Arial"/>
          <w:sz w:val="22"/>
          <w:szCs w:val="22"/>
        </w:rPr>
        <w:t>,</w:t>
      </w:r>
      <w:r w:rsidR="00FC5639" w:rsidRPr="00977615">
        <w:rPr>
          <w:rFonts w:ascii="Arial" w:hAnsi="Arial" w:cs="Arial"/>
          <w:sz w:val="22"/>
          <w:szCs w:val="22"/>
        </w:rPr>
        <w:t xml:space="preserve"> </w:t>
      </w:r>
    </w:p>
    <w:p w:rsidR="00FC5639" w:rsidRPr="00977615" w:rsidRDefault="00165DB3" w:rsidP="00394DAE">
      <w:pPr>
        <w:pStyle w:val="Listenabsatz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FC5639" w:rsidRPr="00977615">
        <w:rPr>
          <w:rFonts w:ascii="Arial" w:hAnsi="Arial" w:cs="Arial"/>
          <w:sz w:val="22"/>
          <w:szCs w:val="22"/>
        </w:rPr>
        <w:t>ndividuelle Hilfe durch die Lehrperson während andere Schülerinnen und Schüler weiterarbeiten können</w:t>
      </w:r>
      <w:r w:rsidR="00977615">
        <w:rPr>
          <w:rFonts w:ascii="Arial" w:hAnsi="Arial" w:cs="Arial"/>
          <w:sz w:val="22"/>
          <w:szCs w:val="22"/>
        </w:rPr>
        <w:t>.</w:t>
      </w:r>
    </w:p>
    <w:p w:rsidR="00FC5639" w:rsidRDefault="00977615" w:rsidP="00394DAE">
      <w:pPr>
        <w:spacing w:line="360" w:lineRule="auto"/>
        <w:jc w:val="both"/>
      </w:pPr>
      <w:r>
        <w:t xml:space="preserve">Fokussiert wird folglich ein </w:t>
      </w:r>
      <w:r w:rsidR="00FC5639" w:rsidRPr="00977615">
        <w:t>Training</w:t>
      </w:r>
      <w:r>
        <w:t xml:space="preserve"> von selbstständigem und selbst</w:t>
      </w:r>
      <w:r w:rsidR="00FC5639" w:rsidRPr="00977615">
        <w:t>verant</w:t>
      </w:r>
      <w:r>
        <w:t>wortlichem Lernen der Schülerinnen und Schüler.</w:t>
      </w:r>
    </w:p>
    <w:p w:rsidR="00977615" w:rsidRDefault="00977615" w:rsidP="00394DAE">
      <w:pPr>
        <w:spacing w:line="360" w:lineRule="auto"/>
        <w:jc w:val="both"/>
      </w:pPr>
    </w:p>
    <w:p w:rsidR="00977615" w:rsidRPr="008E4318" w:rsidRDefault="00977615" w:rsidP="008E4318">
      <w:pPr>
        <w:spacing w:line="360" w:lineRule="auto"/>
        <w:jc w:val="both"/>
        <w:rPr>
          <w:b/>
        </w:rPr>
      </w:pPr>
      <w:r w:rsidRPr="008E4318">
        <w:rPr>
          <w:b/>
        </w:rPr>
        <w:t>Methodische Hinweise:</w:t>
      </w:r>
    </w:p>
    <w:p w:rsidR="00977615" w:rsidRDefault="00977615" w:rsidP="00394DAE">
      <w:pPr>
        <w:spacing w:line="360" w:lineRule="auto"/>
        <w:jc w:val="both"/>
      </w:pPr>
    </w:p>
    <w:p w:rsidR="00977615" w:rsidRPr="00977615" w:rsidRDefault="00977615" w:rsidP="00394DAE">
      <w:pPr>
        <w:spacing w:line="360" w:lineRule="auto"/>
        <w:jc w:val="both"/>
      </w:pPr>
      <w:r w:rsidRPr="00977615">
        <w:t>Die Gestaltung der Lernumgebung erfolgt unter Berücksichtigung der Handlungsorientierung mit folgenden Kriterien</w:t>
      </w:r>
      <w:r w:rsidR="00165DB3">
        <w:t>:</w:t>
      </w:r>
      <w:r w:rsidRPr="00977615">
        <w:t xml:space="preserve"> </w:t>
      </w:r>
    </w:p>
    <w:p w:rsidR="00977615" w:rsidRPr="00977615" w:rsidRDefault="00977615" w:rsidP="00394DAE">
      <w:pPr>
        <w:pStyle w:val="Listenabsatz"/>
        <w:numPr>
          <w:ilvl w:val="0"/>
          <w:numId w:val="24"/>
        </w:numPr>
        <w:tabs>
          <w:tab w:val="left" w:pos="2835"/>
          <w:tab w:val="left" w:pos="2977"/>
          <w:tab w:val="left" w:pos="3119"/>
        </w:tabs>
        <w:spacing w:line="360" w:lineRule="auto"/>
        <w:ind w:left="214" w:hanging="214"/>
        <w:jc w:val="both"/>
        <w:rPr>
          <w:rFonts w:ascii="Arial" w:hAnsi="Arial" w:cs="Arial"/>
          <w:sz w:val="22"/>
          <w:szCs w:val="22"/>
        </w:rPr>
      </w:pPr>
      <w:r w:rsidRPr="00977615">
        <w:rPr>
          <w:rFonts w:ascii="Arial" w:hAnsi="Arial" w:cs="Arial"/>
          <w:sz w:val="22"/>
          <w:szCs w:val="22"/>
        </w:rPr>
        <w:t>Förderung von Wissenskomponenten</w:t>
      </w:r>
      <w:r w:rsidR="00165DB3">
        <w:rPr>
          <w:rFonts w:ascii="Arial" w:hAnsi="Arial" w:cs="Arial"/>
          <w:sz w:val="22"/>
          <w:szCs w:val="22"/>
        </w:rPr>
        <w:t>,</w:t>
      </w:r>
    </w:p>
    <w:p w:rsidR="00977615" w:rsidRPr="00977615" w:rsidRDefault="00977615" w:rsidP="00394DAE">
      <w:pPr>
        <w:pStyle w:val="Listenabsatz"/>
        <w:numPr>
          <w:ilvl w:val="0"/>
          <w:numId w:val="24"/>
        </w:numPr>
        <w:tabs>
          <w:tab w:val="left" w:pos="2835"/>
          <w:tab w:val="left" w:pos="2977"/>
          <w:tab w:val="left" w:pos="3119"/>
        </w:tabs>
        <w:spacing w:line="360" w:lineRule="auto"/>
        <w:ind w:left="214" w:hanging="214"/>
        <w:jc w:val="both"/>
        <w:rPr>
          <w:rFonts w:ascii="Arial" w:hAnsi="Arial" w:cs="Arial"/>
          <w:sz w:val="22"/>
          <w:szCs w:val="22"/>
        </w:rPr>
      </w:pPr>
      <w:r w:rsidRPr="00977615">
        <w:rPr>
          <w:rFonts w:ascii="Arial" w:hAnsi="Arial" w:cs="Arial"/>
          <w:sz w:val="22"/>
          <w:szCs w:val="22"/>
        </w:rPr>
        <w:t>Aktivitätsschwerpunkt liegt auf Seiten der Schülerinnen und Schüler</w:t>
      </w:r>
      <w:r w:rsidR="00165DB3">
        <w:rPr>
          <w:rFonts w:ascii="Arial" w:hAnsi="Arial" w:cs="Arial"/>
          <w:sz w:val="22"/>
          <w:szCs w:val="22"/>
        </w:rPr>
        <w:t>,</w:t>
      </w:r>
    </w:p>
    <w:p w:rsidR="00977615" w:rsidRDefault="00165DB3" w:rsidP="00394DAE">
      <w:pPr>
        <w:pStyle w:val="Listenabsatz"/>
        <w:numPr>
          <w:ilvl w:val="0"/>
          <w:numId w:val="24"/>
        </w:numPr>
        <w:tabs>
          <w:tab w:val="left" w:pos="2835"/>
          <w:tab w:val="left" w:pos="2977"/>
          <w:tab w:val="left" w:pos="3119"/>
        </w:tabs>
        <w:spacing w:line="360" w:lineRule="auto"/>
        <w:ind w:left="214" w:hanging="2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977615" w:rsidRPr="00977615">
        <w:rPr>
          <w:rFonts w:ascii="Arial" w:hAnsi="Arial" w:cs="Arial"/>
          <w:sz w:val="22"/>
          <w:szCs w:val="22"/>
        </w:rPr>
        <w:t xml:space="preserve">ffene Gestaltung der Lernumgebung </w:t>
      </w:r>
    </w:p>
    <w:p w:rsidR="00977615" w:rsidRDefault="00977615" w:rsidP="00394DAE">
      <w:pPr>
        <w:tabs>
          <w:tab w:val="left" w:pos="2835"/>
          <w:tab w:val="left" w:pos="2977"/>
          <w:tab w:val="left" w:pos="3119"/>
        </w:tabs>
        <w:spacing w:line="360" w:lineRule="auto"/>
        <w:jc w:val="both"/>
      </w:pPr>
    </w:p>
    <w:p w:rsidR="00977615" w:rsidRDefault="00977615" w:rsidP="00394DAE">
      <w:pPr>
        <w:tabs>
          <w:tab w:val="left" w:pos="2835"/>
          <w:tab w:val="left" w:pos="2977"/>
          <w:tab w:val="left" w:pos="3119"/>
        </w:tabs>
        <w:spacing w:line="360" w:lineRule="auto"/>
        <w:jc w:val="both"/>
      </w:pPr>
      <w:r>
        <w:t xml:space="preserve">Die Schülerinnen und Schüler erschließen sich das Themengebiet mittels Arbeitsblättern mit „Infoboxen“ und Arbeitsaufträgen zum Explorieren. </w:t>
      </w:r>
      <w:r w:rsidR="00A55C13">
        <w:t xml:space="preserve">Im Anschluss an die Themenerkundung erfolgt jeweils eine Anwendung des </w:t>
      </w:r>
      <w:r>
        <w:t>neu erworbene</w:t>
      </w:r>
      <w:r w:rsidR="00A55C13">
        <w:t>n</w:t>
      </w:r>
      <w:r>
        <w:t xml:space="preserve"> fachspezifische</w:t>
      </w:r>
      <w:r w:rsidR="00A55C13">
        <w:t>n</w:t>
      </w:r>
      <w:r>
        <w:t xml:space="preserve"> Wissen</w:t>
      </w:r>
      <w:r w:rsidR="00A55C13">
        <w:t>s</w:t>
      </w:r>
      <w:r>
        <w:t xml:space="preserve"> in Übung</w:t>
      </w:r>
      <w:r>
        <w:t>s</w:t>
      </w:r>
      <w:r>
        <w:t>aufga</w:t>
      </w:r>
      <w:r w:rsidR="00A55C13">
        <w:t>ben. Die Schülerinnen und Schüler haben durch eine eingerichtete Kontrollstation die Möglichkeit</w:t>
      </w:r>
      <w:r w:rsidR="00165DB3">
        <w:t>,</w:t>
      </w:r>
      <w:r w:rsidR="00A55C13">
        <w:t xml:space="preserve"> Ihre Ergebnisse selbstständig zu überprüfen bzw. ggf. zu korrigieren. Die Leh</w:t>
      </w:r>
      <w:r w:rsidR="00A55C13">
        <w:t>r</w:t>
      </w:r>
      <w:r w:rsidR="00A55C13">
        <w:t>person steht zudem als möglicher Ansprechpartner zur Verfügung.</w:t>
      </w:r>
    </w:p>
    <w:p w:rsidR="00A55C13" w:rsidRDefault="00A55C13" w:rsidP="00394DAE">
      <w:pPr>
        <w:tabs>
          <w:tab w:val="left" w:pos="2835"/>
          <w:tab w:val="left" w:pos="2977"/>
          <w:tab w:val="left" w:pos="3119"/>
        </w:tabs>
        <w:spacing w:line="360" w:lineRule="auto"/>
        <w:jc w:val="both"/>
      </w:pPr>
      <w:r>
        <w:t>Die zugrundeliegenden Aktionsformen sind erarbeitend und entdecken-lassend. Als Sozia</w:t>
      </w:r>
      <w:r>
        <w:t>l</w:t>
      </w:r>
      <w:r>
        <w:t>form bietet sich die Partnerarbeit an.</w:t>
      </w:r>
    </w:p>
    <w:p w:rsidR="00A55C13" w:rsidRPr="00977615" w:rsidRDefault="00A55C13" w:rsidP="00394DAE">
      <w:pPr>
        <w:tabs>
          <w:tab w:val="left" w:pos="2835"/>
          <w:tab w:val="left" w:pos="2977"/>
          <w:tab w:val="left" w:pos="3119"/>
        </w:tabs>
        <w:spacing w:line="360" w:lineRule="auto"/>
        <w:jc w:val="both"/>
      </w:pPr>
      <w:r>
        <w:t>Zum Abschluss der Schülerarbeitsphase könnte ein Austausch im Plenum zu dem neuen Funktionstyp sowie zu offenen Fragen erfolgen.</w:t>
      </w:r>
      <w:r w:rsidR="00E15747">
        <w:t xml:space="preserve"> Dies könnte insbesondere an Hand der Vo</w:t>
      </w:r>
      <w:r w:rsidR="00E15747">
        <w:t>r</w:t>
      </w:r>
      <w:r w:rsidR="00E15747">
        <w:t xml:space="preserve">stellung einiger Vernetzungsdiagramme, wie sie in Aufgabe 7 zu erstellen sind, erfolgen. </w:t>
      </w:r>
    </w:p>
    <w:p w:rsidR="00977615" w:rsidRPr="00977615" w:rsidRDefault="00977615" w:rsidP="00394DAE">
      <w:pPr>
        <w:spacing w:line="360" w:lineRule="auto"/>
        <w:jc w:val="both"/>
      </w:pPr>
    </w:p>
    <w:p w:rsidR="00FC5639" w:rsidRPr="00A55C13" w:rsidRDefault="00FC5639" w:rsidP="00394DAE">
      <w:pPr>
        <w:spacing w:line="360" w:lineRule="auto"/>
        <w:jc w:val="both"/>
        <w:rPr>
          <w:sz w:val="18"/>
        </w:rPr>
      </w:pPr>
    </w:p>
    <w:p w:rsidR="00EF0654" w:rsidRDefault="00EF0654" w:rsidP="00394DAE">
      <w:pPr>
        <w:jc w:val="both"/>
        <w:rPr>
          <w:b/>
          <w:sz w:val="24"/>
          <w:szCs w:val="28"/>
        </w:rPr>
      </w:pPr>
      <w:r>
        <w:rPr>
          <w:b/>
          <w:szCs w:val="28"/>
        </w:rPr>
        <w:br w:type="page"/>
      </w:r>
    </w:p>
    <w:p w:rsidR="00A55C13" w:rsidRPr="008E4318" w:rsidRDefault="00A55C13" w:rsidP="008E4318">
      <w:pPr>
        <w:spacing w:after="240" w:line="360" w:lineRule="auto"/>
        <w:jc w:val="both"/>
        <w:rPr>
          <w:b/>
          <w:szCs w:val="28"/>
        </w:rPr>
      </w:pPr>
      <w:r w:rsidRPr="008E4318">
        <w:rPr>
          <w:b/>
          <w:szCs w:val="28"/>
        </w:rPr>
        <w:lastRenderedPageBreak/>
        <w:t>Fachliche Hinweise:</w:t>
      </w:r>
    </w:p>
    <w:p w:rsidR="00A55C13" w:rsidRDefault="005E0218" w:rsidP="00394DAE">
      <w:pPr>
        <w:spacing w:after="240" w:line="360" w:lineRule="auto"/>
        <w:jc w:val="both"/>
        <w:rPr>
          <w:szCs w:val="28"/>
        </w:rPr>
      </w:pPr>
      <w:r>
        <w:rPr>
          <w:szCs w:val="28"/>
        </w:rPr>
        <w:t>Die Behandlung der zugehörigen Integralrechnung ist im Lehrplan im Rahmen der Leh</w:t>
      </w:r>
      <w:r>
        <w:rPr>
          <w:szCs w:val="28"/>
        </w:rPr>
        <w:t>r</w:t>
      </w:r>
      <w:r>
        <w:rPr>
          <w:szCs w:val="28"/>
        </w:rPr>
        <w:t>planeinheit 6 vorgesehen, könnte jedoch unter thematischen Gesichtspunkten auch vorg</w:t>
      </w:r>
      <w:r>
        <w:rPr>
          <w:szCs w:val="28"/>
        </w:rPr>
        <w:t>e</w:t>
      </w:r>
      <w:r>
        <w:rPr>
          <w:szCs w:val="28"/>
        </w:rPr>
        <w:t>zogen werden, falls die Integralrechnung im Fach Mathematik bereits behandelt wurde.</w:t>
      </w:r>
    </w:p>
    <w:p w:rsidR="005E0218" w:rsidRDefault="005E0218" w:rsidP="00394DAE">
      <w:pPr>
        <w:spacing w:after="240" w:line="360" w:lineRule="auto"/>
        <w:jc w:val="both"/>
        <w:rPr>
          <w:szCs w:val="28"/>
        </w:rPr>
      </w:pPr>
      <w:r>
        <w:rPr>
          <w:szCs w:val="28"/>
        </w:rPr>
        <w:t>Die Unterrichtsmaterialien beziehen sich ausschließlich auf d</w:t>
      </w:r>
      <w:r w:rsidR="00B65091">
        <w:rPr>
          <w:szCs w:val="28"/>
        </w:rPr>
        <w:t>ie natürliche</w:t>
      </w:r>
      <w:r>
        <w:rPr>
          <w:szCs w:val="28"/>
        </w:rPr>
        <w:t xml:space="preserve"> Logarithmus</w:t>
      </w:r>
      <w:r w:rsidR="00B65091">
        <w:rPr>
          <w:szCs w:val="28"/>
        </w:rPr>
        <w:t>funkt</w:t>
      </w:r>
      <w:r w:rsidR="00B65091">
        <w:rPr>
          <w:szCs w:val="28"/>
        </w:rPr>
        <w:t>i</w:t>
      </w:r>
      <w:r w:rsidR="00B65091">
        <w:rPr>
          <w:szCs w:val="28"/>
        </w:rPr>
        <w:t>on</w:t>
      </w:r>
      <w:r>
        <w:rPr>
          <w:szCs w:val="28"/>
        </w:rPr>
        <w:t xml:space="preserve">. </w:t>
      </w:r>
      <w:r w:rsidR="00B65091">
        <w:rPr>
          <w:szCs w:val="28"/>
        </w:rPr>
        <w:t>Die Betrachtung der Logarithmen zu anderen Basen kann im Nachgang bei der Bespr</w:t>
      </w:r>
      <w:r w:rsidR="00B65091">
        <w:rPr>
          <w:szCs w:val="28"/>
        </w:rPr>
        <w:t>e</w:t>
      </w:r>
      <w:r w:rsidR="00B65091">
        <w:rPr>
          <w:szCs w:val="28"/>
        </w:rPr>
        <w:t>chung im Plenum erfolgen.</w:t>
      </w:r>
    </w:p>
    <w:p w:rsidR="002C6DE7" w:rsidRDefault="00143668" w:rsidP="00394DAE">
      <w:pPr>
        <w:spacing w:after="240" w:line="360" w:lineRule="auto"/>
        <w:jc w:val="both"/>
        <w:rPr>
          <w:szCs w:val="28"/>
        </w:rPr>
      </w:pPr>
      <w:r>
        <w:rPr>
          <w:szCs w:val="28"/>
        </w:rPr>
        <w:t xml:space="preserve">Falls die </w:t>
      </w:r>
      <w:proofErr w:type="spellStart"/>
      <w:r>
        <w:rPr>
          <w:szCs w:val="28"/>
        </w:rPr>
        <w:t>Logarithmengesetze</w:t>
      </w:r>
      <w:proofErr w:type="spellEnd"/>
      <w:r>
        <w:rPr>
          <w:szCs w:val="28"/>
        </w:rPr>
        <w:t xml:space="preserve"> im Fach Mathematik nicht, oder nicht umfassend behandelt wurden, kann dies hier erfolgen.</w:t>
      </w:r>
      <w:r w:rsidR="002C6DE7">
        <w:rPr>
          <w:szCs w:val="28"/>
        </w:rPr>
        <w:t xml:space="preserve"> </w:t>
      </w:r>
    </w:p>
    <w:p w:rsidR="005E0218" w:rsidRDefault="002C6DE7" w:rsidP="00394DAE">
      <w:pPr>
        <w:spacing w:after="240" w:line="360" w:lineRule="auto"/>
        <w:jc w:val="both"/>
        <w:rPr>
          <w:szCs w:val="28"/>
        </w:rPr>
      </w:pPr>
      <w:r>
        <w:rPr>
          <w:szCs w:val="28"/>
        </w:rPr>
        <w:t xml:space="preserve">Der früher oft eingesetzte Rechenschieber dessen Funktionsweise auf den </w:t>
      </w:r>
      <w:proofErr w:type="spellStart"/>
      <w:r>
        <w:rPr>
          <w:szCs w:val="28"/>
        </w:rPr>
        <w:t>Logarithmeng</w:t>
      </w:r>
      <w:r>
        <w:rPr>
          <w:szCs w:val="28"/>
        </w:rPr>
        <w:t>e</w:t>
      </w:r>
      <w:r>
        <w:rPr>
          <w:szCs w:val="28"/>
        </w:rPr>
        <w:t>setzen</w:t>
      </w:r>
      <w:proofErr w:type="spellEnd"/>
      <w:r>
        <w:rPr>
          <w:szCs w:val="28"/>
        </w:rPr>
        <w:t xml:space="preserve"> beruht, bietet eine Möglichkeit, den Schülerinnen und Schülern eine Anwendung au</w:t>
      </w:r>
      <w:r>
        <w:rPr>
          <w:szCs w:val="28"/>
        </w:rPr>
        <w:t>f</w:t>
      </w:r>
      <w:r>
        <w:rPr>
          <w:szCs w:val="28"/>
        </w:rPr>
        <w:t>zuzeigen.</w:t>
      </w:r>
    </w:p>
    <w:p w:rsidR="00EF0654" w:rsidRDefault="00EF0654" w:rsidP="00394DAE">
      <w:pPr>
        <w:spacing w:after="240" w:line="360" w:lineRule="auto"/>
        <w:jc w:val="both"/>
        <w:rPr>
          <w:szCs w:val="28"/>
        </w:rPr>
      </w:pPr>
    </w:p>
    <w:p w:rsidR="00A55C13" w:rsidRPr="008E4318" w:rsidRDefault="00A55C13" w:rsidP="008E4318">
      <w:pPr>
        <w:spacing w:after="240" w:line="360" w:lineRule="auto"/>
        <w:jc w:val="both"/>
        <w:rPr>
          <w:b/>
          <w:szCs w:val="28"/>
        </w:rPr>
      </w:pPr>
      <w:r w:rsidRPr="008E4318">
        <w:rPr>
          <w:b/>
          <w:szCs w:val="28"/>
        </w:rPr>
        <w:t>Unterrichtsmaterialien:</w:t>
      </w:r>
    </w:p>
    <w:p w:rsidR="00A55C13" w:rsidRDefault="00A55C13" w:rsidP="00394DAE">
      <w:pPr>
        <w:spacing w:after="240" w:line="360" w:lineRule="auto"/>
        <w:jc w:val="both"/>
        <w:rPr>
          <w:szCs w:val="28"/>
        </w:rPr>
      </w:pPr>
      <w:r>
        <w:rPr>
          <w:szCs w:val="28"/>
        </w:rPr>
        <w:t>Arbeitsblätter mit Infoboxen, Arbeitsaufträgen, Übungsaufgaben</w:t>
      </w:r>
    </w:p>
    <w:p w:rsidR="00A55C13" w:rsidRDefault="00A55C13" w:rsidP="00394DAE">
      <w:pPr>
        <w:spacing w:after="240" w:line="360" w:lineRule="auto"/>
        <w:jc w:val="both"/>
        <w:rPr>
          <w:szCs w:val="28"/>
        </w:rPr>
      </w:pPr>
      <w:r>
        <w:rPr>
          <w:szCs w:val="28"/>
        </w:rPr>
        <w:t>Lösungsblätter zum Aushang an einer Kontrollstation</w:t>
      </w:r>
    </w:p>
    <w:p w:rsidR="00A55C13" w:rsidRPr="00A55C13" w:rsidRDefault="00A55C13" w:rsidP="00394DAE">
      <w:pPr>
        <w:spacing w:after="240" w:line="360" w:lineRule="auto"/>
        <w:jc w:val="both"/>
        <w:rPr>
          <w:szCs w:val="28"/>
        </w:rPr>
      </w:pPr>
      <w:r>
        <w:rPr>
          <w:szCs w:val="28"/>
        </w:rPr>
        <w:t>Begriffskärtchen und leere Din A3-Blätter für die Erstellung eines Vernetzungsdiagramms (</w:t>
      </w:r>
      <w:proofErr w:type="spellStart"/>
      <w:r>
        <w:rPr>
          <w:szCs w:val="28"/>
        </w:rPr>
        <w:t>Conzept-Maps</w:t>
      </w:r>
      <w:proofErr w:type="spellEnd"/>
      <w:r>
        <w:rPr>
          <w:szCs w:val="28"/>
        </w:rPr>
        <w:t>)</w:t>
      </w:r>
    </w:p>
    <w:p w:rsidR="00A55C13" w:rsidRDefault="00A55C13" w:rsidP="00394DAE">
      <w:pPr>
        <w:spacing w:after="240" w:line="360" w:lineRule="auto"/>
        <w:jc w:val="both"/>
        <w:rPr>
          <w:szCs w:val="28"/>
        </w:rPr>
      </w:pPr>
    </w:p>
    <w:p w:rsidR="000224FB" w:rsidRDefault="000224FB" w:rsidP="00394DAE">
      <w:pPr>
        <w:spacing w:after="240" w:line="360" w:lineRule="auto"/>
        <w:jc w:val="both"/>
        <w:rPr>
          <w:szCs w:val="28"/>
        </w:rPr>
      </w:pPr>
      <w:r>
        <w:rPr>
          <w:szCs w:val="28"/>
        </w:rPr>
        <w:t>Weitere Materialien (Links):</w:t>
      </w:r>
    </w:p>
    <w:p w:rsidR="000224FB" w:rsidRDefault="000224FB" w:rsidP="00394DAE">
      <w:pPr>
        <w:spacing w:after="240" w:line="360" w:lineRule="auto"/>
        <w:jc w:val="both"/>
        <w:rPr>
          <w:szCs w:val="28"/>
        </w:rPr>
      </w:pPr>
      <w:r>
        <w:rPr>
          <w:szCs w:val="28"/>
        </w:rPr>
        <w:t xml:space="preserve">Capira.de </w:t>
      </w:r>
    </w:p>
    <w:p w:rsidR="000224FB" w:rsidRDefault="000224FB" w:rsidP="00394DAE">
      <w:pPr>
        <w:pStyle w:val="Listenabsatz"/>
        <w:numPr>
          <w:ilvl w:val="0"/>
          <w:numId w:val="27"/>
        </w:numPr>
        <w:spacing w:after="240" w:line="360" w:lineRule="auto"/>
        <w:jc w:val="both"/>
        <w:rPr>
          <w:rFonts w:ascii="Arial" w:hAnsi="Arial" w:cs="Arial"/>
          <w:szCs w:val="28"/>
        </w:rPr>
      </w:pPr>
      <w:r w:rsidRPr="000224FB">
        <w:rPr>
          <w:rFonts w:ascii="Arial" w:hAnsi="Arial" w:cs="Arial"/>
          <w:szCs w:val="28"/>
        </w:rPr>
        <w:t>Unter „05:</w:t>
      </w:r>
      <w:r w:rsidR="00165DB3">
        <w:rPr>
          <w:rFonts w:ascii="Arial" w:hAnsi="Arial" w:cs="Arial"/>
          <w:szCs w:val="28"/>
        </w:rPr>
        <w:t xml:space="preserve"> </w:t>
      </w:r>
      <w:r w:rsidRPr="000224FB">
        <w:rPr>
          <w:rFonts w:ascii="Arial" w:hAnsi="Arial" w:cs="Arial"/>
          <w:szCs w:val="28"/>
        </w:rPr>
        <w:t xml:space="preserve">Potenzen, Wurzeln, Exponentialfunktionen, Logarithmen“ findet man interaktive Videos zu </w:t>
      </w:r>
      <w:r w:rsidR="006B793F">
        <w:rPr>
          <w:rFonts w:ascii="Arial" w:hAnsi="Arial" w:cs="Arial"/>
          <w:szCs w:val="28"/>
        </w:rPr>
        <w:t>„</w:t>
      </w:r>
      <w:r w:rsidRPr="000224FB">
        <w:rPr>
          <w:rFonts w:ascii="Arial" w:hAnsi="Arial" w:cs="Arial"/>
          <w:szCs w:val="28"/>
        </w:rPr>
        <w:t>Logarithmen</w:t>
      </w:r>
      <w:r w:rsidR="006B793F">
        <w:rPr>
          <w:rFonts w:ascii="Arial" w:hAnsi="Arial" w:cs="Arial"/>
          <w:szCs w:val="28"/>
        </w:rPr>
        <w:t>“</w:t>
      </w:r>
      <w:r w:rsidRPr="000224FB">
        <w:rPr>
          <w:rFonts w:ascii="Arial" w:hAnsi="Arial" w:cs="Arial"/>
          <w:szCs w:val="28"/>
        </w:rPr>
        <w:t xml:space="preserve">, </w:t>
      </w:r>
      <w:r w:rsidR="006B793F">
        <w:rPr>
          <w:rFonts w:ascii="Arial" w:hAnsi="Arial" w:cs="Arial"/>
          <w:szCs w:val="28"/>
        </w:rPr>
        <w:t>„</w:t>
      </w:r>
      <w:r w:rsidRPr="000224FB">
        <w:rPr>
          <w:rFonts w:ascii="Arial" w:hAnsi="Arial" w:cs="Arial"/>
          <w:szCs w:val="28"/>
        </w:rPr>
        <w:t>Rechenregeln für Logarithmen und L</w:t>
      </w:r>
      <w:r w:rsidRPr="000224FB">
        <w:rPr>
          <w:rFonts w:ascii="Arial" w:hAnsi="Arial" w:cs="Arial"/>
          <w:szCs w:val="28"/>
        </w:rPr>
        <w:t>o</w:t>
      </w:r>
      <w:r w:rsidRPr="000224FB">
        <w:rPr>
          <w:rFonts w:ascii="Arial" w:hAnsi="Arial" w:cs="Arial"/>
          <w:szCs w:val="28"/>
        </w:rPr>
        <w:t>garithmen zu fremden Basen</w:t>
      </w:r>
      <w:r w:rsidR="006B793F">
        <w:rPr>
          <w:rFonts w:ascii="Arial" w:hAnsi="Arial" w:cs="Arial"/>
          <w:szCs w:val="28"/>
        </w:rPr>
        <w:t>“</w:t>
      </w:r>
      <w:r w:rsidRPr="000224FB">
        <w:rPr>
          <w:rFonts w:ascii="Arial" w:hAnsi="Arial" w:cs="Arial"/>
          <w:szCs w:val="28"/>
        </w:rPr>
        <w:t xml:space="preserve"> </w:t>
      </w:r>
    </w:p>
    <w:p w:rsidR="006B793F" w:rsidRPr="000224FB" w:rsidRDefault="006B793F" w:rsidP="00394DAE">
      <w:pPr>
        <w:pStyle w:val="Listenabsatz"/>
        <w:numPr>
          <w:ilvl w:val="0"/>
          <w:numId w:val="27"/>
        </w:numPr>
        <w:spacing w:after="240" w:line="36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Unter „10: Ableitungen“ findet man interaktive Videos  „Ab</w:t>
      </w:r>
      <w:r w:rsidR="00165DB3">
        <w:rPr>
          <w:rFonts w:ascii="Arial" w:hAnsi="Arial" w:cs="Arial"/>
          <w:szCs w:val="28"/>
        </w:rPr>
        <w:t>leitung von Sinus;</w:t>
      </w:r>
      <w:bookmarkStart w:id="0" w:name="_GoBack"/>
      <w:bookmarkEnd w:id="0"/>
      <w:r>
        <w:rPr>
          <w:rFonts w:ascii="Arial" w:hAnsi="Arial" w:cs="Arial"/>
          <w:szCs w:val="28"/>
        </w:rPr>
        <w:t xml:space="preserve"> Cosinus</w:t>
      </w:r>
      <w:r w:rsidR="00165DB3">
        <w:rPr>
          <w:rFonts w:ascii="Arial" w:hAnsi="Arial" w:cs="Arial"/>
          <w:szCs w:val="28"/>
        </w:rPr>
        <w:t>;</w:t>
      </w:r>
      <w:r>
        <w:rPr>
          <w:rFonts w:ascii="Arial" w:hAnsi="Arial" w:cs="Arial"/>
          <w:szCs w:val="28"/>
        </w:rPr>
        <w:t xml:space="preserve"> Logarithmus; Potenzregel; </w:t>
      </w:r>
      <w:proofErr w:type="spellStart"/>
      <w:r>
        <w:rPr>
          <w:rFonts w:ascii="Arial" w:hAnsi="Arial" w:cs="Arial"/>
          <w:szCs w:val="28"/>
        </w:rPr>
        <w:t>Quotientenregel</w:t>
      </w:r>
      <w:proofErr w:type="spellEnd"/>
      <w:r>
        <w:rPr>
          <w:rFonts w:ascii="Arial" w:hAnsi="Arial" w:cs="Arial"/>
          <w:szCs w:val="28"/>
        </w:rPr>
        <w:t>“</w:t>
      </w:r>
    </w:p>
    <w:p w:rsidR="00FC5639" w:rsidRPr="00977615" w:rsidRDefault="00FC5639" w:rsidP="00394DAE">
      <w:pPr>
        <w:pStyle w:val="LSStandardtext"/>
        <w:spacing w:line="360" w:lineRule="auto"/>
      </w:pPr>
    </w:p>
    <w:sectPr w:rsidR="00FC5639" w:rsidRPr="00977615" w:rsidSect="004C0C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35F" w:rsidRDefault="00DA635F">
      <w:r>
        <w:separator/>
      </w:r>
    </w:p>
  </w:endnote>
  <w:endnote w:type="continuationSeparator" w:id="0">
    <w:p w:rsidR="00DA635F" w:rsidRDefault="00DA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4C0C4C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7644445"/>
      <w:docPartObj>
        <w:docPartGallery w:val="Page Numbers (Bottom of Page)"/>
        <w:docPartUnique/>
      </w:docPartObj>
    </w:sdtPr>
    <w:sdtEndPr/>
    <w:sdtContent>
      <w:p w:rsidR="00362278" w:rsidRDefault="0036227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DB3">
          <w:rPr>
            <w:noProof/>
          </w:rPr>
          <w:t>2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18" w:rsidRDefault="008E43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35F" w:rsidRDefault="00DA635F">
      <w:r>
        <w:separator/>
      </w:r>
    </w:p>
  </w:footnote>
  <w:footnote w:type="continuationSeparator" w:id="0">
    <w:p w:rsidR="00DA635F" w:rsidRDefault="00DA6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93F" w:rsidRPr="008D54DA" w:rsidRDefault="006B793F" w:rsidP="006B793F">
    <w:pPr>
      <w:pStyle w:val="Kopfzeile"/>
      <w:tabs>
        <w:tab w:val="clear" w:pos="4536"/>
        <w:tab w:val="left" w:pos="2552"/>
        <w:tab w:val="left" w:pos="5387"/>
      </w:tabs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107A71" wp14:editId="20363950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o+qFQIAACgEAAAOAAAAZHJzL2Uyb0RvYy54bWysU8uu2yAQ3VfqPyD2iR/XSRMrzlVlJ92k&#10;baR7+wEEcIyKAQGJE1X99w7k0abdVFVlCfM4czgzZ1g8n3qJjtw6oVWFs3GKEVdUM6H2Ff7yuh7N&#10;MHKeKEakVrzCZ+7w8/Ltm8VgSp7rTkvGLQIS5crBVLjz3pRJ4mjHe+LG2nAFh622PfGwtPuEWTIA&#10;ey+TPE2nyaAtM1ZT7hzsNpdDvIz8bcup/9y2jnskKwzafBxtHHdhTJYLUu4tMZ2gVxnkH1T0RCi4&#10;9E7VEE/QwYo/qHpBrXa69WOq+0S3raA85gDZZOlv2bx0xPCYCxTHmXuZ3P+jpZ+OW4sEq3COkSI9&#10;WLQRiqMsVGYwrgRArbY25EZP6sVsNP3qkNJ1R9SeR4WvZwNhMSJ5CAkLZ4B/N3zUDDDk4HUs06m1&#10;faCEAqBTdON8d4OfPKKwOZnl86cUTKO3s4SUt0Bjnf/AdY/CpMISNEdictw4D9IBeoOEe5ReCymj&#10;2VKhocLzST6JAU5LwcJhgDm739XSoiOBdpml4Qt1ALIHmNUHxSJZxwlbXeeeCHmZA16qwAepgJzr&#10;7NIP3+bpfDVbzYpRkU9XoyJtmtH7dV2Mpuvs3aR5auq6yb4HaVlRdoIxroK6W29mxd95f30ll666&#10;d+e9DMkje0wRxN7+UXT0Mth3aYSdZuetDdUItkI7RvD16YR+/3UdUT8f+PIHAAAA//8DAFBLAwQU&#10;AAYACAAAACEATmsnkN4AAAAIAQAADwAAAGRycy9kb3ducmV2LnhtbEyPQUvDQBCF74L/YRnBW7tp&#10;hdTGbEooFAQFbbV4nWbHJLo7G7LbJv33rvSgx3nv8eZ7+Wq0Rpyo961jBbNpAoK4crrlWsH722Zy&#10;D8IHZI3GMSk4k4dVcX2VY6bdwFs67UItYgn7DBU0IXSZlL5qyKKfuo44ep+utxji2ddS9zjEcmvk&#10;PElSabHl+KHBjtYNVd+7o1VgXvbPWyyHp5IXjx/J17je8OtZqdubsXwAEWgMf2H4xY/oUESmgzuy&#10;9sIomKRxSlBwly5ARH85m0fhcBFkkcv/A4ofAAAA//8DAFBLAQItABQABgAIAAAAIQC2gziS/gAA&#10;AOEBAAATAAAAAAAAAAAAAAAAAAAAAABbQ29udGVudF9UeXBlc10ueG1sUEsBAi0AFAAGAAgAAAAh&#10;ADj9If/WAAAAlAEAAAsAAAAAAAAAAAAAAAAALwEAAF9yZWxzLy5yZWxzUEsBAi0AFAAGAAgAAAAh&#10;ANZ+j6oVAgAAKAQAAA4AAAAAAAAAAAAAAAAALgIAAGRycy9lMm9Eb2MueG1sUEsBAi0AFAAGAAgA&#10;AAAhAE5rJ5DeAAAACAEAAA8AAAAAAAAAAAAAAAAAbwQAAGRycy9kb3ducmV2LnhtbFBLBQYAAAAA&#10;BAAEAPMAAAB6BQAAAAA=&#10;" strokecolor="gray"/>
          </w:pict>
        </mc:Fallback>
      </mc:AlternateContent>
    </w:r>
    <w:r>
      <w:rPr>
        <w:color w:val="808080"/>
        <w:sz w:val="20"/>
        <w:szCs w:val="20"/>
      </w:rPr>
      <w:t>Mathe+</w:t>
    </w:r>
    <w:r>
      <w:rPr>
        <w:color w:val="808080"/>
        <w:sz w:val="20"/>
        <w:szCs w:val="20"/>
      </w:rPr>
      <w:tab/>
      <w:t>Lehrplaneinheit 5 - Hinweise Logarithmusfunktionen</w:t>
    </w:r>
  </w:p>
  <w:p w:rsidR="00793573" w:rsidRPr="006B793F" w:rsidRDefault="00793573" w:rsidP="006B793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AC" w:rsidRPr="00B540AC" w:rsidRDefault="00B540AC" w:rsidP="00B540AC">
    <w:pPr>
      <w:tabs>
        <w:tab w:val="left" w:pos="4110"/>
        <w:tab w:val="left" w:pos="8103"/>
      </w:tabs>
    </w:pPr>
    <w:r w:rsidRPr="00B540AC">
      <w:rPr>
        <w:rFonts w:ascii="Times New Roman" w:eastAsia="SimSu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5B417A11" wp14:editId="79F4CD5E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3" name="Grafik 3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B540AC" w:rsidRPr="00B540AC" w:rsidTr="003563AE">
      <w:tc>
        <w:tcPr>
          <w:tcW w:w="3369" w:type="dxa"/>
          <w:shd w:val="clear" w:color="auto" w:fill="auto"/>
        </w:tcPr>
        <w:p w:rsidR="00B540AC" w:rsidRPr="00B540AC" w:rsidRDefault="00B540AC" w:rsidP="00B540AC">
          <w:pPr>
            <w:tabs>
              <w:tab w:val="left" w:pos="8103"/>
            </w:tabs>
          </w:pPr>
        </w:p>
      </w:tc>
      <w:tc>
        <w:tcPr>
          <w:tcW w:w="1842" w:type="dxa"/>
          <w:shd w:val="clear" w:color="auto" w:fill="auto"/>
        </w:tcPr>
        <w:p w:rsidR="00B540AC" w:rsidRPr="00B540AC" w:rsidRDefault="00B540AC" w:rsidP="00B540AC">
          <w:pPr>
            <w:tabs>
              <w:tab w:val="left" w:pos="8103"/>
            </w:tabs>
          </w:pPr>
          <w:r w:rsidRPr="00B540AC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  <w:shd w:val="clear" w:color="auto" w:fill="auto"/>
        </w:tcPr>
        <w:p w:rsidR="00B540AC" w:rsidRPr="00B540AC" w:rsidRDefault="00B540AC" w:rsidP="00B540AC">
          <w:pPr>
            <w:tabs>
              <w:tab w:val="left" w:pos="8103"/>
            </w:tabs>
            <w:jc w:val="right"/>
          </w:pPr>
          <w:r w:rsidRPr="00B540AC">
            <w:rPr>
              <w:noProof/>
              <w:color w:val="808080"/>
              <w:szCs w:val="20"/>
            </w:rPr>
            <w:fldChar w:fldCharType="begin"/>
          </w:r>
          <w:r w:rsidRPr="00B540AC">
            <w:rPr>
              <w:noProof/>
              <w:color w:val="808080"/>
              <w:szCs w:val="20"/>
            </w:rPr>
            <w:instrText xml:space="preserve"> FILENAME  -docx \* MERGEFORMAT </w:instrText>
          </w:r>
          <w:r w:rsidRPr="00B540AC">
            <w:rPr>
              <w:noProof/>
              <w:color w:val="808080"/>
              <w:szCs w:val="20"/>
            </w:rPr>
            <w:fldChar w:fldCharType="separate"/>
          </w:r>
          <w:r w:rsidR="004C0C4C">
            <w:rPr>
              <w:noProof/>
              <w:color w:val="808080"/>
              <w:szCs w:val="20"/>
            </w:rPr>
            <w:t>5.7 Logarithmusfunktionen Hinweise</w:t>
          </w:r>
          <w:r w:rsidRPr="00B540AC">
            <w:rPr>
              <w:noProof/>
              <w:color w:val="808080"/>
              <w:szCs w:val="20"/>
            </w:rPr>
            <w:fldChar w:fldCharType="end"/>
          </w:r>
        </w:p>
      </w:tc>
    </w:tr>
  </w:tbl>
  <w:p w:rsidR="00B540AC" w:rsidRPr="00B540AC" w:rsidRDefault="00B540AC" w:rsidP="00B540AC">
    <w:pPr>
      <w:tabs>
        <w:tab w:val="center" w:pos="4536"/>
        <w:tab w:val="right" w:pos="9072"/>
      </w:tabs>
      <w:rPr>
        <w:rFonts w:ascii="Calibri" w:hAnsi="Calibri" w:cs="Times New Roman"/>
      </w:rPr>
    </w:pPr>
  </w:p>
  <w:p w:rsidR="00793573" w:rsidRPr="00B540AC" w:rsidRDefault="00793573" w:rsidP="00B540A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18" w:rsidRDefault="008E431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80DED"/>
    <w:multiLevelType w:val="hybridMultilevel"/>
    <w:tmpl w:val="43AEF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E04B4"/>
    <w:multiLevelType w:val="hybridMultilevel"/>
    <w:tmpl w:val="5A307D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B5846"/>
    <w:multiLevelType w:val="hybridMultilevel"/>
    <w:tmpl w:val="84761314"/>
    <w:lvl w:ilvl="0" w:tplc="04070001">
      <w:start w:val="1"/>
      <w:numFmt w:val="bullet"/>
      <w:lvlText w:val=""/>
      <w:lvlJc w:val="left"/>
      <w:pPr>
        <w:ind w:left="22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4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1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8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046" w:hanging="360"/>
      </w:pPr>
      <w:rPr>
        <w:rFonts w:ascii="Wingdings" w:hAnsi="Wingdings" w:hint="default"/>
      </w:rPr>
    </w:lvl>
  </w:abstractNum>
  <w:abstractNum w:abstractNumId="4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D66679E"/>
    <w:multiLevelType w:val="hybridMultilevel"/>
    <w:tmpl w:val="0276A0F2"/>
    <w:lvl w:ilvl="0" w:tplc="AB321C4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CDE4B65"/>
    <w:multiLevelType w:val="hybridMultilevel"/>
    <w:tmpl w:val="374CCC6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9F2FFA"/>
    <w:multiLevelType w:val="hybridMultilevel"/>
    <w:tmpl w:val="6EBCAFE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1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69C46007"/>
    <w:multiLevelType w:val="hybridMultilevel"/>
    <w:tmpl w:val="A19448BE"/>
    <w:lvl w:ilvl="0" w:tplc="69EACA76">
      <w:start w:val="2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14"/>
  </w:num>
  <w:num w:numId="3">
    <w:abstractNumId w:val="0"/>
  </w:num>
  <w:num w:numId="4">
    <w:abstractNumId w:val="13"/>
  </w:num>
  <w:num w:numId="5">
    <w:abstractNumId w:val="16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7"/>
  </w:num>
  <w:num w:numId="7">
    <w:abstractNumId w:val="5"/>
  </w:num>
  <w:num w:numId="8">
    <w:abstractNumId w:val="21"/>
  </w:num>
  <w:num w:numId="9">
    <w:abstractNumId w:val="7"/>
  </w:num>
  <w:num w:numId="10">
    <w:abstractNumId w:val="25"/>
  </w:num>
  <w:num w:numId="11">
    <w:abstractNumId w:val="11"/>
  </w:num>
  <w:num w:numId="12">
    <w:abstractNumId w:val="17"/>
  </w:num>
  <w:num w:numId="13">
    <w:abstractNumId w:val="12"/>
  </w:num>
  <w:num w:numId="14">
    <w:abstractNumId w:val="22"/>
  </w:num>
  <w:num w:numId="15">
    <w:abstractNumId w:val="19"/>
  </w:num>
  <w:num w:numId="16">
    <w:abstractNumId w:val="8"/>
  </w:num>
  <w:num w:numId="17">
    <w:abstractNumId w:val="18"/>
  </w:num>
  <w:num w:numId="18">
    <w:abstractNumId w:val="20"/>
  </w:num>
  <w:num w:numId="19">
    <w:abstractNumId w:val="4"/>
  </w:num>
  <w:num w:numId="20">
    <w:abstractNumId w:val="15"/>
  </w:num>
  <w:num w:numId="21">
    <w:abstractNumId w:val="24"/>
  </w:num>
  <w:num w:numId="22">
    <w:abstractNumId w:val="1"/>
  </w:num>
  <w:num w:numId="23">
    <w:abstractNumId w:val="26"/>
  </w:num>
  <w:num w:numId="24">
    <w:abstractNumId w:val="3"/>
  </w:num>
  <w:num w:numId="25">
    <w:abstractNumId w:val="2"/>
  </w:num>
  <w:num w:numId="26">
    <w:abstractNumId w:val="10"/>
  </w:num>
  <w:num w:numId="27">
    <w:abstractNumId w:val="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639"/>
    <w:rsid w:val="00005C03"/>
    <w:rsid w:val="00007074"/>
    <w:rsid w:val="000224FB"/>
    <w:rsid w:val="000234F6"/>
    <w:rsid w:val="00026A44"/>
    <w:rsid w:val="0003605E"/>
    <w:rsid w:val="000402B5"/>
    <w:rsid w:val="000431AF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16CF0"/>
    <w:rsid w:val="00122A06"/>
    <w:rsid w:val="00143668"/>
    <w:rsid w:val="00143B1A"/>
    <w:rsid w:val="00157962"/>
    <w:rsid w:val="00165DB3"/>
    <w:rsid w:val="00192067"/>
    <w:rsid w:val="001A2E62"/>
    <w:rsid w:val="001C0B99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773E6"/>
    <w:rsid w:val="002A5DAD"/>
    <w:rsid w:val="002C3C0B"/>
    <w:rsid w:val="002C6DE7"/>
    <w:rsid w:val="002E3133"/>
    <w:rsid w:val="0033767E"/>
    <w:rsid w:val="00341135"/>
    <w:rsid w:val="00354A87"/>
    <w:rsid w:val="00362278"/>
    <w:rsid w:val="00364DEA"/>
    <w:rsid w:val="00381971"/>
    <w:rsid w:val="00385B0E"/>
    <w:rsid w:val="00394DAE"/>
    <w:rsid w:val="003A0D0B"/>
    <w:rsid w:val="003B771D"/>
    <w:rsid w:val="003C327F"/>
    <w:rsid w:val="003E4A0C"/>
    <w:rsid w:val="003E5315"/>
    <w:rsid w:val="003F6526"/>
    <w:rsid w:val="00427E5D"/>
    <w:rsid w:val="004414A0"/>
    <w:rsid w:val="00454A8D"/>
    <w:rsid w:val="004609C0"/>
    <w:rsid w:val="00473702"/>
    <w:rsid w:val="004A0399"/>
    <w:rsid w:val="004C0C4C"/>
    <w:rsid w:val="004D6055"/>
    <w:rsid w:val="004E7610"/>
    <w:rsid w:val="004F6C58"/>
    <w:rsid w:val="00507E7B"/>
    <w:rsid w:val="005620DE"/>
    <w:rsid w:val="0056376B"/>
    <w:rsid w:val="00564E18"/>
    <w:rsid w:val="005653AE"/>
    <w:rsid w:val="00580F3F"/>
    <w:rsid w:val="005877DB"/>
    <w:rsid w:val="00592774"/>
    <w:rsid w:val="005C045C"/>
    <w:rsid w:val="005D427E"/>
    <w:rsid w:val="005E0218"/>
    <w:rsid w:val="005E70FD"/>
    <w:rsid w:val="005E7281"/>
    <w:rsid w:val="005F6605"/>
    <w:rsid w:val="006047C3"/>
    <w:rsid w:val="0060782F"/>
    <w:rsid w:val="006250B7"/>
    <w:rsid w:val="0063100A"/>
    <w:rsid w:val="0063710D"/>
    <w:rsid w:val="00647F81"/>
    <w:rsid w:val="0065665E"/>
    <w:rsid w:val="00663B0B"/>
    <w:rsid w:val="00675A8E"/>
    <w:rsid w:val="00696651"/>
    <w:rsid w:val="006B793F"/>
    <w:rsid w:val="006C025B"/>
    <w:rsid w:val="006D439A"/>
    <w:rsid w:val="006D65B3"/>
    <w:rsid w:val="006E079C"/>
    <w:rsid w:val="006F7EA3"/>
    <w:rsid w:val="007063AB"/>
    <w:rsid w:val="00715EA6"/>
    <w:rsid w:val="00721505"/>
    <w:rsid w:val="00757897"/>
    <w:rsid w:val="00780905"/>
    <w:rsid w:val="00793573"/>
    <w:rsid w:val="007A00EB"/>
    <w:rsid w:val="00800B6F"/>
    <w:rsid w:val="00826AF5"/>
    <w:rsid w:val="00841AB6"/>
    <w:rsid w:val="00856664"/>
    <w:rsid w:val="00880CCF"/>
    <w:rsid w:val="00891D69"/>
    <w:rsid w:val="00894E34"/>
    <w:rsid w:val="00897B38"/>
    <w:rsid w:val="008A37C8"/>
    <w:rsid w:val="008D54DA"/>
    <w:rsid w:val="008E3020"/>
    <w:rsid w:val="008E4318"/>
    <w:rsid w:val="00917FBE"/>
    <w:rsid w:val="00923245"/>
    <w:rsid w:val="00942134"/>
    <w:rsid w:val="0094646F"/>
    <w:rsid w:val="009468E0"/>
    <w:rsid w:val="00951096"/>
    <w:rsid w:val="0097468B"/>
    <w:rsid w:val="009773B1"/>
    <w:rsid w:val="00977615"/>
    <w:rsid w:val="0098424E"/>
    <w:rsid w:val="009A6EEB"/>
    <w:rsid w:val="009C034D"/>
    <w:rsid w:val="009D2399"/>
    <w:rsid w:val="009E4024"/>
    <w:rsid w:val="00A01090"/>
    <w:rsid w:val="00A069C4"/>
    <w:rsid w:val="00A2210F"/>
    <w:rsid w:val="00A419C9"/>
    <w:rsid w:val="00A55C13"/>
    <w:rsid w:val="00A61C98"/>
    <w:rsid w:val="00A6202E"/>
    <w:rsid w:val="00A8278F"/>
    <w:rsid w:val="00A90681"/>
    <w:rsid w:val="00A94591"/>
    <w:rsid w:val="00AD1028"/>
    <w:rsid w:val="00AE1300"/>
    <w:rsid w:val="00B026A6"/>
    <w:rsid w:val="00B03CDE"/>
    <w:rsid w:val="00B05948"/>
    <w:rsid w:val="00B16C22"/>
    <w:rsid w:val="00B26F7E"/>
    <w:rsid w:val="00B36BFF"/>
    <w:rsid w:val="00B511CA"/>
    <w:rsid w:val="00B540AC"/>
    <w:rsid w:val="00B65091"/>
    <w:rsid w:val="00B714DE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D12434"/>
    <w:rsid w:val="00D12EB6"/>
    <w:rsid w:val="00D16D34"/>
    <w:rsid w:val="00D23DB4"/>
    <w:rsid w:val="00D44738"/>
    <w:rsid w:val="00D54CA8"/>
    <w:rsid w:val="00D5658F"/>
    <w:rsid w:val="00DA635F"/>
    <w:rsid w:val="00DB1BBF"/>
    <w:rsid w:val="00DF0915"/>
    <w:rsid w:val="00E04B87"/>
    <w:rsid w:val="00E15747"/>
    <w:rsid w:val="00E6612D"/>
    <w:rsid w:val="00E70711"/>
    <w:rsid w:val="00E721C9"/>
    <w:rsid w:val="00E940D0"/>
    <w:rsid w:val="00EB4322"/>
    <w:rsid w:val="00EB5BFA"/>
    <w:rsid w:val="00EC5492"/>
    <w:rsid w:val="00ED5F2C"/>
    <w:rsid w:val="00EE1BB4"/>
    <w:rsid w:val="00EF0654"/>
    <w:rsid w:val="00EF77B0"/>
    <w:rsid w:val="00F02534"/>
    <w:rsid w:val="00F02A0F"/>
    <w:rsid w:val="00F06927"/>
    <w:rsid w:val="00F113D4"/>
    <w:rsid w:val="00F36D7B"/>
    <w:rsid w:val="00F43BBD"/>
    <w:rsid w:val="00F850C6"/>
    <w:rsid w:val="00F865F8"/>
    <w:rsid w:val="00F9544A"/>
    <w:rsid w:val="00FA45EC"/>
    <w:rsid w:val="00FB4EFC"/>
    <w:rsid w:val="00FC5639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C5639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rsid w:val="00977615"/>
    <w:pPr>
      <w:widowControl w:val="0"/>
    </w:pPr>
    <w:rPr>
      <w:snapToGrid w:val="0"/>
      <w:color w:val="000000"/>
      <w:sz w:val="28"/>
    </w:rPr>
  </w:style>
  <w:style w:type="paragraph" w:styleId="Textkrper-Zeileneinzug">
    <w:name w:val="Body Text Indent"/>
    <w:basedOn w:val="Standard"/>
    <w:link w:val="Textkrper-ZeileneinzugZchn"/>
    <w:rsid w:val="00977615"/>
    <w:pPr>
      <w:ind w:left="2835" w:hanging="2835"/>
    </w:pPr>
    <w:rPr>
      <w:sz w:val="24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77615"/>
    <w:rPr>
      <w:rFonts w:ascii="Arial" w:hAnsi="Arial" w:cs="Arial"/>
      <w:sz w:val="24"/>
    </w:rPr>
  </w:style>
  <w:style w:type="paragraph" w:styleId="Textkrper-Einzug2">
    <w:name w:val="Body Text Indent 2"/>
    <w:basedOn w:val="Standard"/>
    <w:link w:val="Textkrper-Einzug2Zchn"/>
    <w:rsid w:val="00977615"/>
    <w:pPr>
      <w:tabs>
        <w:tab w:val="left" w:pos="2835"/>
        <w:tab w:val="left" w:pos="2977"/>
        <w:tab w:val="left" w:pos="3119"/>
      </w:tabs>
      <w:ind w:left="3119" w:hanging="3119"/>
    </w:pPr>
    <w:rPr>
      <w:sz w:val="24"/>
      <w:szCs w:val="20"/>
    </w:rPr>
  </w:style>
  <w:style w:type="character" w:customStyle="1" w:styleId="Textkrper-Einzug2Zchn">
    <w:name w:val="Textkörper-Einzug 2 Zchn"/>
    <w:basedOn w:val="Absatz-Standardschriftart"/>
    <w:link w:val="Textkrper-Einzug2"/>
    <w:rsid w:val="00977615"/>
    <w:rPr>
      <w:rFonts w:ascii="Arial" w:hAnsi="Arial" w:cs="Arial"/>
      <w:sz w:val="24"/>
    </w:rPr>
  </w:style>
  <w:style w:type="character" w:customStyle="1" w:styleId="KopfzeileZchn">
    <w:name w:val="Kopfzeile Zchn"/>
    <w:basedOn w:val="Absatz-Standardschriftart"/>
    <w:link w:val="Kopfzeile"/>
    <w:rsid w:val="00EF0654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0C4C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8E4318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8E4318"/>
    <w:rPr>
      <w:rFonts w:ascii="Arial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C5639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rsid w:val="00977615"/>
    <w:pPr>
      <w:widowControl w:val="0"/>
    </w:pPr>
    <w:rPr>
      <w:snapToGrid w:val="0"/>
      <w:color w:val="000000"/>
      <w:sz w:val="28"/>
    </w:rPr>
  </w:style>
  <w:style w:type="paragraph" w:styleId="Textkrper-Zeileneinzug">
    <w:name w:val="Body Text Indent"/>
    <w:basedOn w:val="Standard"/>
    <w:link w:val="Textkrper-ZeileneinzugZchn"/>
    <w:rsid w:val="00977615"/>
    <w:pPr>
      <w:ind w:left="2835" w:hanging="2835"/>
    </w:pPr>
    <w:rPr>
      <w:sz w:val="24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77615"/>
    <w:rPr>
      <w:rFonts w:ascii="Arial" w:hAnsi="Arial" w:cs="Arial"/>
      <w:sz w:val="24"/>
    </w:rPr>
  </w:style>
  <w:style w:type="paragraph" w:styleId="Textkrper-Einzug2">
    <w:name w:val="Body Text Indent 2"/>
    <w:basedOn w:val="Standard"/>
    <w:link w:val="Textkrper-Einzug2Zchn"/>
    <w:rsid w:val="00977615"/>
    <w:pPr>
      <w:tabs>
        <w:tab w:val="left" w:pos="2835"/>
        <w:tab w:val="left" w:pos="2977"/>
        <w:tab w:val="left" w:pos="3119"/>
      </w:tabs>
      <w:ind w:left="3119" w:hanging="3119"/>
    </w:pPr>
    <w:rPr>
      <w:sz w:val="24"/>
      <w:szCs w:val="20"/>
    </w:rPr>
  </w:style>
  <w:style w:type="character" w:customStyle="1" w:styleId="Textkrper-Einzug2Zchn">
    <w:name w:val="Textkörper-Einzug 2 Zchn"/>
    <w:basedOn w:val="Absatz-Standardschriftart"/>
    <w:link w:val="Textkrper-Einzug2"/>
    <w:rsid w:val="00977615"/>
    <w:rPr>
      <w:rFonts w:ascii="Arial" w:hAnsi="Arial" w:cs="Arial"/>
      <w:sz w:val="24"/>
    </w:rPr>
  </w:style>
  <w:style w:type="character" w:customStyle="1" w:styleId="KopfzeileZchn">
    <w:name w:val="Kopfzeile Zchn"/>
    <w:basedOn w:val="Absatz-Standardschriftart"/>
    <w:link w:val="Kopfzeile"/>
    <w:rsid w:val="00EF0654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0C4C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8E4318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8E4318"/>
    <w:rPr>
      <w:rFonts w:ascii="Arial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brina\AppData\Local\Temp\MathePlusH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63A2-CDAE-4506-9A63-B49FBEA1B3C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14F622-A58E-41A7-B611-DBAD3135F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MathePlusHR.dotx</Template>
  <TotalTime>0</TotalTime>
  <Pages>2</Pages>
  <Words>383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3310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Sabrina</dc:creator>
  <cp:lastModifiedBy>Nacke, Rene (LS)</cp:lastModifiedBy>
  <cp:revision>6</cp:revision>
  <cp:lastPrinted>2012-09-06T08:52:00Z</cp:lastPrinted>
  <dcterms:created xsi:type="dcterms:W3CDTF">2015-08-21T10:09:00Z</dcterms:created>
  <dcterms:modified xsi:type="dcterms:W3CDTF">2015-12-14T15:31:00Z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