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332" w:rsidRDefault="00D339CD">
      <w:pPr>
        <w:pStyle w:val="berschrift1"/>
        <w:spacing w:line="480" w:lineRule="auto"/>
        <w:rPr>
          <w:sz w:val="36"/>
        </w:rPr>
      </w:pPr>
      <w:r>
        <w:rPr>
          <w:sz w:val="36"/>
        </w:rPr>
        <w:t>Die griechischen Dialekte</w:t>
      </w:r>
    </w:p>
    <w:p w:rsidR="00587332" w:rsidRDefault="00D339CD">
      <w:pPr>
        <w:pStyle w:val="Listenabsatz"/>
        <w:numPr>
          <w:ilvl w:val="0"/>
          <w:numId w:val="2"/>
        </w:numPr>
        <w:spacing w:after="240"/>
        <w:jc w:val="both"/>
      </w:pPr>
      <w:r>
        <w:t xml:space="preserve">In </w:t>
      </w:r>
      <w:r>
        <w:rPr>
          <w:b/>
        </w:rPr>
        <w:t>Griechenland</w:t>
      </w:r>
      <w:r>
        <w:t xml:space="preserve"> wurden über </w:t>
      </w:r>
      <w:r>
        <w:rPr>
          <w:b/>
        </w:rPr>
        <w:t>30</w:t>
      </w:r>
      <w:r>
        <w:t xml:space="preserve"> verschiedene </w:t>
      </w:r>
      <w:r>
        <w:rPr>
          <w:b/>
        </w:rPr>
        <w:t>Dialekte</w:t>
      </w:r>
      <w:r>
        <w:t xml:space="preserve"> im Alltag gesprochen und in </w:t>
      </w:r>
      <w:r>
        <w:rPr>
          <w:b/>
        </w:rPr>
        <w:t>offiziellen Dokumenten</w:t>
      </w:r>
      <w:r>
        <w:t xml:space="preserve"> (z. B. Inschriften) verwendet, z. B. sprachen die Spartaner lakonisch, die Thebaner böotisch, die </w:t>
      </w:r>
      <w:r>
        <w:t>Milesier ionisch.</w:t>
      </w:r>
    </w:p>
    <w:p w:rsidR="00587332" w:rsidRDefault="00D339CD">
      <w:pPr>
        <w:pStyle w:val="Listenabsatz"/>
        <w:spacing w:after="240"/>
        <w:ind w:left="360"/>
        <w:jc w:val="both"/>
      </w:pPr>
      <w:r>
        <w:t xml:space="preserve">Die ursprünglich </w:t>
      </w:r>
      <w:r>
        <w:rPr>
          <w:b/>
        </w:rPr>
        <w:t>gesprochenen Dialekte</w:t>
      </w:r>
      <w:r>
        <w:t xml:space="preserve"> des Griechischen lassen sich in vier Gruppen einteilen:</w:t>
      </w:r>
    </w:p>
    <w:p w:rsidR="00587332" w:rsidRDefault="00D339CD">
      <w:pPr>
        <w:pStyle w:val="Listenabsatz"/>
        <w:numPr>
          <w:ilvl w:val="0"/>
          <w:numId w:val="3"/>
        </w:numPr>
        <w:spacing w:before="120" w:after="120"/>
        <w:ind w:left="714" w:hanging="357"/>
      </w:pPr>
      <w:r>
        <w:rPr>
          <w:b/>
        </w:rPr>
        <w:t>Attisch-ionisch:</w:t>
      </w:r>
      <w:r>
        <w:t xml:space="preserve"> Attika, Euböa, Kykladen, Ionien (südliches Kleinasien)</w:t>
      </w:r>
    </w:p>
    <w:p w:rsidR="00587332" w:rsidRDefault="00D339CD">
      <w:pPr>
        <w:pStyle w:val="Listenabsatz"/>
        <w:numPr>
          <w:ilvl w:val="0"/>
          <w:numId w:val="3"/>
        </w:numPr>
        <w:spacing w:before="120" w:after="120"/>
        <w:ind w:left="714" w:hanging="357"/>
      </w:pPr>
      <w:r>
        <w:rPr>
          <w:b/>
        </w:rPr>
        <w:t>Westgriechisch/Dorisch:</w:t>
      </w:r>
      <w:r>
        <w:t xml:space="preserve"> Nordwest- und Zentralgriechenland, Großteil der</w:t>
      </w:r>
      <w:r>
        <w:t xml:space="preserve"> Peloponnes, viele Kolonien im Mittelmeerraum (z. B. Syrakus auf Sizilien)</w:t>
      </w:r>
    </w:p>
    <w:p w:rsidR="00587332" w:rsidRDefault="00D339CD">
      <w:pPr>
        <w:pStyle w:val="Listenabsatz"/>
        <w:numPr>
          <w:ilvl w:val="0"/>
          <w:numId w:val="3"/>
        </w:numPr>
        <w:spacing w:before="120" w:after="120"/>
        <w:ind w:left="714" w:hanging="357"/>
      </w:pPr>
      <w:r>
        <w:rPr>
          <w:b/>
        </w:rPr>
        <w:t>Äolisch:</w:t>
      </w:r>
      <w:r>
        <w:t xml:space="preserve"> Thessalien, Böotien, nordöstliche Ägäis, lesbisch</w:t>
      </w:r>
    </w:p>
    <w:p w:rsidR="00587332" w:rsidRDefault="00D339CD">
      <w:pPr>
        <w:pStyle w:val="Listenabsatz"/>
        <w:numPr>
          <w:ilvl w:val="0"/>
          <w:numId w:val="3"/>
        </w:numPr>
        <w:spacing w:before="120" w:after="120"/>
        <w:ind w:left="714" w:hanging="357"/>
      </w:pPr>
      <w:r>
        <w:rPr>
          <w:b/>
        </w:rPr>
        <w:t>Arkadisch-kyprisch:</w:t>
      </w:r>
      <w:r>
        <w:t xml:space="preserve"> Arkadien (Peloponnes), Zypern</w:t>
      </w:r>
    </w:p>
    <w:p w:rsidR="00587332" w:rsidRDefault="00D339CD">
      <w:pPr>
        <w:spacing w:after="240"/>
        <w:ind w:firstLine="357"/>
      </w:pPr>
      <w:hyperlink r:id="rId7" w:history="1">
        <w:r>
          <w:rPr>
            <w:rStyle w:val="Hyperlink"/>
            <w:i/>
          </w:rPr>
          <w:t>Karte zu den Verbreitungsgebieten der griechischen Dialekte</w:t>
        </w:r>
      </w:hyperlink>
    </w:p>
    <w:p w:rsidR="00587332" w:rsidRDefault="00D339CD">
      <w:pPr>
        <w:pStyle w:val="Listenabsatz"/>
        <w:numPr>
          <w:ilvl w:val="0"/>
          <w:numId w:val="2"/>
        </w:numPr>
      </w:pPr>
      <w:r>
        <w:t xml:space="preserve">Aus diesen gesprochenen Dialekten entwickelten sich </w:t>
      </w:r>
      <w:r>
        <w:rPr>
          <w:b/>
        </w:rPr>
        <w:t>literarische Dialekte</w:t>
      </w:r>
      <w:r>
        <w:t xml:space="preserve">, in denen nach und nach bestimmte </w:t>
      </w:r>
      <w:r>
        <w:rPr>
          <w:b/>
        </w:rPr>
        <w:t>Literaturgattungen</w:t>
      </w:r>
      <w:r>
        <w:t xml:space="preserve"> (</w:t>
      </w:r>
      <w:r>
        <w:rPr>
          <w:b/>
        </w:rPr>
        <w:t>unabhängig</w:t>
      </w:r>
      <w:r>
        <w:t xml:space="preserve"> von der </w:t>
      </w:r>
      <w:r>
        <w:rPr>
          <w:b/>
        </w:rPr>
        <w:t>He</w:t>
      </w:r>
      <w:r>
        <w:rPr>
          <w:b/>
        </w:rPr>
        <w:t>rkunft</w:t>
      </w:r>
      <w:r>
        <w:t xml:space="preserve"> des </w:t>
      </w:r>
      <w:r>
        <w:rPr>
          <w:b/>
        </w:rPr>
        <w:t>Autors</w:t>
      </w:r>
      <w:r>
        <w:t xml:space="preserve">!) verfasst wurden: </w:t>
      </w:r>
    </w:p>
    <w:p w:rsidR="00587332" w:rsidRDefault="00D339CD">
      <w:pPr>
        <w:pStyle w:val="Aufzhlungszeichen"/>
        <w:numPr>
          <w:ilvl w:val="0"/>
          <w:numId w:val="4"/>
        </w:numPr>
        <w:spacing w:before="120" w:after="120"/>
        <w:ind w:left="714" w:hanging="357"/>
        <w:rPr>
          <w:b/>
        </w:rPr>
      </w:pPr>
      <w:bookmarkStart w:id="0" w:name="_Hlk18777714"/>
      <w:bookmarkStart w:id="1" w:name="_Hlk18862354"/>
      <w:r>
        <w:rPr>
          <w:b/>
        </w:rPr>
        <w:t>Attisch (5.-4. Jh. v. Chr.)</w:t>
      </w:r>
      <w:bookmarkEnd w:id="0"/>
    </w:p>
    <w:bookmarkEnd w:id="1"/>
    <w:p w:rsidR="00587332" w:rsidRDefault="00D339CD">
      <w:pPr>
        <w:pStyle w:val="Aufzhlungszeichen"/>
        <w:numPr>
          <w:ilvl w:val="1"/>
          <w:numId w:val="4"/>
        </w:numPr>
        <w:spacing w:before="120" w:after="120"/>
      </w:pPr>
      <w:r>
        <w:rPr>
          <w:b/>
        </w:rPr>
        <w:t>Tragödie</w:t>
      </w:r>
      <w:r>
        <w:t xml:space="preserve"> und </w:t>
      </w:r>
      <w:r>
        <w:rPr>
          <w:b/>
        </w:rPr>
        <w:t>Komödie</w:t>
      </w:r>
      <w:r>
        <w:t xml:space="preserve"> (</w:t>
      </w:r>
      <w:r>
        <w:rPr>
          <w:b/>
        </w:rPr>
        <w:t>Sprechpartien</w:t>
      </w:r>
      <w:r>
        <w:t>): Aischylos, Sophokles, Euripides – Aristophanes</w:t>
      </w:r>
    </w:p>
    <w:p w:rsidR="00587332" w:rsidRDefault="00D339CD">
      <w:pPr>
        <w:pStyle w:val="Aufzhlungszeichen"/>
        <w:numPr>
          <w:ilvl w:val="1"/>
          <w:numId w:val="4"/>
        </w:numPr>
        <w:spacing w:before="120" w:after="120"/>
      </w:pPr>
      <w:r>
        <w:rPr>
          <w:b/>
        </w:rPr>
        <w:t>Geschichte</w:t>
      </w:r>
      <w:r>
        <w:t>: Thukydides, Xenophon</w:t>
      </w:r>
    </w:p>
    <w:p w:rsidR="00587332" w:rsidRDefault="00D339CD">
      <w:pPr>
        <w:pStyle w:val="Aufzhlungszeichen"/>
        <w:numPr>
          <w:ilvl w:val="1"/>
          <w:numId w:val="4"/>
        </w:numPr>
        <w:spacing w:before="120" w:after="120"/>
      </w:pPr>
      <w:r>
        <w:rPr>
          <w:b/>
        </w:rPr>
        <w:t>Reden</w:t>
      </w:r>
      <w:r>
        <w:t>, z. B. Lysias, Demosthenes</w:t>
      </w:r>
    </w:p>
    <w:p w:rsidR="00587332" w:rsidRDefault="00D339CD">
      <w:pPr>
        <w:pStyle w:val="Aufzhlungszeichen"/>
        <w:numPr>
          <w:ilvl w:val="1"/>
          <w:numId w:val="4"/>
        </w:numPr>
        <w:spacing w:before="120" w:after="120"/>
      </w:pPr>
      <w:r>
        <w:rPr>
          <w:b/>
        </w:rPr>
        <w:t>Philosophie</w:t>
      </w:r>
      <w:r>
        <w:t xml:space="preserve">: Platon, </w:t>
      </w:r>
      <w:r>
        <w:t>Aristoteles</w:t>
      </w:r>
    </w:p>
    <w:p w:rsidR="00587332" w:rsidRDefault="00D339CD">
      <w:pPr>
        <w:pStyle w:val="Aufzhlungszeichen"/>
        <w:numPr>
          <w:ilvl w:val="0"/>
          <w:numId w:val="4"/>
        </w:numPr>
        <w:spacing w:before="120" w:after="120"/>
        <w:ind w:left="714" w:hanging="357"/>
        <w:rPr>
          <w:b/>
        </w:rPr>
      </w:pPr>
      <w:r>
        <w:rPr>
          <w:b/>
        </w:rPr>
        <w:t>Ionisch</w:t>
      </w:r>
    </w:p>
    <w:p w:rsidR="00587332" w:rsidRDefault="00D339CD">
      <w:pPr>
        <w:pStyle w:val="Aufzhlungszeichen"/>
        <w:numPr>
          <w:ilvl w:val="1"/>
          <w:numId w:val="4"/>
        </w:numPr>
        <w:spacing w:before="120" w:after="120"/>
      </w:pPr>
      <w:r>
        <w:rPr>
          <w:b/>
        </w:rPr>
        <w:t>Epos</w:t>
      </w:r>
      <w:r>
        <w:t>: Homer, Hesiod (8.-7. Jh. v. Chr.)</w:t>
      </w:r>
    </w:p>
    <w:p w:rsidR="00587332" w:rsidRDefault="008D2F11">
      <w:pPr>
        <w:pStyle w:val="Aufzhlungszeichen"/>
        <w:numPr>
          <w:ilvl w:val="1"/>
          <w:numId w:val="4"/>
        </w:numPr>
        <w:spacing w:before="120" w:after="120"/>
      </w:pPr>
      <w:r w:rsidRPr="00AC155E">
        <w:rPr>
          <w:b/>
        </w:rPr>
        <w:t>Elegie</w:t>
      </w:r>
      <w:r>
        <w:t xml:space="preserve"> (ionische Elemente)</w:t>
      </w:r>
      <w:r w:rsidRPr="00AC155E">
        <w:t>: Archilochos, Tyrtaios, Solon (7.-6. Jh. v. Chr.)</w:t>
      </w:r>
    </w:p>
    <w:p w:rsidR="00587332" w:rsidRDefault="00D339CD">
      <w:pPr>
        <w:pStyle w:val="Aufzhlungszeichen"/>
        <w:numPr>
          <w:ilvl w:val="1"/>
          <w:numId w:val="4"/>
        </w:numPr>
        <w:spacing w:before="120" w:after="120"/>
      </w:pPr>
      <w:r>
        <w:rPr>
          <w:b/>
        </w:rPr>
        <w:t>Erste Prosa</w:t>
      </w:r>
      <w:r>
        <w:t xml:space="preserve">: </w:t>
      </w:r>
      <w:r w:rsidR="008D2F11" w:rsidRPr="00AC155E">
        <w:t>ionische Naturphilosophie</w:t>
      </w:r>
      <w:r w:rsidR="008D2F11">
        <w:t xml:space="preserve"> (Anaximander, Anaximenes)</w:t>
      </w:r>
      <w:r>
        <w:t>, Herodot (Geschichte) (6.-5. Jh. v. Chr.)</w:t>
      </w:r>
    </w:p>
    <w:p w:rsidR="00587332" w:rsidRDefault="00D339CD">
      <w:pPr>
        <w:pStyle w:val="Aufzhlungszeichen"/>
        <w:numPr>
          <w:ilvl w:val="1"/>
          <w:numId w:val="4"/>
        </w:numPr>
        <w:spacing w:before="120" w:after="120"/>
      </w:pPr>
      <w:r>
        <w:rPr>
          <w:b/>
        </w:rPr>
        <w:t>Medizin</w:t>
      </w:r>
      <w:r>
        <w:t xml:space="preserve">: </w:t>
      </w:r>
      <w:bookmarkStart w:id="2" w:name="_GoBack"/>
      <w:bookmarkEnd w:id="2"/>
      <w:r>
        <w:t>Hippokrates und seine Nachfolger (5.-</w:t>
      </w:r>
      <w:r>
        <w:t>4. Jh. v. Chr.)</w:t>
      </w:r>
    </w:p>
    <w:p w:rsidR="00587332" w:rsidRDefault="00D339CD">
      <w:pPr>
        <w:pStyle w:val="Aufzhlungszeichen"/>
        <w:numPr>
          <w:ilvl w:val="0"/>
          <w:numId w:val="4"/>
        </w:numPr>
        <w:spacing w:before="120" w:after="120"/>
        <w:ind w:left="714" w:hanging="357"/>
        <w:rPr>
          <w:b/>
        </w:rPr>
      </w:pPr>
      <w:r>
        <w:rPr>
          <w:b/>
        </w:rPr>
        <w:t>Äolisch/Lesbisch (7.-6. Jh. v. Chr.)</w:t>
      </w:r>
    </w:p>
    <w:p w:rsidR="00587332" w:rsidRDefault="00D339CD">
      <w:pPr>
        <w:pStyle w:val="Aufzhlungszeichen"/>
        <w:numPr>
          <w:ilvl w:val="1"/>
          <w:numId w:val="4"/>
        </w:numPr>
        <w:spacing w:before="120" w:after="120"/>
      </w:pPr>
      <w:r>
        <w:rPr>
          <w:b/>
        </w:rPr>
        <w:t>Lyrik</w:t>
      </w:r>
      <w:r>
        <w:t>: Alkaios, Sappho</w:t>
      </w:r>
    </w:p>
    <w:p w:rsidR="00587332" w:rsidRDefault="00D339CD">
      <w:pPr>
        <w:pStyle w:val="Aufzhlungszeichen"/>
        <w:numPr>
          <w:ilvl w:val="0"/>
          <w:numId w:val="4"/>
        </w:numPr>
        <w:spacing w:before="120" w:after="120"/>
        <w:ind w:left="714" w:hanging="357"/>
        <w:rPr>
          <w:b/>
        </w:rPr>
      </w:pPr>
      <w:r>
        <w:rPr>
          <w:b/>
        </w:rPr>
        <w:t>Dorisch (6.-5. Jh. v. Chr.)</w:t>
      </w:r>
    </w:p>
    <w:p w:rsidR="00587332" w:rsidRDefault="00D339CD">
      <w:pPr>
        <w:pStyle w:val="Aufzhlungszeichen"/>
        <w:numPr>
          <w:ilvl w:val="1"/>
          <w:numId w:val="4"/>
        </w:numPr>
        <w:spacing w:before="120" w:after="120"/>
      </w:pPr>
      <w:r>
        <w:rPr>
          <w:b/>
        </w:rPr>
        <w:t>Chorlyrik</w:t>
      </w:r>
      <w:r>
        <w:t>: Pindar, Tragödie und Komödie (Chorpartien)</w:t>
      </w:r>
    </w:p>
    <w:p w:rsidR="00587332" w:rsidRDefault="00587332">
      <w:pPr>
        <w:pStyle w:val="Aufzhlungszeichen"/>
        <w:numPr>
          <w:ilvl w:val="0"/>
          <w:numId w:val="0"/>
        </w:numPr>
        <w:tabs>
          <w:tab w:val="left" w:pos="717"/>
        </w:tabs>
        <w:ind w:left="360" w:hanging="360"/>
      </w:pPr>
    </w:p>
    <w:p w:rsidR="00587332" w:rsidRDefault="00D339CD">
      <w:pPr>
        <w:spacing w:line="360" w:lineRule="auto"/>
        <w:jc w:val="both"/>
      </w:pPr>
      <w:r>
        <w:t xml:space="preserve">Das </w:t>
      </w:r>
      <w:r>
        <w:rPr>
          <w:b/>
        </w:rPr>
        <w:t>Griechische</w:t>
      </w:r>
      <w:r>
        <w:t xml:space="preserve">, wie es in der </w:t>
      </w:r>
      <w:r>
        <w:rPr>
          <w:b/>
        </w:rPr>
        <w:t>Schule</w:t>
      </w:r>
      <w:r>
        <w:t xml:space="preserve"> gelehrt wird, entspricht in Laut- und </w:t>
      </w:r>
      <w:r>
        <w:t xml:space="preserve">Formenlehre dem </w:t>
      </w:r>
      <w:r>
        <w:rPr>
          <w:b/>
        </w:rPr>
        <w:t xml:space="preserve">literari-schen Dialekt </w:t>
      </w:r>
      <w:r>
        <w:t>des</w:t>
      </w:r>
      <w:r>
        <w:rPr>
          <w:b/>
        </w:rPr>
        <w:t xml:space="preserve"> Attischen</w:t>
      </w:r>
      <w:r>
        <w:t>, wie es in Werken des 5. und 4. Jahrhunderts v.  Chr. verwendet wird.</w:t>
      </w:r>
    </w:p>
    <w:p w:rsidR="00000000" w:rsidRDefault="00D339CD">
      <w:pPr>
        <w:sectPr w:rsidR="00000000">
          <w:headerReference w:type="default" r:id="rId8"/>
          <w:footerReference w:type="default" r:id="rId9"/>
          <w:pgSz w:w="11906" w:h="16838"/>
          <w:pgMar w:top="719" w:right="566" w:bottom="1134" w:left="1417" w:header="708" w:footer="401" w:gutter="0"/>
          <w:cols w:space="720"/>
        </w:sectPr>
      </w:pPr>
    </w:p>
    <w:p w:rsidR="00587332" w:rsidRDefault="00D339CD">
      <w:pPr>
        <w:pStyle w:val="Aufzhlungszeichen"/>
        <w:numPr>
          <w:ilvl w:val="0"/>
          <w:numId w:val="2"/>
        </w:numPr>
        <w:tabs>
          <w:tab w:val="left" w:pos="357"/>
        </w:tabs>
        <w:spacing w:before="240"/>
        <w:jc w:val="both"/>
      </w:pPr>
      <w:r>
        <w:lastRenderedPageBreak/>
        <w:t xml:space="preserve">Bereits in klassischer Zeit entwickelt sich aus einer Version des </w:t>
      </w:r>
      <w:r>
        <w:rPr>
          <w:b/>
        </w:rPr>
        <w:t>Attischen</w:t>
      </w:r>
      <w:r>
        <w:t xml:space="preserve"> (mit </w:t>
      </w:r>
      <w:r>
        <w:rPr>
          <w:b/>
        </w:rPr>
        <w:t>ionischen</w:t>
      </w:r>
      <w:r>
        <w:t xml:space="preserve"> Elementen) eine gemeinsame offizielle </w:t>
      </w:r>
      <w:r>
        <w:rPr>
          <w:b/>
        </w:rPr>
        <w:t>Ver</w:t>
      </w:r>
      <w:r>
        <w:rPr>
          <w:b/>
        </w:rPr>
        <w:t>kehrssprache</w:t>
      </w:r>
      <w:r>
        <w:t xml:space="preserve"> für </w:t>
      </w:r>
      <w:r>
        <w:rPr>
          <w:b/>
        </w:rPr>
        <w:t>Handel</w:t>
      </w:r>
      <w:r>
        <w:t xml:space="preserve"> und </w:t>
      </w:r>
      <w:r>
        <w:rPr>
          <w:b/>
        </w:rPr>
        <w:t>Diplomatie</w:t>
      </w:r>
      <w:r>
        <w:t>.</w:t>
      </w:r>
    </w:p>
    <w:p w:rsidR="00587332" w:rsidRDefault="00D339CD">
      <w:pPr>
        <w:pStyle w:val="Aufzhlungszeichen"/>
        <w:numPr>
          <w:ilvl w:val="0"/>
          <w:numId w:val="0"/>
        </w:numPr>
        <w:tabs>
          <w:tab w:val="left" w:pos="717"/>
        </w:tabs>
        <w:spacing w:before="240"/>
        <w:ind w:left="360" w:hanging="360"/>
        <w:jc w:val="both"/>
      </w:pPr>
      <w:r>
        <w:t xml:space="preserve">In der hellenistischen Zeit bildet dies die Basis für den </w:t>
      </w:r>
      <w:r>
        <w:rPr>
          <w:b/>
        </w:rPr>
        <w:t>Dialekt</w:t>
      </w:r>
      <w:r>
        <w:t xml:space="preserve"> der </w:t>
      </w:r>
      <w:r>
        <w:rPr>
          <w:b/>
        </w:rPr>
        <w:t>Koine</w:t>
      </w:r>
      <w:r>
        <w:t xml:space="preserve"> (</w:t>
      </w:r>
      <w:r>
        <w:rPr>
          <w:rFonts w:ascii="Palatino Linotype" w:hAnsi="Palatino Linotype"/>
          <w:lang w:val="el-GR"/>
        </w:rPr>
        <w:t>κοινή</w:t>
      </w:r>
      <w:r>
        <w:t xml:space="preserve"> [γλῶσσα] gemeinsame/allgemeine [Sprache]).Dieser Dialekt setzt sich zunächst im </w:t>
      </w:r>
      <w:r>
        <w:rPr>
          <w:b/>
        </w:rPr>
        <w:t>östlichen Mittelmeerraum</w:t>
      </w:r>
      <w:r>
        <w:t xml:space="preserve"> im </w:t>
      </w:r>
      <w:r>
        <w:rPr>
          <w:b/>
        </w:rPr>
        <w:t>offiziellen</w:t>
      </w:r>
      <w:r>
        <w:t xml:space="preserve"> und </w:t>
      </w:r>
      <w:r>
        <w:rPr>
          <w:b/>
        </w:rPr>
        <w:t>literaris</w:t>
      </w:r>
      <w:r>
        <w:rPr>
          <w:b/>
        </w:rPr>
        <w:t>chen</w:t>
      </w:r>
      <w:r>
        <w:t xml:space="preserve"> Bereich und schließlich auch als </w:t>
      </w:r>
      <w:r>
        <w:rPr>
          <w:b/>
        </w:rPr>
        <w:t>gesprochene Sprache</w:t>
      </w:r>
      <w:r>
        <w:t xml:space="preserve"> durch. Die Koine wird schließlich zur </w:t>
      </w:r>
      <w:r>
        <w:rPr>
          <w:b/>
        </w:rPr>
        <w:t>meistgesprochenen Sprache</w:t>
      </w:r>
      <w:r>
        <w:t xml:space="preserve"> im </w:t>
      </w:r>
      <w:r>
        <w:rPr>
          <w:b/>
        </w:rPr>
        <w:t>Mittelmeerraum</w:t>
      </w:r>
      <w:r>
        <w:t xml:space="preserve"> und damit gewissermaßen zum „</w:t>
      </w:r>
      <w:r>
        <w:rPr>
          <w:b/>
        </w:rPr>
        <w:t>Englisch der Antike</w:t>
      </w:r>
      <w:r>
        <w:t xml:space="preserve">“, das auch jeder </w:t>
      </w:r>
      <w:r>
        <w:rPr>
          <w:b/>
        </w:rPr>
        <w:t>gebildete Römer</w:t>
      </w:r>
      <w:r>
        <w:t xml:space="preserve"> beherrschte.</w:t>
      </w:r>
    </w:p>
    <w:p w:rsidR="00587332" w:rsidRDefault="00D339CD">
      <w:pPr>
        <w:pStyle w:val="Aufzhlungszeichen"/>
        <w:numPr>
          <w:ilvl w:val="0"/>
          <w:numId w:val="0"/>
        </w:numPr>
        <w:tabs>
          <w:tab w:val="left" w:pos="717"/>
        </w:tabs>
        <w:spacing w:before="240"/>
        <w:ind w:left="360" w:hanging="360"/>
        <w:jc w:val="both"/>
      </w:pPr>
      <w:r>
        <w:t xml:space="preserve">In </w:t>
      </w:r>
      <w:r>
        <w:rPr>
          <w:b/>
        </w:rPr>
        <w:t>Koine</w:t>
      </w:r>
      <w:r>
        <w:t xml:space="preserve"> schreiben:</w:t>
      </w:r>
    </w:p>
    <w:p w:rsidR="00587332" w:rsidRDefault="00D339CD">
      <w:pPr>
        <w:pStyle w:val="Aufzhlungszeichen"/>
        <w:numPr>
          <w:ilvl w:val="0"/>
          <w:numId w:val="4"/>
        </w:numPr>
        <w:spacing w:before="120" w:after="120"/>
        <w:ind w:left="714" w:hanging="357"/>
        <w:jc w:val="both"/>
      </w:pPr>
      <w:r>
        <w:t>die Übersetzer der</w:t>
      </w:r>
      <w:r>
        <w:rPr>
          <w:b/>
        </w:rPr>
        <w:t xml:space="preserve"> Septuaginta </w:t>
      </w:r>
      <w:r>
        <w:t>(griechische Version der hebräisch-aramäischen Bibel</w:t>
      </w:r>
      <w:r>
        <w:rPr>
          <w:rStyle w:val="Funotenzeichen"/>
        </w:rPr>
        <w:footnoteReference w:id="1"/>
      </w:r>
      <w:r>
        <w:t>)</w:t>
      </w:r>
    </w:p>
    <w:p w:rsidR="00587332" w:rsidRDefault="00D339CD">
      <w:pPr>
        <w:pStyle w:val="Aufzhlungszeichen"/>
        <w:numPr>
          <w:ilvl w:val="0"/>
          <w:numId w:val="4"/>
        </w:numPr>
        <w:spacing w:before="120" w:after="120"/>
        <w:ind w:left="714" w:hanging="357"/>
        <w:jc w:val="both"/>
      </w:pPr>
      <w:r>
        <w:rPr>
          <w:b/>
        </w:rPr>
        <w:t xml:space="preserve">Polybios </w:t>
      </w:r>
      <w:r>
        <w:t>(Universalhistoriker aus dem 2. Jh.)</w:t>
      </w:r>
    </w:p>
    <w:p w:rsidR="00587332" w:rsidRDefault="00D339CD">
      <w:pPr>
        <w:pStyle w:val="Aufzhlungszeichen"/>
        <w:numPr>
          <w:ilvl w:val="0"/>
          <w:numId w:val="4"/>
        </w:numPr>
        <w:spacing w:before="120" w:after="120"/>
        <w:ind w:left="714" w:hanging="357"/>
        <w:jc w:val="both"/>
      </w:pPr>
      <w:r>
        <w:rPr>
          <w:b/>
        </w:rPr>
        <w:t xml:space="preserve">Plutarch </w:t>
      </w:r>
      <w:r>
        <w:t>(Verfasser von biograp</w:t>
      </w:r>
      <w:r>
        <w:t>hischen und philosophischen Schriften aus dem 2. Jh. n. Chr.)</w:t>
      </w:r>
    </w:p>
    <w:p w:rsidR="00587332" w:rsidRDefault="00D339CD">
      <w:pPr>
        <w:pStyle w:val="Aufzhlungszeichen"/>
        <w:numPr>
          <w:ilvl w:val="0"/>
          <w:numId w:val="4"/>
        </w:numPr>
        <w:spacing w:before="120" w:after="120"/>
        <w:ind w:left="714" w:hanging="357"/>
        <w:jc w:val="both"/>
      </w:pPr>
      <w:r>
        <w:t xml:space="preserve">die Verfasser des </w:t>
      </w:r>
      <w:r>
        <w:rPr>
          <w:b/>
        </w:rPr>
        <w:t>Neuen Testaments</w:t>
      </w:r>
    </w:p>
    <w:p w:rsidR="00587332" w:rsidRDefault="00D339CD">
      <w:pPr>
        <w:pStyle w:val="Aufzhlungszeichen"/>
        <w:numPr>
          <w:ilvl w:val="0"/>
          <w:numId w:val="0"/>
        </w:numPr>
        <w:tabs>
          <w:tab w:val="left" w:pos="717"/>
        </w:tabs>
        <w:spacing w:before="240"/>
        <w:ind w:left="360" w:hanging="360"/>
        <w:jc w:val="both"/>
      </w:pPr>
      <w:r>
        <w:t xml:space="preserve">Die </w:t>
      </w:r>
      <w:r>
        <w:rPr>
          <w:b/>
        </w:rPr>
        <w:t>Koine</w:t>
      </w:r>
      <w:r>
        <w:t xml:space="preserve"> ist </w:t>
      </w:r>
      <w:r>
        <w:rPr>
          <w:b/>
        </w:rPr>
        <w:t>Grundlage</w:t>
      </w:r>
      <w:r>
        <w:t xml:space="preserve"> aller späteren Formen des Griechischen und somit auch des </w:t>
      </w:r>
      <w:r>
        <w:rPr>
          <w:b/>
        </w:rPr>
        <w:t>heutigen Griechisch</w:t>
      </w:r>
      <w:r>
        <w:t>.</w:t>
      </w:r>
    </w:p>
    <w:sectPr w:rsidR="00587332">
      <w:type w:val="continuous"/>
      <w:pgSz w:w="11906" w:h="16838"/>
      <w:pgMar w:top="719" w:right="566" w:bottom="1134" w:left="1417" w:header="708" w:footer="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9CD" w:rsidRDefault="00D339CD">
      <w:r>
        <w:separator/>
      </w:r>
    </w:p>
  </w:endnote>
  <w:endnote w:type="continuationSeparator" w:id="0">
    <w:p w:rsidR="00D339CD" w:rsidRDefault="00D3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iech2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52E" w:rsidRDefault="00D339CD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9CD" w:rsidRDefault="00D339CD">
      <w:r>
        <w:rPr>
          <w:color w:val="000000"/>
        </w:rPr>
        <w:separator/>
      </w:r>
    </w:p>
  </w:footnote>
  <w:footnote w:type="continuationSeparator" w:id="0">
    <w:p w:rsidR="00D339CD" w:rsidRDefault="00D339CD">
      <w:r>
        <w:continuationSeparator/>
      </w:r>
    </w:p>
  </w:footnote>
  <w:footnote w:id="1">
    <w:p w:rsidR="00587332" w:rsidRDefault="00D339CD">
      <w:pPr>
        <w:pStyle w:val="Funotentext"/>
      </w:pPr>
      <w:r>
        <w:rPr>
          <w:rStyle w:val="Funotenzeichen"/>
        </w:rPr>
        <w:footnoteRef/>
      </w:r>
      <w:r>
        <w:t xml:space="preserve"> Diese Texte des sogenannten „Tanach“ entsprechen in etwa dem christlichen Alten Testament.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2"/>
      <w:gridCol w:w="1886"/>
      <w:gridCol w:w="4825"/>
    </w:tblGrid>
    <w:tr w:rsidR="000A052E">
      <w:tblPrEx>
        <w:tblCellMar>
          <w:top w:w="0" w:type="dxa"/>
          <w:bottom w:w="0" w:type="dxa"/>
        </w:tblCellMar>
      </w:tblPrEx>
      <w:trPr>
        <w:trHeight w:val="794"/>
      </w:trPr>
      <w:tc>
        <w:tcPr>
          <w:tcW w:w="321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A052E" w:rsidRDefault="00D339CD">
          <w:pPr>
            <w:pStyle w:val="TableContents"/>
            <w:spacing w:before="0"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69851</wp:posOffset>
                </wp:positionH>
                <wp:positionV relativeFrom="paragraph">
                  <wp:posOffset>10799</wp:posOffset>
                </wp:positionV>
                <wp:extent cx="1522732" cy="485775"/>
                <wp:effectExtent l="0" t="0" r="1268" b="9525"/>
                <wp:wrapTopAndBottom/>
                <wp:docPr id="1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732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A052E" w:rsidRDefault="00D339CD">
          <w:pPr>
            <w:pStyle w:val="TableContents"/>
            <w:spacing w:before="0" w:after="0" w:line="240" w:lineRule="auto"/>
          </w:pPr>
        </w:p>
      </w:tc>
      <w:tc>
        <w:tcPr>
          <w:tcW w:w="482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A052E" w:rsidRDefault="00D339CD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 xml:space="preserve">Griechischportal </w:t>
          </w:r>
        </w:p>
        <w:p w:rsidR="000A052E" w:rsidRDefault="00D339CD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Sprache: Dialekte</w:t>
          </w:r>
          <w:r>
            <w:rPr>
              <w:rFonts w:ascii="Arial Rounded MT Bold" w:hAnsi="Arial Rounded MT Bold"/>
            </w:rPr>
            <w:br/>
          </w:r>
        </w:p>
      </w:tc>
    </w:tr>
  </w:tbl>
  <w:p w:rsidR="000A052E" w:rsidRDefault="00D339CD">
    <w:pPr>
      <w:pStyle w:val="Kopf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3457B"/>
    <w:multiLevelType w:val="multilevel"/>
    <w:tmpl w:val="A18014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1F21798"/>
    <w:multiLevelType w:val="multilevel"/>
    <w:tmpl w:val="B1F0EB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2A2056E"/>
    <w:multiLevelType w:val="multilevel"/>
    <w:tmpl w:val="D4287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8B36FF"/>
    <w:multiLevelType w:val="multilevel"/>
    <w:tmpl w:val="07AE0DBE"/>
    <w:styleLink w:val="LFO2"/>
    <w:lvl w:ilvl="0">
      <w:numFmt w:val="bullet"/>
      <w:pStyle w:val="Aufzhlungszeichen"/>
      <w:lvlText w:val=""/>
      <w:lvlJc w:val="left"/>
      <w:pPr>
        <w:ind w:left="1791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7332"/>
    <w:rsid w:val="00587332"/>
    <w:rsid w:val="006E7784"/>
    <w:rsid w:val="008D2F11"/>
    <w:rsid w:val="00D3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D043"/>
  <w15:docId w15:val="{24EAE2D5-A0D6-4CE3-AA65-BA4E1E47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spacing w:line="360" w:lineRule="auto"/>
      <w:outlineLvl w:val="1"/>
    </w:pPr>
    <w:rPr>
      <w:b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basedOn w:val="Standard"/>
    <w:autoRedefine/>
    <w:pPr>
      <w:spacing w:after="120" w:line="300" w:lineRule="auto"/>
      <w:jc w:val="both"/>
    </w:pPr>
  </w:style>
  <w:style w:type="paragraph" w:styleId="Textkrper">
    <w:name w:val="Body Text"/>
    <w:basedOn w:val="Standard"/>
    <w:pPr>
      <w:spacing w:line="360" w:lineRule="auto"/>
    </w:pPr>
    <w:rPr>
      <w:rFonts w:ascii="Griech2" w:hAnsi="Griech2"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2832" w:firstLine="6"/>
    </w:pPr>
    <w:rPr>
      <w:rFonts w:ascii="Griech2" w:hAnsi="Griech2"/>
      <w:sz w:val="28"/>
    </w:rPr>
  </w:style>
  <w:style w:type="character" w:styleId="Zeilennummer">
    <w:name w:val="line number"/>
    <w:basedOn w:val="Absatz-Standardschriftart"/>
  </w:style>
  <w:style w:type="character" w:customStyle="1" w:styleId="FuzeileZchn">
    <w:name w:val="Fußzeile Zchn"/>
    <w:rPr>
      <w:sz w:val="24"/>
      <w:szCs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spacing w:before="200" w:after="160" w:line="312" w:lineRule="auto"/>
    </w:pPr>
    <w:rPr>
      <w:rFonts w:ascii="Arial" w:hAnsi="Arial"/>
      <w:sz w:val="22"/>
      <w:szCs w:val="22"/>
      <w:lang w:eastAsia="zh-CN" w:bidi="hi-IN"/>
    </w:rPr>
  </w:style>
  <w:style w:type="character" w:customStyle="1" w:styleId="tooltip-body">
    <w:name w:val="tooltip-body"/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StandardWeb">
    <w:name w:val="Normal (Web)"/>
    <w:basedOn w:val="Standard"/>
    <w:pPr>
      <w:spacing w:before="100" w:after="100"/>
    </w:pPr>
  </w:style>
  <w:style w:type="character" w:customStyle="1" w:styleId="showbody">
    <w:name w:val="showbody"/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FunotentextZchn">
    <w:name w:val="Fußnotentext Zchn"/>
    <w:basedOn w:val="Absatz-Standardschriftart"/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Beschriftung">
    <w:name w:val="caption"/>
    <w:basedOn w:val="Standard"/>
    <w:next w:val="Standard"/>
    <w:pPr>
      <w:spacing w:after="200"/>
    </w:pPr>
    <w:rPr>
      <w:i/>
      <w:iCs/>
      <w:color w:val="44546A"/>
      <w:sz w:val="18"/>
      <w:szCs w:val="18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Pr>
      <w:color w:val="954F72"/>
      <w:u w:val="single"/>
    </w:rPr>
  </w:style>
  <w:style w:type="paragraph" w:styleId="Listenabsatz">
    <w:name w:val="List Paragraph"/>
    <w:basedOn w:val="Standard"/>
    <w:pPr>
      <w:ind w:left="72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D2F11"/>
    <w:rPr>
      <w:sz w:val="16"/>
      <w:szCs w:val="16"/>
    </w:rPr>
  </w:style>
  <w:style w:type="character" w:customStyle="1" w:styleId="KopfzeileZchn">
    <w:name w:val="Kopfzeile Zchn"/>
    <w:basedOn w:val="Absatz-Standardschriftart"/>
    <w:rPr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2F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2F11"/>
  </w:style>
  <w:style w:type="numbering" w:customStyle="1" w:styleId="LFO2">
    <w:name w:val="LFO2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Attisches_Griechisch#/media/Datei:AncientGreekDialects_(Woodard)_de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„Der erste Satz“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„Der erste Satz“</dc:title>
  <dc:subject/>
  <dc:creator>Peppel</dc:creator>
  <dc:description/>
  <cp:lastModifiedBy>Matthias Peppel</cp:lastModifiedBy>
  <cp:revision>2</cp:revision>
  <cp:lastPrinted>2019-09-11T17:13:00Z</cp:lastPrinted>
  <dcterms:created xsi:type="dcterms:W3CDTF">2019-09-14T09:43:00Z</dcterms:created>
  <dcterms:modified xsi:type="dcterms:W3CDTF">2019-09-14T09:43:00Z</dcterms:modified>
</cp:coreProperties>
</file>